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D59A" w14:textId="217DB126" w:rsidR="00297477" w:rsidRDefault="00297477" w:rsidP="00297477">
      <w:pPr>
        <w:rPr>
          <w:rFonts w:ascii="Verdana" w:hAnsi="Verdana"/>
          <w:b/>
        </w:rPr>
      </w:pPr>
    </w:p>
    <w:p w14:paraId="3CBEB785" w14:textId="30520C3A" w:rsidR="0080510E" w:rsidRPr="00144E96" w:rsidRDefault="0080510E" w:rsidP="00297477">
      <w:pPr>
        <w:jc w:val="center"/>
        <w:rPr>
          <w:rFonts w:ascii="Verdana" w:hAnsi="Verdana"/>
        </w:rPr>
      </w:pPr>
      <w:r w:rsidRPr="00144E96">
        <w:rPr>
          <w:rFonts w:ascii="Verdana" w:hAnsi="Verdana"/>
          <w:b/>
        </w:rPr>
        <w:t xml:space="preserve">Corporation of Sir George </w:t>
      </w:r>
      <w:proofErr w:type="spellStart"/>
      <w:r w:rsidRPr="00144E96">
        <w:rPr>
          <w:rFonts w:ascii="Verdana" w:hAnsi="Verdana"/>
          <w:b/>
        </w:rPr>
        <w:t>Monoux</w:t>
      </w:r>
      <w:proofErr w:type="spellEnd"/>
      <w:r w:rsidRPr="00144E96">
        <w:rPr>
          <w:rFonts w:ascii="Verdana" w:hAnsi="Verdana"/>
          <w:b/>
        </w:rPr>
        <w:t xml:space="preserve"> College</w:t>
      </w:r>
    </w:p>
    <w:p w14:paraId="3CBEB786" w14:textId="77777777" w:rsidR="0080510E" w:rsidRDefault="0080510E" w:rsidP="00AF2767">
      <w:pPr>
        <w:jc w:val="center"/>
        <w:rPr>
          <w:rFonts w:ascii="Verdana" w:hAnsi="Verdana"/>
          <w:b/>
        </w:rPr>
      </w:pPr>
    </w:p>
    <w:p w14:paraId="3CBEB787" w14:textId="77777777" w:rsidR="0080510E" w:rsidRDefault="0080510E" w:rsidP="0080510E">
      <w:pPr>
        <w:jc w:val="center"/>
        <w:rPr>
          <w:rFonts w:ascii="Verdana" w:hAnsi="Verdana"/>
          <w:b/>
        </w:rPr>
      </w:pPr>
      <w:r w:rsidRPr="003475F7">
        <w:rPr>
          <w:rFonts w:ascii="Verdana" w:hAnsi="Verdana"/>
          <w:b/>
        </w:rPr>
        <w:t xml:space="preserve">Minutes of the Meeting of the </w:t>
      </w:r>
      <w:r>
        <w:rPr>
          <w:rFonts w:ascii="Verdana" w:hAnsi="Verdana"/>
          <w:b/>
        </w:rPr>
        <w:t>Quality</w:t>
      </w:r>
      <w:r w:rsidRPr="003475F7">
        <w:rPr>
          <w:rFonts w:ascii="Verdana" w:hAnsi="Verdana"/>
          <w:b/>
        </w:rPr>
        <w:t xml:space="preserve"> &amp; </w:t>
      </w:r>
      <w:r>
        <w:rPr>
          <w:rFonts w:ascii="Verdana" w:hAnsi="Verdana"/>
          <w:b/>
        </w:rPr>
        <w:t>Perform</w:t>
      </w:r>
      <w:r w:rsidRPr="003475F7">
        <w:rPr>
          <w:rFonts w:ascii="Verdana" w:hAnsi="Verdana"/>
          <w:b/>
        </w:rPr>
        <w:t>ance</w:t>
      </w:r>
      <w:r>
        <w:rPr>
          <w:rFonts w:ascii="Verdana" w:hAnsi="Verdana"/>
          <w:b/>
        </w:rPr>
        <w:t xml:space="preserve"> </w:t>
      </w:r>
      <w:r w:rsidRPr="003475F7">
        <w:rPr>
          <w:rFonts w:ascii="Verdana" w:hAnsi="Verdana"/>
          <w:b/>
        </w:rPr>
        <w:t xml:space="preserve">Committee </w:t>
      </w:r>
    </w:p>
    <w:p w14:paraId="3CBEB789" w14:textId="0554C3E1" w:rsidR="0080510E" w:rsidRDefault="0080510E" w:rsidP="0080510E">
      <w:pPr>
        <w:jc w:val="center"/>
        <w:rPr>
          <w:rFonts w:ascii="Verdana" w:hAnsi="Verdana"/>
          <w:b/>
        </w:rPr>
      </w:pPr>
      <w:r w:rsidRPr="003475F7">
        <w:rPr>
          <w:rFonts w:ascii="Verdana" w:hAnsi="Verdana"/>
          <w:b/>
        </w:rPr>
        <w:t xml:space="preserve">held on </w:t>
      </w:r>
      <w:r w:rsidR="00E870C7">
        <w:rPr>
          <w:rFonts w:ascii="Verdana" w:hAnsi="Verdana"/>
          <w:b/>
        </w:rPr>
        <w:t>11 February 2020</w:t>
      </w:r>
    </w:p>
    <w:p w14:paraId="1FEB539A" w14:textId="77777777" w:rsidR="00E870C7" w:rsidRDefault="00E870C7" w:rsidP="0080510E">
      <w:pPr>
        <w:jc w:val="center"/>
        <w:rPr>
          <w:rFonts w:ascii="Verdana" w:hAnsi="Verdana"/>
          <w:b/>
        </w:rPr>
      </w:pPr>
    </w:p>
    <w:tbl>
      <w:tblPr>
        <w:tblW w:w="9634" w:type="dxa"/>
        <w:tblLook w:val="04A0" w:firstRow="1" w:lastRow="0" w:firstColumn="1" w:lastColumn="0" w:noHBand="0" w:noVBand="1"/>
      </w:tblPr>
      <w:tblGrid>
        <w:gridCol w:w="2376"/>
        <w:gridCol w:w="7258"/>
      </w:tblGrid>
      <w:tr w:rsidR="009F7BA2" w:rsidRPr="003D3002" w14:paraId="3CBEB78E" w14:textId="77777777" w:rsidTr="00A43B17">
        <w:tc>
          <w:tcPr>
            <w:tcW w:w="2376" w:type="dxa"/>
          </w:tcPr>
          <w:p w14:paraId="6857F8C9" w14:textId="77777777" w:rsidR="009F7BA2" w:rsidRPr="003D3002" w:rsidRDefault="009F7BA2" w:rsidP="009F7BA2">
            <w:pPr>
              <w:rPr>
                <w:rFonts w:ascii="Verdana" w:hAnsi="Verdana"/>
                <w:b/>
              </w:rPr>
            </w:pPr>
            <w:r w:rsidRPr="003D3002">
              <w:rPr>
                <w:rFonts w:ascii="Verdana" w:hAnsi="Verdana"/>
                <w:b/>
              </w:rPr>
              <w:t>Present</w:t>
            </w:r>
          </w:p>
          <w:p w14:paraId="48FEDB1C" w14:textId="77777777" w:rsidR="009F7BA2" w:rsidRPr="003D3002" w:rsidRDefault="009F7BA2" w:rsidP="009F7BA2">
            <w:pPr>
              <w:rPr>
                <w:rFonts w:ascii="Verdana" w:hAnsi="Verdana"/>
                <w:b/>
              </w:rPr>
            </w:pPr>
          </w:p>
        </w:tc>
        <w:tc>
          <w:tcPr>
            <w:tcW w:w="7258" w:type="dxa"/>
          </w:tcPr>
          <w:p w14:paraId="11F033EE" w14:textId="23DBF6B2" w:rsidR="009F7BA2" w:rsidRDefault="009F7BA2" w:rsidP="009F7BA2">
            <w:pPr>
              <w:rPr>
                <w:rFonts w:ascii="Verdana" w:hAnsi="Verdana"/>
              </w:rPr>
            </w:pPr>
            <w:r>
              <w:rPr>
                <w:rFonts w:ascii="Verdana" w:hAnsi="Verdana"/>
              </w:rPr>
              <w:t xml:space="preserve">Alastair Owens (Chair), </w:t>
            </w:r>
            <w:r w:rsidR="00E870C7">
              <w:rPr>
                <w:rFonts w:ascii="Verdana" w:hAnsi="Verdana"/>
              </w:rPr>
              <w:t xml:space="preserve">Tanha Ahmed, Raafay Javed Bhatti, </w:t>
            </w:r>
            <w:r w:rsidR="005D4B0C">
              <w:rPr>
                <w:rFonts w:ascii="Verdana" w:hAnsi="Verdana"/>
              </w:rPr>
              <w:t xml:space="preserve">Caroline Evans, </w:t>
            </w:r>
            <w:r>
              <w:rPr>
                <w:rFonts w:ascii="Verdana" w:hAnsi="Verdana"/>
              </w:rPr>
              <w:t xml:space="preserve">Stephen Jones, </w:t>
            </w:r>
            <w:r w:rsidR="005D4B0C">
              <w:rPr>
                <w:rFonts w:ascii="Verdana" w:hAnsi="Verdana"/>
              </w:rPr>
              <w:t>Jagdev Kenth</w:t>
            </w:r>
            <w:r>
              <w:rPr>
                <w:rFonts w:ascii="Verdana" w:hAnsi="Verdana"/>
              </w:rPr>
              <w:t xml:space="preserve">, David </w:t>
            </w:r>
            <w:proofErr w:type="spellStart"/>
            <w:r>
              <w:rPr>
                <w:rFonts w:ascii="Verdana" w:hAnsi="Verdana"/>
              </w:rPr>
              <w:t>Vasse</w:t>
            </w:r>
            <w:proofErr w:type="spellEnd"/>
            <w:r>
              <w:rPr>
                <w:rFonts w:ascii="Verdana" w:hAnsi="Verdana"/>
              </w:rPr>
              <w:t>.</w:t>
            </w:r>
          </w:p>
          <w:p w14:paraId="7428A366" w14:textId="77777777" w:rsidR="009F7BA2" w:rsidRPr="003D3002" w:rsidRDefault="009F7BA2" w:rsidP="009F7BA2">
            <w:pPr>
              <w:rPr>
                <w:rFonts w:ascii="Verdana" w:hAnsi="Verdana"/>
                <w:b/>
              </w:rPr>
            </w:pPr>
          </w:p>
        </w:tc>
      </w:tr>
      <w:tr w:rsidR="009F7BA2" w:rsidRPr="003D3002" w14:paraId="3CBEB792" w14:textId="77777777" w:rsidTr="00A43B17">
        <w:tc>
          <w:tcPr>
            <w:tcW w:w="2376" w:type="dxa"/>
          </w:tcPr>
          <w:p w14:paraId="4704DD12" w14:textId="77777777" w:rsidR="009F7BA2" w:rsidRDefault="009F7BA2" w:rsidP="009F7BA2">
            <w:pPr>
              <w:rPr>
                <w:rFonts w:ascii="Verdana" w:hAnsi="Verdana"/>
                <w:b/>
              </w:rPr>
            </w:pPr>
            <w:r>
              <w:rPr>
                <w:rFonts w:ascii="Verdana" w:hAnsi="Verdana"/>
                <w:b/>
              </w:rPr>
              <w:t>In Attendance</w:t>
            </w:r>
          </w:p>
          <w:p w14:paraId="38A41E68" w14:textId="77777777" w:rsidR="009F7BA2" w:rsidRPr="003D3002" w:rsidRDefault="009F7BA2" w:rsidP="009F7BA2">
            <w:pPr>
              <w:rPr>
                <w:rFonts w:ascii="Verdana" w:hAnsi="Verdana"/>
                <w:b/>
              </w:rPr>
            </w:pPr>
          </w:p>
        </w:tc>
        <w:tc>
          <w:tcPr>
            <w:tcW w:w="7258" w:type="dxa"/>
          </w:tcPr>
          <w:p w14:paraId="0B2F5074" w14:textId="306ABC9B" w:rsidR="009F7BA2" w:rsidRPr="003D3002" w:rsidRDefault="009F7BA2" w:rsidP="009F7BA2">
            <w:pPr>
              <w:rPr>
                <w:rFonts w:ascii="Verdana" w:hAnsi="Verdana"/>
                <w:b/>
              </w:rPr>
            </w:pPr>
            <w:r w:rsidRPr="00DE451C">
              <w:rPr>
                <w:rFonts w:ascii="Verdana" w:hAnsi="Verdana"/>
              </w:rPr>
              <w:t>Holly Bembridge (</w:t>
            </w:r>
            <w:r w:rsidRPr="00933B63">
              <w:rPr>
                <w:rFonts w:ascii="Verdana" w:hAnsi="Verdana"/>
              </w:rPr>
              <w:t>Vice-Principal: Curriculum</w:t>
            </w:r>
            <w:r w:rsidR="00F22FCB">
              <w:rPr>
                <w:rFonts w:ascii="Verdana" w:hAnsi="Verdana"/>
              </w:rPr>
              <w:t xml:space="preserve"> and Quality</w:t>
            </w:r>
            <w:r>
              <w:rPr>
                <w:rFonts w:ascii="Verdana" w:hAnsi="Verdana"/>
              </w:rPr>
              <w:t xml:space="preserve">), </w:t>
            </w:r>
            <w:r w:rsidRPr="003D3002">
              <w:rPr>
                <w:rFonts w:ascii="Verdana" w:hAnsi="Verdana"/>
              </w:rPr>
              <w:t>Robert Smith (Clerk to the Corporation)</w:t>
            </w:r>
            <w:r>
              <w:rPr>
                <w:rFonts w:ascii="Verdana" w:hAnsi="Verdana"/>
              </w:rPr>
              <w:t>.</w:t>
            </w:r>
          </w:p>
        </w:tc>
      </w:tr>
    </w:tbl>
    <w:p w14:paraId="3CBEB796" w14:textId="77777777" w:rsidR="0080510E" w:rsidRDefault="0080510E" w:rsidP="0080510E">
      <w:pPr>
        <w:rPr>
          <w:rFonts w:ascii="Verdana" w:hAnsi="Verdana"/>
          <w:b/>
        </w:rPr>
      </w:pPr>
    </w:p>
    <w:tbl>
      <w:tblPr>
        <w:tblW w:w="9747" w:type="dxa"/>
        <w:tblLook w:val="04A0" w:firstRow="1" w:lastRow="0" w:firstColumn="1" w:lastColumn="0" w:noHBand="0" w:noVBand="1"/>
      </w:tblPr>
      <w:tblGrid>
        <w:gridCol w:w="534"/>
        <w:gridCol w:w="9213"/>
      </w:tblGrid>
      <w:tr w:rsidR="0080510E" w:rsidRPr="003D3002" w14:paraId="3CBEB7A0" w14:textId="77777777" w:rsidTr="00A43B17">
        <w:tc>
          <w:tcPr>
            <w:tcW w:w="534" w:type="dxa"/>
          </w:tcPr>
          <w:p w14:paraId="3CBEB797" w14:textId="77777777" w:rsidR="0080510E" w:rsidRPr="003D3002" w:rsidRDefault="0080510E" w:rsidP="002C3254">
            <w:pPr>
              <w:rPr>
                <w:rFonts w:ascii="Verdana" w:hAnsi="Verdana"/>
                <w:b/>
              </w:rPr>
            </w:pPr>
            <w:r w:rsidRPr="003D3002">
              <w:rPr>
                <w:rFonts w:ascii="Verdana" w:hAnsi="Verdana"/>
                <w:b/>
              </w:rPr>
              <w:t>1</w:t>
            </w:r>
          </w:p>
        </w:tc>
        <w:tc>
          <w:tcPr>
            <w:tcW w:w="9213" w:type="dxa"/>
          </w:tcPr>
          <w:p w14:paraId="3CBEB798" w14:textId="247213C2" w:rsidR="0080510E" w:rsidRPr="003D3002" w:rsidRDefault="0080510E" w:rsidP="002C3254">
            <w:pPr>
              <w:rPr>
                <w:rFonts w:ascii="Verdana" w:hAnsi="Verdana"/>
                <w:b/>
              </w:rPr>
            </w:pPr>
            <w:r w:rsidRPr="003D3002">
              <w:rPr>
                <w:rFonts w:ascii="Verdana" w:hAnsi="Verdana"/>
                <w:b/>
              </w:rPr>
              <w:t>Apologies for Absence</w:t>
            </w:r>
            <w:r>
              <w:rPr>
                <w:rFonts w:ascii="Verdana" w:hAnsi="Verdana"/>
                <w:b/>
              </w:rPr>
              <w:t xml:space="preserve"> and Quoracy</w:t>
            </w:r>
            <w:r w:rsidR="009939CF">
              <w:rPr>
                <w:rFonts w:ascii="Verdana" w:hAnsi="Verdana"/>
                <w:b/>
              </w:rPr>
              <w:t xml:space="preserve"> </w:t>
            </w:r>
          </w:p>
          <w:p w14:paraId="3CBEB799" w14:textId="0C20252E" w:rsidR="0080510E" w:rsidRDefault="00165BD4" w:rsidP="002C3254">
            <w:pPr>
              <w:rPr>
                <w:rFonts w:ascii="Verdana" w:hAnsi="Verdana"/>
              </w:rPr>
            </w:pPr>
            <w:r>
              <w:rPr>
                <w:rFonts w:ascii="Verdana" w:hAnsi="Verdana"/>
              </w:rPr>
              <w:t xml:space="preserve">  </w:t>
            </w:r>
          </w:p>
          <w:p w14:paraId="11A5C5E9" w14:textId="04B22759" w:rsidR="00E870C7" w:rsidRDefault="00FB0F43" w:rsidP="002C3254">
            <w:pPr>
              <w:rPr>
                <w:rFonts w:ascii="Verdana" w:hAnsi="Verdana"/>
              </w:rPr>
            </w:pPr>
            <w:r>
              <w:rPr>
                <w:rFonts w:ascii="Verdana" w:hAnsi="Verdana"/>
              </w:rPr>
              <w:t>All members were present.</w:t>
            </w:r>
          </w:p>
          <w:p w14:paraId="3CBEB79F" w14:textId="77777777" w:rsidR="0080510E" w:rsidRPr="003D3002" w:rsidRDefault="0080510E" w:rsidP="009E5C1E">
            <w:pPr>
              <w:rPr>
                <w:rFonts w:ascii="Verdana" w:hAnsi="Verdana"/>
              </w:rPr>
            </w:pPr>
          </w:p>
        </w:tc>
      </w:tr>
      <w:tr w:rsidR="0080510E" w:rsidRPr="003D3002" w14:paraId="3CBEB7A6" w14:textId="77777777" w:rsidTr="00A43B17">
        <w:tc>
          <w:tcPr>
            <w:tcW w:w="534" w:type="dxa"/>
          </w:tcPr>
          <w:p w14:paraId="3CBEB7A1" w14:textId="7F892BF4" w:rsidR="0080510E" w:rsidRPr="003D3002" w:rsidRDefault="0080510E" w:rsidP="002C3254">
            <w:pPr>
              <w:rPr>
                <w:rFonts w:ascii="Verdana" w:hAnsi="Verdana"/>
                <w:b/>
              </w:rPr>
            </w:pPr>
            <w:r w:rsidRPr="003D3002">
              <w:rPr>
                <w:rFonts w:ascii="Verdana" w:hAnsi="Verdana"/>
                <w:b/>
              </w:rPr>
              <w:t>2</w:t>
            </w:r>
          </w:p>
        </w:tc>
        <w:tc>
          <w:tcPr>
            <w:tcW w:w="9213" w:type="dxa"/>
          </w:tcPr>
          <w:p w14:paraId="3CBEB7A2" w14:textId="77777777" w:rsidR="0080510E" w:rsidRPr="003D3002" w:rsidRDefault="0080510E" w:rsidP="002C3254">
            <w:pPr>
              <w:rPr>
                <w:rFonts w:ascii="Verdana" w:hAnsi="Verdana"/>
                <w:b/>
              </w:rPr>
            </w:pPr>
            <w:r w:rsidRPr="003D3002">
              <w:rPr>
                <w:rFonts w:ascii="Verdana" w:hAnsi="Verdana"/>
                <w:b/>
              </w:rPr>
              <w:t>Declarations of Interest</w:t>
            </w:r>
          </w:p>
          <w:p w14:paraId="3CBEB7A3" w14:textId="77777777" w:rsidR="0080510E" w:rsidRPr="003D3002" w:rsidRDefault="0080510E" w:rsidP="002C3254">
            <w:pPr>
              <w:rPr>
                <w:rFonts w:ascii="Verdana" w:hAnsi="Verdana"/>
              </w:rPr>
            </w:pPr>
          </w:p>
          <w:p w14:paraId="3CBEB7A4" w14:textId="22BA9FB9" w:rsidR="0080510E" w:rsidRDefault="0080510E" w:rsidP="002C3254">
            <w:pPr>
              <w:rPr>
                <w:rFonts w:ascii="Verdana" w:hAnsi="Verdana"/>
              </w:rPr>
            </w:pPr>
            <w:r>
              <w:rPr>
                <w:rFonts w:ascii="Verdana" w:hAnsi="Verdana"/>
              </w:rPr>
              <w:t>None.</w:t>
            </w:r>
            <w:r w:rsidR="009E0B7E">
              <w:rPr>
                <w:rFonts w:ascii="Verdana" w:hAnsi="Verdana"/>
              </w:rPr>
              <w:t xml:space="preserve"> </w:t>
            </w:r>
          </w:p>
          <w:p w14:paraId="3CBEB7A5" w14:textId="77777777" w:rsidR="0080510E" w:rsidRPr="003D3002" w:rsidRDefault="0080510E" w:rsidP="002C3254">
            <w:pPr>
              <w:rPr>
                <w:rFonts w:ascii="Verdana" w:hAnsi="Verdana"/>
              </w:rPr>
            </w:pPr>
          </w:p>
        </w:tc>
      </w:tr>
      <w:tr w:rsidR="0080510E" w:rsidRPr="003D3002" w14:paraId="3CBEB7AC" w14:textId="77777777" w:rsidTr="00A43B17">
        <w:tc>
          <w:tcPr>
            <w:tcW w:w="534" w:type="dxa"/>
          </w:tcPr>
          <w:p w14:paraId="3CBEB7A7" w14:textId="77777777" w:rsidR="0080510E" w:rsidRPr="003D3002" w:rsidRDefault="0080510E" w:rsidP="002C3254">
            <w:pPr>
              <w:rPr>
                <w:rFonts w:ascii="Verdana" w:hAnsi="Verdana"/>
                <w:b/>
              </w:rPr>
            </w:pPr>
            <w:r>
              <w:rPr>
                <w:rFonts w:ascii="Verdana" w:hAnsi="Verdana"/>
                <w:b/>
              </w:rPr>
              <w:t>3</w:t>
            </w:r>
          </w:p>
        </w:tc>
        <w:tc>
          <w:tcPr>
            <w:tcW w:w="9213" w:type="dxa"/>
          </w:tcPr>
          <w:p w14:paraId="3CBEB7A8" w14:textId="7BAD0DAF" w:rsidR="0080510E" w:rsidRPr="00F97EF9" w:rsidRDefault="0080510E" w:rsidP="002C3254">
            <w:pPr>
              <w:rPr>
                <w:rFonts w:ascii="Verdana" w:hAnsi="Verdana"/>
                <w:b/>
              </w:rPr>
            </w:pPr>
            <w:r w:rsidRPr="00F97EF9">
              <w:rPr>
                <w:rFonts w:ascii="Verdana" w:hAnsi="Verdana"/>
                <w:b/>
              </w:rPr>
              <w:t>Minutes of the Previous Meeting</w:t>
            </w:r>
            <w:r w:rsidR="00C911A3">
              <w:rPr>
                <w:rFonts w:ascii="Verdana" w:hAnsi="Verdana"/>
                <w:b/>
              </w:rPr>
              <w:t xml:space="preserve"> </w:t>
            </w:r>
            <w:r w:rsidRPr="00F97EF9">
              <w:rPr>
                <w:rFonts w:ascii="Verdana" w:hAnsi="Verdana"/>
                <w:b/>
              </w:rPr>
              <w:t>(</w:t>
            </w:r>
            <w:r w:rsidR="00E870C7">
              <w:rPr>
                <w:rFonts w:ascii="Verdana" w:hAnsi="Verdana"/>
                <w:b/>
              </w:rPr>
              <w:t>3 December</w:t>
            </w:r>
            <w:r w:rsidR="00355589">
              <w:rPr>
                <w:rFonts w:ascii="Verdana" w:hAnsi="Verdana"/>
                <w:b/>
              </w:rPr>
              <w:t xml:space="preserve"> 201</w:t>
            </w:r>
            <w:r w:rsidR="005D4B0C">
              <w:rPr>
                <w:rFonts w:ascii="Verdana" w:hAnsi="Verdana"/>
                <w:b/>
              </w:rPr>
              <w:t>9</w:t>
            </w:r>
            <w:r w:rsidRPr="00F97EF9">
              <w:rPr>
                <w:rFonts w:ascii="Verdana" w:hAnsi="Verdana"/>
                <w:b/>
              </w:rPr>
              <w:t>)</w:t>
            </w:r>
          </w:p>
          <w:p w14:paraId="3CBEB7A9" w14:textId="77777777" w:rsidR="0080510E" w:rsidRPr="003D3002" w:rsidRDefault="0080510E" w:rsidP="002C3254">
            <w:pPr>
              <w:rPr>
                <w:rFonts w:ascii="Verdana" w:hAnsi="Verdana"/>
                <w:b/>
              </w:rPr>
            </w:pPr>
          </w:p>
          <w:p w14:paraId="4C431B21" w14:textId="22AB794C" w:rsidR="000E6449" w:rsidRPr="00CA1B35" w:rsidRDefault="000E6449" w:rsidP="000E6449">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67B9">
              <w:rPr>
                <w:rFonts w:ascii="Verdana" w:hAnsi="Verdana"/>
              </w:rPr>
              <w:t>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263B29FA" w14:textId="77777777" w:rsidR="000E6449" w:rsidRDefault="000E6449" w:rsidP="000B2F77">
            <w:pPr>
              <w:rPr>
                <w:rFonts w:ascii="Verdana" w:hAnsi="Verdana"/>
              </w:rPr>
            </w:pPr>
          </w:p>
          <w:p w14:paraId="3DCEAE94" w14:textId="18DC3B68" w:rsidR="000B2F77" w:rsidRDefault="00E70922" w:rsidP="000B2F77">
            <w:pPr>
              <w:rPr>
                <w:rFonts w:ascii="Verdana" w:hAnsi="Verdana"/>
              </w:rPr>
            </w:pPr>
            <w:r>
              <w:rPr>
                <w:rFonts w:ascii="Verdana" w:hAnsi="Verdana"/>
              </w:rPr>
              <w:t>They</w:t>
            </w:r>
            <w:r w:rsidR="000B2F77" w:rsidRPr="003648D1">
              <w:rPr>
                <w:rFonts w:ascii="Verdana" w:hAnsi="Verdana"/>
              </w:rPr>
              <w:t xml:space="preserve"> were approved as a correct record of the business transacted and </w:t>
            </w:r>
            <w:r w:rsidR="000B2F77" w:rsidRPr="00320E87">
              <w:rPr>
                <w:rFonts w:ascii="Verdana" w:hAnsi="Verdana"/>
                <w:i/>
              </w:rPr>
              <w:t>prima facie</w:t>
            </w:r>
            <w:r w:rsidR="000B2F77" w:rsidRPr="003648D1">
              <w:rPr>
                <w:rFonts w:ascii="Verdana" w:hAnsi="Verdana"/>
              </w:rPr>
              <w:t xml:space="preserve"> evidence of the proceedings to which they relate.</w:t>
            </w:r>
          </w:p>
          <w:p w14:paraId="3CBEB7AB" w14:textId="4C29114E" w:rsidR="0080510E" w:rsidRPr="003D3002" w:rsidRDefault="00E870C7" w:rsidP="002C3254">
            <w:pPr>
              <w:rPr>
                <w:rFonts w:ascii="Verdana" w:hAnsi="Verdana"/>
              </w:rPr>
            </w:pPr>
            <w:r>
              <w:rPr>
                <w:rFonts w:ascii="Verdana" w:hAnsi="Verdana"/>
              </w:rPr>
              <w:t xml:space="preserve"> </w:t>
            </w:r>
          </w:p>
        </w:tc>
      </w:tr>
      <w:tr w:rsidR="0080510E" w:rsidRPr="003D3002" w14:paraId="3CBEB7BF" w14:textId="77777777" w:rsidTr="00A43B17">
        <w:tc>
          <w:tcPr>
            <w:tcW w:w="534" w:type="dxa"/>
          </w:tcPr>
          <w:p w14:paraId="3CBEB7AD" w14:textId="77777777" w:rsidR="0080510E" w:rsidRPr="003D3002" w:rsidRDefault="0080510E" w:rsidP="002C3254">
            <w:pPr>
              <w:rPr>
                <w:rFonts w:ascii="Verdana" w:hAnsi="Verdana"/>
                <w:b/>
              </w:rPr>
            </w:pPr>
            <w:r>
              <w:rPr>
                <w:rFonts w:ascii="Verdana" w:hAnsi="Verdana"/>
                <w:b/>
              </w:rPr>
              <w:t>4</w:t>
            </w:r>
          </w:p>
        </w:tc>
        <w:tc>
          <w:tcPr>
            <w:tcW w:w="9213" w:type="dxa"/>
          </w:tcPr>
          <w:p w14:paraId="3CBEB7AE" w14:textId="76B656B3" w:rsidR="0080510E" w:rsidRDefault="0080510E" w:rsidP="002C3254">
            <w:pPr>
              <w:rPr>
                <w:rFonts w:ascii="Verdana" w:hAnsi="Verdana"/>
                <w:b/>
              </w:rPr>
            </w:pPr>
            <w:r>
              <w:rPr>
                <w:rFonts w:ascii="Verdana" w:hAnsi="Verdana"/>
                <w:b/>
              </w:rPr>
              <w:t>Matters Arising from the Minutes</w:t>
            </w:r>
            <w:r w:rsidR="00C911A3">
              <w:rPr>
                <w:rFonts w:ascii="Verdana" w:hAnsi="Verdana"/>
                <w:b/>
              </w:rPr>
              <w:t xml:space="preserve"> (</w:t>
            </w:r>
            <w:r w:rsidR="00E870C7">
              <w:rPr>
                <w:rFonts w:ascii="Verdana" w:hAnsi="Verdana"/>
                <w:b/>
              </w:rPr>
              <w:t>3 December 2019</w:t>
            </w:r>
            <w:r w:rsidR="00C911A3">
              <w:rPr>
                <w:rFonts w:ascii="Verdana" w:hAnsi="Verdana"/>
                <w:b/>
              </w:rPr>
              <w:t>)</w:t>
            </w:r>
          </w:p>
          <w:p w14:paraId="3CBEB7AF" w14:textId="77777777" w:rsidR="0080510E" w:rsidRDefault="0080510E" w:rsidP="002C3254">
            <w:pPr>
              <w:rPr>
                <w:rFonts w:ascii="Verdana" w:hAnsi="Verdana"/>
                <w:b/>
              </w:rPr>
            </w:pPr>
          </w:p>
          <w:p w14:paraId="617541E4" w14:textId="1BD6425D" w:rsidR="00ED70BF" w:rsidRDefault="00AC1211" w:rsidP="0083168D">
            <w:pPr>
              <w:rPr>
                <w:rFonts w:ascii="Verdana" w:hAnsi="Verdana"/>
              </w:rPr>
            </w:pPr>
            <w:r>
              <w:rPr>
                <w:rFonts w:ascii="Verdana" w:hAnsi="Verdana"/>
              </w:rPr>
              <w:t>It was agreed that accompanying the Vice Principal: Curriculum and Quality during learning walks</w:t>
            </w:r>
            <w:r w:rsidR="00F22FCB">
              <w:rPr>
                <w:rFonts w:ascii="Verdana" w:hAnsi="Verdana"/>
              </w:rPr>
              <w:t xml:space="preserve"> within the College</w:t>
            </w:r>
            <w:r>
              <w:rPr>
                <w:rFonts w:ascii="Verdana" w:hAnsi="Verdana"/>
              </w:rPr>
              <w:t xml:space="preserve"> is a valuable experience for Committee members</w:t>
            </w:r>
            <w:r w:rsidR="00F22FCB">
              <w:rPr>
                <w:rFonts w:ascii="Verdana" w:hAnsi="Verdana"/>
              </w:rPr>
              <w:t xml:space="preserve"> who were urged to avail themselves of the opportunity.  T</w:t>
            </w:r>
            <w:r>
              <w:rPr>
                <w:rFonts w:ascii="Verdana" w:hAnsi="Verdana"/>
              </w:rPr>
              <w:t xml:space="preserve">he Vice-Principal was asked to circulate March dates </w:t>
            </w:r>
            <w:r w:rsidR="00F22FCB">
              <w:rPr>
                <w:rFonts w:ascii="Verdana" w:hAnsi="Verdana"/>
              </w:rPr>
              <w:t>of learning walks</w:t>
            </w:r>
            <w:r>
              <w:rPr>
                <w:rFonts w:ascii="Verdana" w:hAnsi="Verdana"/>
              </w:rPr>
              <w:t xml:space="preserve"> to members.</w:t>
            </w:r>
          </w:p>
          <w:p w14:paraId="3CBEB7BE" w14:textId="53C40B84" w:rsidR="00E5723C" w:rsidRPr="00B17588" w:rsidRDefault="00E5723C" w:rsidP="0083168D">
            <w:pPr>
              <w:rPr>
                <w:rFonts w:ascii="Verdana" w:hAnsi="Verdana"/>
              </w:rPr>
            </w:pPr>
          </w:p>
        </w:tc>
      </w:tr>
      <w:tr w:rsidR="00E5723C" w:rsidRPr="003D3002" w14:paraId="258DCD39" w14:textId="77777777" w:rsidTr="00A43B17">
        <w:tc>
          <w:tcPr>
            <w:tcW w:w="534" w:type="dxa"/>
          </w:tcPr>
          <w:p w14:paraId="081699A2" w14:textId="4C06C605" w:rsidR="00E5723C" w:rsidRDefault="00E5723C" w:rsidP="002C3254">
            <w:pPr>
              <w:rPr>
                <w:rFonts w:ascii="Verdana" w:hAnsi="Verdana"/>
                <w:b/>
              </w:rPr>
            </w:pPr>
            <w:r>
              <w:rPr>
                <w:rFonts w:ascii="Verdana" w:hAnsi="Verdana"/>
                <w:b/>
              </w:rPr>
              <w:t>5</w:t>
            </w:r>
          </w:p>
        </w:tc>
        <w:tc>
          <w:tcPr>
            <w:tcW w:w="9213" w:type="dxa"/>
          </w:tcPr>
          <w:p w14:paraId="1E23CEFE" w14:textId="77777777" w:rsidR="00E5723C" w:rsidRDefault="00E5723C" w:rsidP="00E5723C">
            <w:pPr>
              <w:rPr>
                <w:rFonts w:ascii="Verdana" w:hAnsi="Verdana"/>
                <w:b/>
              </w:rPr>
            </w:pPr>
            <w:r>
              <w:rPr>
                <w:rFonts w:ascii="Verdana" w:hAnsi="Verdana"/>
                <w:b/>
              </w:rPr>
              <w:t>Board Level Risks</w:t>
            </w:r>
          </w:p>
          <w:p w14:paraId="55A47409" w14:textId="77777777" w:rsidR="00E5723C" w:rsidRDefault="00E5723C" w:rsidP="002C3254">
            <w:pPr>
              <w:rPr>
                <w:rFonts w:ascii="Verdana" w:hAnsi="Verdana"/>
                <w:b/>
              </w:rPr>
            </w:pPr>
          </w:p>
          <w:p w14:paraId="075B9CC2" w14:textId="32C11CE5" w:rsidR="00E5723C" w:rsidRDefault="008A1688" w:rsidP="002C3254">
            <w:pPr>
              <w:rPr>
                <w:rFonts w:ascii="Verdana" w:hAnsi="Verdana"/>
              </w:rPr>
            </w:pPr>
            <w:r w:rsidRPr="008A1688">
              <w:rPr>
                <w:rFonts w:ascii="Verdana" w:hAnsi="Verdana"/>
              </w:rPr>
              <w:t>I</w:t>
            </w:r>
            <w:r w:rsidR="00FC064B" w:rsidRPr="008A1688">
              <w:rPr>
                <w:rFonts w:ascii="Verdana" w:hAnsi="Verdana"/>
              </w:rPr>
              <w:t>t was noted that board level risks pertaining to the Committee’s remit</w:t>
            </w:r>
            <w:r w:rsidRPr="008A1688">
              <w:rPr>
                <w:rFonts w:ascii="Verdana" w:hAnsi="Verdana"/>
              </w:rPr>
              <w:t xml:space="preserve"> relate to agend</w:t>
            </w:r>
            <w:r w:rsidR="00A261AC">
              <w:rPr>
                <w:rFonts w:ascii="Verdana" w:hAnsi="Verdana"/>
              </w:rPr>
              <w:t>um</w:t>
            </w:r>
            <w:r w:rsidRPr="008A1688">
              <w:rPr>
                <w:rFonts w:ascii="Verdana" w:hAnsi="Verdana"/>
              </w:rPr>
              <w:t xml:space="preserve"> 6 below.</w:t>
            </w:r>
          </w:p>
          <w:p w14:paraId="275FE064" w14:textId="24302EE7" w:rsidR="005D4B0C" w:rsidRDefault="005D4B0C" w:rsidP="002C3254">
            <w:pPr>
              <w:rPr>
                <w:rFonts w:ascii="Verdana" w:hAnsi="Verdana"/>
              </w:rPr>
            </w:pPr>
          </w:p>
          <w:p w14:paraId="6D0AD55B" w14:textId="77777777" w:rsidR="005D4B0C" w:rsidRDefault="005D4B0C" w:rsidP="005D4B0C">
            <w:pPr>
              <w:rPr>
                <w:rFonts w:ascii="Verdana" w:hAnsi="Verdana"/>
                <w:bCs/>
              </w:rPr>
            </w:pPr>
            <w:r>
              <w:rPr>
                <w:rFonts w:ascii="Verdana" w:hAnsi="Verdana"/>
                <w:bCs/>
              </w:rPr>
              <w:t>No other risks requiring the Audit Committee’s attention were identified in the course of the meeting.</w:t>
            </w:r>
          </w:p>
          <w:p w14:paraId="347EB03F" w14:textId="77777777" w:rsidR="00A261AC" w:rsidRDefault="00A261AC" w:rsidP="002C3254">
            <w:pPr>
              <w:rPr>
                <w:rFonts w:ascii="Verdana" w:hAnsi="Verdana"/>
              </w:rPr>
            </w:pPr>
          </w:p>
          <w:p w14:paraId="519178A3" w14:textId="77777777" w:rsidR="00F22FCB" w:rsidRDefault="00F22FCB" w:rsidP="002C3254">
            <w:pPr>
              <w:rPr>
                <w:rFonts w:ascii="Verdana" w:hAnsi="Verdana"/>
              </w:rPr>
            </w:pPr>
          </w:p>
          <w:p w14:paraId="79FB61DB" w14:textId="77777777" w:rsidR="00F22FCB" w:rsidRDefault="00F22FCB" w:rsidP="002C3254">
            <w:pPr>
              <w:rPr>
                <w:rFonts w:ascii="Verdana" w:hAnsi="Verdana"/>
              </w:rPr>
            </w:pPr>
          </w:p>
          <w:p w14:paraId="046C599B" w14:textId="77777777" w:rsidR="00F22FCB" w:rsidRDefault="00F22FCB" w:rsidP="002C3254">
            <w:pPr>
              <w:rPr>
                <w:rFonts w:ascii="Verdana" w:hAnsi="Verdana"/>
              </w:rPr>
            </w:pPr>
          </w:p>
          <w:p w14:paraId="2C4C3240" w14:textId="77777777" w:rsidR="00F22FCB" w:rsidRDefault="00F22FCB" w:rsidP="002C3254">
            <w:pPr>
              <w:rPr>
                <w:rFonts w:ascii="Verdana" w:hAnsi="Verdana"/>
              </w:rPr>
            </w:pPr>
          </w:p>
          <w:p w14:paraId="1BEBC7DA" w14:textId="77777777" w:rsidR="00F22FCB" w:rsidRDefault="00F22FCB" w:rsidP="002C3254">
            <w:pPr>
              <w:rPr>
                <w:rFonts w:ascii="Verdana" w:hAnsi="Verdana"/>
              </w:rPr>
            </w:pPr>
          </w:p>
          <w:p w14:paraId="2F40E169" w14:textId="77777777" w:rsidR="00F22FCB" w:rsidRDefault="00F22FCB" w:rsidP="002C3254">
            <w:pPr>
              <w:rPr>
                <w:rFonts w:ascii="Verdana" w:hAnsi="Verdana"/>
              </w:rPr>
            </w:pPr>
          </w:p>
          <w:p w14:paraId="0D0355CC" w14:textId="77777777" w:rsidR="00F22FCB" w:rsidRDefault="00F22FCB" w:rsidP="002C3254">
            <w:pPr>
              <w:rPr>
                <w:rFonts w:ascii="Verdana" w:hAnsi="Verdana"/>
              </w:rPr>
            </w:pPr>
          </w:p>
          <w:p w14:paraId="0D319176" w14:textId="77777777" w:rsidR="00F22FCB" w:rsidRDefault="00F22FCB" w:rsidP="002C3254">
            <w:pPr>
              <w:rPr>
                <w:rFonts w:ascii="Verdana" w:hAnsi="Verdana"/>
              </w:rPr>
            </w:pPr>
          </w:p>
          <w:p w14:paraId="6610976B" w14:textId="6DDE88C3" w:rsidR="00A43B17" w:rsidRPr="008A1688" w:rsidRDefault="00A43B17" w:rsidP="002C3254">
            <w:pPr>
              <w:rPr>
                <w:rFonts w:ascii="Verdana" w:hAnsi="Verdana"/>
              </w:rPr>
            </w:pPr>
          </w:p>
        </w:tc>
      </w:tr>
      <w:tr w:rsidR="009D4719" w:rsidRPr="00A261AC" w14:paraId="4919FA19" w14:textId="77777777" w:rsidTr="00A43B17">
        <w:tc>
          <w:tcPr>
            <w:tcW w:w="534" w:type="dxa"/>
          </w:tcPr>
          <w:p w14:paraId="289172BA" w14:textId="049C7484" w:rsidR="009D4719" w:rsidRPr="00A261AC" w:rsidRDefault="009D4719" w:rsidP="002C3254">
            <w:pPr>
              <w:rPr>
                <w:rFonts w:ascii="Verdana" w:hAnsi="Verdana"/>
                <w:b/>
              </w:rPr>
            </w:pPr>
            <w:r w:rsidRPr="00A261AC">
              <w:rPr>
                <w:rFonts w:ascii="Verdana" w:hAnsi="Verdana"/>
                <w:b/>
              </w:rPr>
              <w:lastRenderedPageBreak/>
              <w:t>6</w:t>
            </w:r>
          </w:p>
        </w:tc>
        <w:tc>
          <w:tcPr>
            <w:tcW w:w="9213" w:type="dxa"/>
          </w:tcPr>
          <w:p w14:paraId="3611DCA0" w14:textId="7BD60D81" w:rsidR="009D4719" w:rsidRPr="00A261AC" w:rsidRDefault="00A261AC" w:rsidP="00E5723C">
            <w:pPr>
              <w:rPr>
                <w:rFonts w:ascii="Verdana" w:hAnsi="Verdana"/>
                <w:b/>
              </w:rPr>
            </w:pPr>
            <w:r w:rsidRPr="00A261AC">
              <w:rPr>
                <w:rFonts w:ascii="Verdana" w:hAnsi="Verdana"/>
                <w:b/>
              </w:rPr>
              <w:t xml:space="preserve">Attendance:  Data, Evaluation and Actions </w:t>
            </w:r>
          </w:p>
          <w:p w14:paraId="5DD0F81C" w14:textId="77777777" w:rsidR="00A261AC" w:rsidRPr="00A261AC" w:rsidRDefault="00A261AC" w:rsidP="00E5723C">
            <w:pPr>
              <w:rPr>
                <w:rFonts w:ascii="Verdana" w:hAnsi="Verdana"/>
                <w:b/>
              </w:rPr>
            </w:pPr>
          </w:p>
          <w:p w14:paraId="2AA16B8F" w14:textId="77777777" w:rsidR="007A5209" w:rsidRPr="00A261AC" w:rsidRDefault="00A261AC" w:rsidP="005D4B0C">
            <w:pPr>
              <w:rPr>
                <w:rFonts w:ascii="Verdana" w:hAnsi="Verdana"/>
                <w:bCs/>
              </w:rPr>
            </w:pPr>
            <w:r w:rsidRPr="00A261AC">
              <w:rPr>
                <w:rFonts w:ascii="Verdana" w:hAnsi="Verdana"/>
                <w:bCs/>
              </w:rPr>
              <w:t>A paper prepared by the Vice-Principal: Curriculum and Quality was received and considered.</w:t>
            </w:r>
          </w:p>
          <w:p w14:paraId="0210DCAB" w14:textId="77777777" w:rsidR="00A261AC" w:rsidRPr="00A261AC" w:rsidRDefault="00A261AC" w:rsidP="005D4B0C">
            <w:pPr>
              <w:rPr>
                <w:rFonts w:ascii="Verdana" w:hAnsi="Verdana"/>
                <w:bCs/>
              </w:rPr>
            </w:pPr>
          </w:p>
          <w:p w14:paraId="6EEB0489" w14:textId="1173D3E9" w:rsidR="00A261AC" w:rsidRPr="00A261AC" w:rsidRDefault="00A261AC" w:rsidP="005D4B0C">
            <w:pPr>
              <w:rPr>
                <w:rFonts w:ascii="Verdana" w:hAnsi="Verdana"/>
                <w:bCs/>
              </w:rPr>
            </w:pPr>
            <w:r w:rsidRPr="00A261AC">
              <w:rPr>
                <w:rFonts w:ascii="Verdana" w:hAnsi="Verdana"/>
                <w:bCs/>
              </w:rPr>
              <w:t>It was reported that:</w:t>
            </w:r>
          </w:p>
        </w:tc>
      </w:tr>
    </w:tbl>
    <w:p w14:paraId="43A28D9F" w14:textId="152ABAE1" w:rsidR="002803F7" w:rsidRPr="00A261AC" w:rsidRDefault="002803F7">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F03178" w:rsidRPr="00A261AC" w14:paraId="79C658B9" w14:textId="77777777" w:rsidTr="00A43B17">
        <w:tc>
          <w:tcPr>
            <w:tcW w:w="521" w:type="dxa"/>
          </w:tcPr>
          <w:p w14:paraId="2E3FD148" w14:textId="77777777" w:rsidR="00F03178" w:rsidRPr="00A261AC" w:rsidRDefault="00F03178" w:rsidP="00F03178">
            <w:pPr>
              <w:pStyle w:val="NoSpacing"/>
              <w:rPr>
                <w:b/>
              </w:rPr>
            </w:pPr>
          </w:p>
        </w:tc>
        <w:tc>
          <w:tcPr>
            <w:tcW w:w="296" w:type="dxa"/>
          </w:tcPr>
          <w:p w14:paraId="614C7F4F" w14:textId="77777777" w:rsidR="00F03178" w:rsidRPr="00A261AC" w:rsidRDefault="00F03178" w:rsidP="00F03178">
            <w:pPr>
              <w:pStyle w:val="NoSpacing"/>
              <w:rPr>
                <w:b/>
              </w:rPr>
            </w:pPr>
            <w:r w:rsidRPr="00A261AC">
              <w:rPr>
                <w:b/>
              </w:rPr>
              <w:t>.</w:t>
            </w:r>
          </w:p>
        </w:tc>
        <w:tc>
          <w:tcPr>
            <w:tcW w:w="8930" w:type="dxa"/>
          </w:tcPr>
          <w:p w14:paraId="0D4A1C71" w14:textId="14357288" w:rsidR="003E3025" w:rsidRPr="00A261AC" w:rsidRDefault="00A261AC" w:rsidP="00F03178">
            <w:pPr>
              <w:rPr>
                <w:rFonts w:ascii="Verdana" w:hAnsi="Verdana"/>
              </w:rPr>
            </w:pPr>
            <w:r w:rsidRPr="00A261AC">
              <w:rPr>
                <w:rFonts w:ascii="Verdana" w:hAnsi="Verdana"/>
              </w:rPr>
              <w:t xml:space="preserve">the need to improve attendance and punctuality is a perennial issue for the College </w:t>
            </w:r>
            <w:r w:rsidR="00CE4F8D">
              <w:rPr>
                <w:rFonts w:ascii="Verdana" w:hAnsi="Verdana"/>
              </w:rPr>
              <w:t>with a continuing effect on</w:t>
            </w:r>
            <w:r w:rsidRPr="00A261AC">
              <w:rPr>
                <w:rFonts w:ascii="Verdana" w:hAnsi="Verdana"/>
              </w:rPr>
              <w:t xml:space="preserve"> its outcomes;</w:t>
            </w:r>
          </w:p>
          <w:p w14:paraId="731F0A39" w14:textId="73A147BD" w:rsidR="00A261AC" w:rsidRPr="00A261AC" w:rsidRDefault="00A261AC" w:rsidP="00F03178">
            <w:pPr>
              <w:rPr>
                <w:rFonts w:ascii="Verdana" w:hAnsi="Verdana" w:cs="Arial"/>
              </w:rPr>
            </w:pPr>
          </w:p>
        </w:tc>
      </w:tr>
      <w:tr w:rsidR="00F03178" w:rsidRPr="008578A5" w14:paraId="10D894CA" w14:textId="77777777" w:rsidTr="00A43B17">
        <w:tc>
          <w:tcPr>
            <w:tcW w:w="521" w:type="dxa"/>
          </w:tcPr>
          <w:p w14:paraId="4946BCCC" w14:textId="77777777" w:rsidR="00F03178" w:rsidRPr="00A261AC" w:rsidRDefault="00F03178" w:rsidP="00F03178">
            <w:pPr>
              <w:pStyle w:val="NoSpacing"/>
              <w:rPr>
                <w:b/>
              </w:rPr>
            </w:pPr>
          </w:p>
        </w:tc>
        <w:tc>
          <w:tcPr>
            <w:tcW w:w="296" w:type="dxa"/>
          </w:tcPr>
          <w:p w14:paraId="39C5C73C" w14:textId="77777777" w:rsidR="00F03178" w:rsidRPr="00A261AC" w:rsidRDefault="00F03178" w:rsidP="00F03178">
            <w:pPr>
              <w:pStyle w:val="NoSpacing"/>
              <w:rPr>
                <w:b/>
              </w:rPr>
            </w:pPr>
            <w:r w:rsidRPr="00A261AC">
              <w:rPr>
                <w:b/>
              </w:rPr>
              <w:t>.</w:t>
            </w:r>
          </w:p>
        </w:tc>
        <w:tc>
          <w:tcPr>
            <w:tcW w:w="8930" w:type="dxa"/>
          </w:tcPr>
          <w:p w14:paraId="45661490" w14:textId="4A784EEA" w:rsidR="00A261AC" w:rsidRPr="00A261AC" w:rsidRDefault="00A261AC" w:rsidP="00F03178">
            <w:pPr>
              <w:rPr>
                <w:rFonts w:ascii="Verdana" w:hAnsi="Verdana"/>
              </w:rPr>
            </w:pPr>
            <w:r w:rsidRPr="00A261AC">
              <w:rPr>
                <w:rFonts w:ascii="Verdana" w:hAnsi="Verdana"/>
              </w:rPr>
              <w:t>London colleges tend to experience greater issues with attendance, p</w:t>
            </w:r>
            <w:r w:rsidR="00CE4F8D">
              <w:rPr>
                <w:rFonts w:ascii="Verdana" w:hAnsi="Verdana"/>
              </w:rPr>
              <w:t>ossi</w:t>
            </w:r>
            <w:r w:rsidRPr="00A261AC">
              <w:rPr>
                <w:rFonts w:ascii="Verdana" w:hAnsi="Verdana"/>
              </w:rPr>
              <w:t xml:space="preserve">bly </w:t>
            </w:r>
            <w:r w:rsidR="0093439D">
              <w:rPr>
                <w:rFonts w:ascii="Verdana" w:hAnsi="Verdana"/>
              </w:rPr>
              <w:t>because of</w:t>
            </w:r>
            <w:r w:rsidRPr="00A261AC">
              <w:rPr>
                <w:rFonts w:ascii="Verdana" w:hAnsi="Verdana"/>
              </w:rPr>
              <w:t xml:space="preserve"> students’ more complicated travel patterns as well as the frequency of transport giving </w:t>
            </w:r>
            <w:r w:rsidR="0093439D">
              <w:rPr>
                <w:rFonts w:ascii="Verdana" w:hAnsi="Verdana"/>
              </w:rPr>
              <w:t>them</w:t>
            </w:r>
            <w:r w:rsidRPr="00A261AC">
              <w:rPr>
                <w:rFonts w:ascii="Verdana" w:hAnsi="Verdana"/>
              </w:rPr>
              <w:t xml:space="preserve"> the illusion that they can put off leaving until ‘the last minute’;</w:t>
            </w:r>
          </w:p>
          <w:p w14:paraId="006736CB" w14:textId="65F6BAB8" w:rsidR="003E3025" w:rsidRPr="00A261AC" w:rsidRDefault="00A261AC" w:rsidP="00F03178">
            <w:pPr>
              <w:rPr>
                <w:rFonts w:ascii="Verdana" w:hAnsi="Verdana" w:cs="Arial"/>
              </w:rPr>
            </w:pPr>
            <w:r w:rsidRPr="00A261AC">
              <w:rPr>
                <w:rFonts w:ascii="Verdana" w:hAnsi="Verdana"/>
              </w:rPr>
              <w:t xml:space="preserve">  </w:t>
            </w:r>
          </w:p>
        </w:tc>
      </w:tr>
      <w:tr w:rsidR="00F03178" w:rsidRPr="00CA4D79" w14:paraId="2980DDEA" w14:textId="77777777" w:rsidTr="00A43B17">
        <w:tc>
          <w:tcPr>
            <w:tcW w:w="521" w:type="dxa"/>
          </w:tcPr>
          <w:p w14:paraId="5FD0C03B" w14:textId="77777777" w:rsidR="00F03178" w:rsidRPr="00A261AC" w:rsidRDefault="00F03178" w:rsidP="00F03178">
            <w:pPr>
              <w:pStyle w:val="NoSpacing"/>
              <w:rPr>
                <w:b/>
              </w:rPr>
            </w:pPr>
          </w:p>
        </w:tc>
        <w:tc>
          <w:tcPr>
            <w:tcW w:w="296" w:type="dxa"/>
          </w:tcPr>
          <w:p w14:paraId="666B6FC6" w14:textId="77777777" w:rsidR="00F03178" w:rsidRPr="00A261AC" w:rsidRDefault="00F03178" w:rsidP="00F03178">
            <w:pPr>
              <w:pStyle w:val="NoSpacing"/>
              <w:rPr>
                <w:b/>
              </w:rPr>
            </w:pPr>
            <w:r w:rsidRPr="00A261AC">
              <w:rPr>
                <w:b/>
              </w:rPr>
              <w:t>.</w:t>
            </w:r>
          </w:p>
        </w:tc>
        <w:tc>
          <w:tcPr>
            <w:tcW w:w="8930" w:type="dxa"/>
          </w:tcPr>
          <w:p w14:paraId="4B0F42E8" w14:textId="274CD9A4" w:rsidR="00380983" w:rsidRPr="00A261AC" w:rsidRDefault="00A261AC" w:rsidP="00F03178">
            <w:pPr>
              <w:pStyle w:val="NoSpacing"/>
            </w:pPr>
            <w:r w:rsidRPr="00A261AC">
              <w:t>there is no valid and publicly available benchmarking for attendance, but at the last inspection the College’s attendance was deemed</w:t>
            </w:r>
            <w:r w:rsidR="00F22FCB">
              <w:t xml:space="preserve"> by Ofsted</w:t>
            </w:r>
            <w:r w:rsidRPr="00A261AC">
              <w:t xml:space="preserve"> to be at the</w:t>
            </w:r>
            <w:r w:rsidR="00F22FCB">
              <w:t xml:space="preserve"> sector</w:t>
            </w:r>
            <w:r w:rsidRPr="00A261AC">
              <w:t xml:space="preserve"> average, and a 2018 national survey from the Association of Colleges found FE 16-18 attendance for the academic year to have been 85%, with </w:t>
            </w:r>
            <w:r w:rsidR="00F22FCB">
              <w:t xml:space="preserve">attendance </w:t>
            </w:r>
            <w:r w:rsidR="00F22FCB" w:rsidRPr="00A261AC">
              <w:t>for the same group</w:t>
            </w:r>
            <w:r w:rsidR="00F22FCB">
              <w:t xml:space="preserve"> at </w:t>
            </w:r>
            <w:r w:rsidRPr="00A261AC">
              <w:t>foundation English and Maths course</w:t>
            </w:r>
            <w:r w:rsidR="00F22FCB">
              <w:t>s</w:t>
            </w:r>
            <w:r w:rsidRPr="00A261AC">
              <w:t xml:space="preserve"> measured at 80%;</w:t>
            </w:r>
          </w:p>
          <w:p w14:paraId="60FABABD" w14:textId="37BC3A24" w:rsidR="00A261AC" w:rsidRPr="00A261AC" w:rsidRDefault="00A261AC" w:rsidP="00F03178">
            <w:pPr>
              <w:pStyle w:val="NoSpacing"/>
            </w:pPr>
          </w:p>
        </w:tc>
      </w:tr>
      <w:tr w:rsidR="003E3025" w:rsidRPr="00640B9C" w14:paraId="15558495" w14:textId="77777777" w:rsidTr="00A43B17">
        <w:tc>
          <w:tcPr>
            <w:tcW w:w="521" w:type="dxa"/>
          </w:tcPr>
          <w:p w14:paraId="0C4951AA" w14:textId="77777777" w:rsidR="003E3025" w:rsidRPr="00640B9C" w:rsidRDefault="003E3025" w:rsidP="00F03178">
            <w:pPr>
              <w:pStyle w:val="NoSpacing"/>
              <w:rPr>
                <w:b/>
              </w:rPr>
            </w:pPr>
          </w:p>
        </w:tc>
        <w:tc>
          <w:tcPr>
            <w:tcW w:w="296" w:type="dxa"/>
          </w:tcPr>
          <w:p w14:paraId="73CEA0AD" w14:textId="004CA350" w:rsidR="003E3025" w:rsidRPr="00640B9C" w:rsidRDefault="003E3025" w:rsidP="00F03178">
            <w:pPr>
              <w:pStyle w:val="NoSpacing"/>
              <w:rPr>
                <w:b/>
              </w:rPr>
            </w:pPr>
            <w:r w:rsidRPr="00640B9C">
              <w:rPr>
                <w:b/>
              </w:rPr>
              <w:t>.</w:t>
            </w:r>
          </w:p>
        </w:tc>
        <w:tc>
          <w:tcPr>
            <w:tcW w:w="8930" w:type="dxa"/>
          </w:tcPr>
          <w:p w14:paraId="58F6F658" w14:textId="086D3113" w:rsidR="003E3025" w:rsidRPr="00640B9C" w:rsidRDefault="00A261AC" w:rsidP="00F03178">
            <w:pPr>
              <w:pStyle w:val="NoSpacing"/>
            </w:pPr>
            <w:r w:rsidRPr="00640B9C">
              <w:t xml:space="preserve">in the academic year 2018-19, the attendance of students improved slightly from the previous year, but several factors in the current academic year have created </w:t>
            </w:r>
            <w:r w:rsidR="0093439D">
              <w:t xml:space="preserve">new </w:t>
            </w:r>
            <w:r w:rsidRPr="00640B9C">
              <w:t>challenges, namely:</w:t>
            </w:r>
          </w:p>
        </w:tc>
      </w:tr>
    </w:tbl>
    <w:p w14:paraId="22344D0A" w14:textId="79AA295D" w:rsidR="00DF4467" w:rsidRPr="00640B9C" w:rsidRDefault="00DF4467" w:rsidP="00402468">
      <w:pPr>
        <w:rPr>
          <w:rFonts w:ascii="Verdana" w:hAnsi="Verdan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635"/>
      </w:tblGrid>
      <w:tr w:rsidR="00A261AC" w:rsidRPr="00640B9C" w14:paraId="5C49BD1B" w14:textId="77777777" w:rsidTr="00A43B17">
        <w:tc>
          <w:tcPr>
            <w:tcW w:w="561" w:type="dxa"/>
          </w:tcPr>
          <w:p w14:paraId="174DE31A" w14:textId="77777777" w:rsidR="00A261AC" w:rsidRPr="00640B9C" w:rsidRDefault="00A261AC" w:rsidP="00402468">
            <w:pPr>
              <w:rPr>
                <w:rFonts w:ascii="Verdana" w:hAnsi="Verdana"/>
              </w:rPr>
            </w:pPr>
          </w:p>
        </w:tc>
        <w:tc>
          <w:tcPr>
            <w:tcW w:w="284" w:type="dxa"/>
          </w:tcPr>
          <w:p w14:paraId="220E2846" w14:textId="77777777" w:rsidR="00A261AC" w:rsidRPr="00640B9C" w:rsidRDefault="00A261AC" w:rsidP="00402468">
            <w:pPr>
              <w:rPr>
                <w:rFonts w:ascii="Verdana" w:hAnsi="Verdana"/>
              </w:rPr>
            </w:pPr>
          </w:p>
        </w:tc>
        <w:tc>
          <w:tcPr>
            <w:tcW w:w="296" w:type="dxa"/>
          </w:tcPr>
          <w:p w14:paraId="142BD861" w14:textId="030D09E8" w:rsidR="00A261AC" w:rsidRPr="00640B9C" w:rsidRDefault="00640B9C" w:rsidP="00402468">
            <w:pPr>
              <w:rPr>
                <w:rFonts w:ascii="Verdana" w:hAnsi="Verdana"/>
                <w:b/>
                <w:bCs/>
              </w:rPr>
            </w:pPr>
            <w:r w:rsidRPr="00640B9C">
              <w:rPr>
                <w:rFonts w:ascii="Verdana" w:hAnsi="Verdana"/>
                <w:b/>
                <w:bCs/>
              </w:rPr>
              <w:t>.</w:t>
            </w:r>
          </w:p>
        </w:tc>
        <w:tc>
          <w:tcPr>
            <w:tcW w:w="8635" w:type="dxa"/>
          </w:tcPr>
          <w:p w14:paraId="29361316" w14:textId="0BFB54AF" w:rsidR="00A261AC" w:rsidRPr="00640B9C" w:rsidRDefault="00640B9C" w:rsidP="00402468">
            <w:pPr>
              <w:rPr>
                <w:rFonts w:ascii="Verdana" w:hAnsi="Verdana"/>
              </w:rPr>
            </w:pPr>
            <w:r w:rsidRPr="00640B9C">
              <w:rPr>
                <w:rFonts w:ascii="Verdana" w:hAnsi="Verdana"/>
              </w:rPr>
              <w:t xml:space="preserve">at the start of the year there </w:t>
            </w:r>
            <w:r w:rsidR="0093439D">
              <w:rPr>
                <w:rFonts w:ascii="Verdana" w:hAnsi="Verdana"/>
              </w:rPr>
              <w:t>had been</w:t>
            </w:r>
            <w:r w:rsidRPr="00640B9C">
              <w:rPr>
                <w:rFonts w:ascii="Verdana" w:hAnsi="Verdana"/>
              </w:rPr>
              <w:t xml:space="preserve"> fewer staff engaged to call students on day</w:t>
            </w:r>
            <w:r w:rsidR="00CE4F8D">
              <w:rPr>
                <w:rFonts w:ascii="Verdana" w:hAnsi="Verdana"/>
              </w:rPr>
              <w:t>s</w:t>
            </w:r>
            <w:r w:rsidRPr="00640B9C">
              <w:rPr>
                <w:rFonts w:ascii="Verdana" w:hAnsi="Verdana"/>
              </w:rPr>
              <w:t xml:space="preserve"> when they were absent (largely </w:t>
            </w:r>
            <w:r w:rsidR="00F22FCB">
              <w:rPr>
                <w:rFonts w:ascii="Verdana" w:hAnsi="Verdana"/>
              </w:rPr>
              <w:t>because of</w:t>
            </w:r>
            <w:r w:rsidRPr="00640B9C">
              <w:rPr>
                <w:rFonts w:ascii="Verdana" w:hAnsi="Verdana"/>
              </w:rPr>
              <w:t xml:space="preserve"> budgetary constraint</w:t>
            </w:r>
            <w:r w:rsidR="00CE4F8D">
              <w:rPr>
                <w:rFonts w:ascii="Verdana" w:hAnsi="Verdana"/>
              </w:rPr>
              <w:t>s</w:t>
            </w:r>
            <w:r w:rsidRPr="00640B9C">
              <w:rPr>
                <w:rFonts w:ascii="Verdana" w:hAnsi="Verdana"/>
              </w:rPr>
              <w:t xml:space="preserve"> as SCIF funding ceased);</w:t>
            </w:r>
          </w:p>
          <w:p w14:paraId="7118B7A2" w14:textId="342276D8" w:rsidR="00640B9C" w:rsidRPr="00640B9C" w:rsidRDefault="00640B9C" w:rsidP="00402468">
            <w:pPr>
              <w:rPr>
                <w:rFonts w:ascii="Verdana" w:hAnsi="Verdana"/>
              </w:rPr>
            </w:pPr>
          </w:p>
        </w:tc>
      </w:tr>
      <w:tr w:rsidR="00A261AC" w:rsidRPr="00640B9C" w14:paraId="47EE7BA9" w14:textId="77777777" w:rsidTr="00A43B17">
        <w:tc>
          <w:tcPr>
            <w:tcW w:w="561" w:type="dxa"/>
          </w:tcPr>
          <w:p w14:paraId="13E8AD5F" w14:textId="77777777" w:rsidR="00A261AC" w:rsidRPr="00640B9C" w:rsidRDefault="00A261AC" w:rsidP="00402468">
            <w:pPr>
              <w:rPr>
                <w:rFonts w:ascii="Verdana" w:hAnsi="Verdana"/>
              </w:rPr>
            </w:pPr>
          </w:p>
        </w:tc>
        <w:tc>
          <w:tcPr>
            <w:tcW w:w="284" w:type="dxa"/>
          </w:tcPr>
          <w:p w14:paraId="604FD2F4" w14:textId="77777777" w:rsidR="00A261AC" w:rsidRPr="00640B9C" w:rsidRDefault="00A261AC" w:rsidP="00402468">
            <w:pPr>
              <w:rPr>
                <w:rFonts w:ascii="Verdana" w:hAnsi="Verdana"/>
              </w:rPr>
            </w:pPr>
          </w:p>
        </w:tc>
        <w:tc>
          <w:tcPr>
            <w:tcW w:w="296" w:type="dxa"/>
          </w:tcPr>
          <w:p w14:paraId="715CB261" w14:textId="2641AF6C" w:rsidR="00A261AC" w:rsidRPr="00640B9C" w:rsidRDefault="00640B9C" w:rsidP="00402468">
            <w:pPr>
              <w:rPr>
                <w:rFonts w:ascii="Verdana" w:hAnsi="Verdana"/>
                <w:b/>
                <w:bCs/>
              </w:rPr>
            </w:pPr>
            <w:r w:rsidRPr="00640B9C">
              <w:rPr>
                <w:rFonts w:ascii="Verdana" w:hAnsi="Verdana"/>
                <w:b/>
                <w:bCs/>
              </w:rPr>
              <w:t>.</w:t>
            </w:r>
          </w:p>
        </w:tc>
        <w:tc>
          <w:tcPr>
            <w:tcW w:w="8635" w:type="dxa"/>
          </w:tcPr>
          <w:p w14:paraId="4E618B94" w14:textId="694197F6" w:rsidR="00A261AC" w:rsidRPr="00640B9C" w:rsidRDefault="00640B9C" w:rsidP="00402468">
            <w:pPr>
              <w:rPr>
                <w:rFonts w:ascii="Verdana" w:hAnsi="Verdana"/>
              </w:rPr>
            </w:pPr>
            <w:r w:rsidRPr="00640B9C">
              <w:rPr>
                <w:rFonts w:ascii="Verdana" w:hAnsi="Verdana"/>
              </w:rPr>
              <w:t xml:space="preserve">there </w:t>
            </w:r>
            <w:r w:rsidR="0093439D">
              <w:rPr>
                <w:rFonts w:ascii="Verdana" w:hAnsi="Verdana"/>
              </w:rPr>
              <w:t>had</w:t>
            </w:r>
            <w:r w:rsidRPr="00640B9C">
              <w:rPr>
                <w:rFonts w:ascii="Verdana" w:hAnsi="Verdana"/>
              </w:rPr>
              <w:t xml:space="preserve"> </w:t>
            </w:r>
            <w:r w:rsidR="00CE4F8D">
              <w:rPr>
                <w:rFonts w:ascii="Verdana" w:hAnsi="Verdana"/>
              </w:rPr>
              <w:t>also</w:t>
            </w:r>
            <w:r w:rsidR="0093439D">
              <w:rPr>
                <w:rFonts w:ascii="Verdana" w:hAnsi="Verdana"/>
              </w:rPr>
              <w:t xml:space="preserve"> been</w:t>
            </w:r>
            <w:r w:rsidR="00CE4F8D">
              <w:rPr>
                <w:rFonts w:ascii="Verdana" w:hAnsi="Verdana"/>
              </w:rPr>
              <w:t xml:space="preserve"> </w:t>
            </w:r>
            <w:r w:rsidRPr="00640B9C">
              <w:rPr>
                <w:rFonts w:ascii="Verdana" w:hAnsi="Verdana"/>
              </w:rPr>
              <w:t xml:space="preserve">fewer permanent </w:t>
            </w:r>
            <w:r w:rsidR="0093439D">
              <w:rPr>
                <w:rFonts w:ascii="Verdana" w:hAnsi="Verdana"/>
              </w:rPr>
              <w:t>p</w:t>
            </w:r>
            <w:r w:rsidRPr="00640B9C">
              <w:rPr>
                <w:rFonts w:ascii="Verdana" w:hAnsi="Verdana"/>
              </w:rPr>
              <w:t xml:space="preserve">ersonal </w:t>
            </w:r>
            <w:r w:rsidR="0093439D">
              <w:rPr>
                <w:rFonts w:ascii="Verdana" w:hAnsi="Verdana"/>
              </w:rPr>
              <w:t>m</w:t>
            </w:r>
            <w:r w:rsidRPr="00640B9C">
              <w:rPr>
                <w:rFonts w:ascii="Verdana" w:hAnsi="Verdana"/>
              </w:rPr>
              <w:t xml:space="preserve">entors </w:t>
            </w:r>
            <w:r w:rsidR="00F22FCB">
              <w:rPr>
                <w:rFonts w:ascii="Verdana" w:hAnsi="Verdana"/>
              </w:rPr>
              <w:t>owing to</w:t>
            </w:r>
            <w:r w:rsidRPr="00640B9C">
              <w:rPr>
                <w:rFonts w:ascii="Verdana" w:hAnsi="Verdana"/>
              </w:rPr>
              <w:t xml:space="preserve"> staffing issues;</w:t>
            </w:r>
          </w:p>
          <w:p w14:paraId="0C3427FB" w14:textId="38B68D8F" w:rsidR="00640B9C" w:rsidRPr="00640B9C" w:rsidRDefault="00640B9C" w:rsidP="00402468">
            <w:pPr>
              <w:rPr>
                <w:rFonts w:ascii="Verdana" w:hAnsi="Verdana"/>
              </w:rPr>
            </w:pPr>
          </w:p>
        </w:tc>
      </w:tr>
      <w:tr w:rsidR="00A261AC" w:rsidRPr="00640B9C" w14:paraId="0DD28C77" w14:textId="77777777" w:rsidTr="00A43B17">
        <w:tc>
          <w:tcPr>
            <w:tcW w:w="561" w:type="dxa"/>
          </w:tcPr>
          <w:p w14:paraId="230AD412" w14:textId="77777777" w:rsidR="00A261AC" w:rsidRPr="00640B9C" w:rsidRDefault="00A261AC" w:rsidP="00402468">
            <w:pPr>
              <w:rPr>
                <w:rFonts w:ascii="Verdana" w:hAnsi="Verdana"/>
              </w:rPr>
            </w:pPr>
          </w:p>
        </w:tc>
        <w:tc>
          <w:tcPr>
            <w:tcW w:w="284" w:type="dxa"/>
          </w:tcPr>
          <w:p w14:paraId="71766990" w14:textId="77777777" w:rsidR="00A261AC" w:rsidRPr="00640B9C" w:rsidRDefault="00A261AC" w:rsidP="00402468">
            <w:pPr>
              <w:rPr>
                <w:rFonts w:ascii="Verdana" w:hAnsi="Verdana"/>
              </w:rPr>
            </w:pPr>
          </w:p>
        </w:tc>
        <w:tc>
          <w:tcPr>
            <w:tcW w:w="296" w:type="dxa"/>
          </w:tcPr>
          <w:p w14:paraId="66BCADE6" w14:textId="40F3872C" w:rsidR="00A261AC" w:rsidRPr="00640B9C" w:rsidRDefault="00640B9C" w:rsidP="00402468">
            <w:pPr>
              <w:rPr>
                <w:rFonts w:ascii="Verdana" w:hAnsi="Verdana"/>
                <w:b/>
                <w:bCs/>
              </w:rPr>
            </w:pPr>
            <w:r w:rsidRPr="00640B9C">
              <w:rPr>
                <w:rFonts w:ascii="Verdana" w:hAnsi="Verdana"/>
                <w:b/>
                <w:bCs/>
              </w:rPr>
              <w:t>.</w:t>
            </w:r>
          </w:p>
        </w:tc>
        <w:tc>
          <w:tcPr>
            <w:tcW w:w="8635" w:type="dxa"/>
          </w:tcPr>
          <w:p w14:paraId="6E0A9B95" w14:textId="78366F5B" w:rsidR="00A261AC" w:rsidRPr="00640B9C" w:rsidRDefault="00AC1211" w:rsidP="00402468">
            <w:pPr>
              <w:rPr>
                <w:rFonts w:ascii="Verdana" w:hAnsi="Verdana"/>
                <w:i/>
                <w:iCs/>
              </w:rPr>
            </w:pPr>
            <w:r>
              <w:rPr>
                <w:rFonts w:ascii="Verdana" w:hAnsi="Verdana"/>
              </w:rPr>
              <w:t xml:space="preserve">following </w:t>
            </w:r>
            <w:r w:rsidR="00640B9C" w:rsidRPr="00640B9C">
              <w:rPr>
                <w:rFonts w:ascii="Verdana" w:hAnsi="Verdana"/>
              </w:rPr>
              <w:t>a decision</w:t>
            </w:r>
            <w:r w:rsidR="00F22FCB">
              <w:rPr>
                <w:rFonts w:ascii="Verdana" w:hAnsi="Verdana"/>
              </w:rPr>
              <w:t xml:space="preserve"> not</w:t>
            </w:r>
            <w:r w:rsidR="00640B9C" w:rsidRPr="00640B9C">
              <w:rPr>
                <w:rFonts w:ascii="Verdana" w:hAnsi="Verdana"/>
              </w:rPr>
              <w:t xml:space="preserve"> to move A </w:t>
            </w:r>
            <w:proofErr w:type="gramStart"/>
            <w:r w:rsidR="00640B9C" w:rsidRPr="00640B9C">
              <w:rPr>
                <w:rFonts w:ascii="Verdana" w:hAnsi="Verdana"/>
              </w:rPr>
              <w:t>Level students</w:t>
            </w:r>
            <w:proofErr w:type="gramEnd"/>
            <w:r w:rsidR="00640B9C" w:rsidRPr="00640B9C">
              <w:rPr>
                <w:rFonts w:ascii="Verdana" w:hAnsi="Verdana"/>
              </w:rPr>
              <w:t xml:space="preserve"> to alternative programmes </w:t>
            </w:r>
            <w:r w:rsidR="00F22FCB">
              <w:rPr>
                <w:rFonts w:ascii="Verdana" w:hAnsi="Verdana"/>
              </w:rPr>
              <w:t>unless</w:t>
            </w:r>
            <w:r w:rsidR="00640B9C" w:rsidRPr="00640B9C">
              <w:rPr>
                <w:rFonts w:ascii="Verdana" w:hAnsi="Verdana"/>
              </w:rPr>
              <w:t xml:space="preserve"> it </w:t>
            </w:r>
            <w:r w:rsidR="00F22FCB">
              <w:rPr>
                <w:rFonts w:ascii="Verdana" w:hAnsi="Verdana"/>
              </w:rPr>
              <w:t>i</w:t>
            </w:r>
            <w:r w:rsidR="00640B9C" w:rsidRPr="00640B9C">
              <w:rPr>
                <w:rFonts w:ascii="Verdana" w:hAnsi="Verdana"/>
              </w:rPr>
              <w:t>s clear that they</w:t>
            </w:r>
            <w:r w:rsidR="00F22FCB">
              <w:rPr>
                <w:rFonts w:ascii="Verdana" w:hAnsi="Verdana"/>
              </w:rPr>
              <w:t xml:space="preserve"> otherwise</w:t>
            </w:r>
            <w:r w:rsidR="00640B9C" w:rsidRPr="00640B9C">
              <w:rPr>
                <w:rFonts w:ascii="Verdana" w:hAnsi="Verdana"/>
              </w:rPr>
              <w:t xml:space="preserve"> risk failure, or </w:t>
            </w:r>
            <w:r w:rsidR="00F22FCB">
              <w:rPr>
                <w:rFonts w:ascii="Verdana" w:hAnsi="Verdana"/>
              </w:rPr>
              <w:t>have a good reason for seeking to change</w:t>
            </w:r>
            <w:r w:rsidR="0093439D">
              <w:rPr>
                <w:rFonts w:ascii="Verdana" w:hAnsi="Verdana"/>
              </w:rPr>
              <w:t>,</w:t>
            </w:r>
            <w:r w:rsidR="00CE4F8D">
              <w:rPr>
                <w:rFonts w:ascii="Verdana" w:hAnsi="Verdana"/>
              </w:rPr>
              <w:t xml:space="preserve"> </w:t>
            </w:r>
            <w:r w:rsidR="00640B9C" w:rsidRPr="00640B9C">
              <w:rPr>
                <w:rFonts w:ascii="Verdana" w:hAnsi="Verdana"/>
              </w:rPr>
              <w:t xml:space="preserve">a slightly higher proportion of poorly attending A Level students were admitted into the second year; </w:t>
            </w:r>
            <w:r w:rsidR="00640B9C" w:rsidRPr="00640B9C">
              <w:rPr>
                <w:rFonts w:ascii="Verdana" w:hAnsi="Verdana"/>
                <w:i/>
                <w:iCs/>
              </w:rPr>
              <w:t>and</w:t>
            </w:r>
          </w:p>
          <w:p w14:paraId="6F6842AB" w14:textId="6B63C85E" w:rsidR="00640B9C" w:rsidRPr="00640B9C" w:rsidRDefault="00640B9C" w:rsidP="00402468">
            <w:pPr>
              <w:rPr>
                <w:rFonts w:ascii="Verdana" w:hAnsi="Verdana"/>
              </w:rPr>
            </w:pPr>
          </w:p>
        </w:tc>
      </w:tr>
      <w:tr w:rsidR="00A261AC" w:rsidRPr="00640B9C" w14:paraId="056F1CE5" w14:textId="77777777" w:rsidTr="00A43B17">
        <w:tc>
          <w:tcPr>
            <w:tcW w:w="561" w:type="dxa"/>
          </w:tcPr>
          <w:p w14:paraId="61636BE6" w14:textId="77777777" w:rsidR="00A261AC" w:rsidRPr="00640B9C" w:rsidRDefault="00A261AC" w:rsidP="00402468">
            <w:pPr>
              <w:rPr>
                <w:rFonts w:ascii="Verdana" w:hAnsi="Verdana"/>
              </w:rPr>
            </w:pPr>
          </w:p>
        </w:tc>
        <w:tc>
          <w:tcPr>
            <w:tcW w:w="284" w:type="dxa"/>
          </w:tcPr>
          <w:p w14:paraId="3E2F3903" w14:textId="77777777" w:rsidR="00A261AC" w:rsidRPr="00640B9C" w:rsidRDefault="00A261AC" w:rsidP="00402468">
            <w:pPr>
              <w:rPr>
                <w:rFonts w:ascii="Verdana" w:hAnsi="Verdana"/>
              </w:rPr>
            </w:pPr>
          </w:p>
        </w:tc>
        <w:tc>
          <w:tcPr>
            <w:tcW w:w="296" w:type="dxa"/>
          </w:tcPr>
          <w:p w14:paraId="34AAF57E" w14:textId="599571A8" w:rsidR="00A261AC" w:rsidRPr="00640B9C" w:rsidRDefault="00640B9C" w:rsidP="00402468">
            <w:pPr>
              <w:rPr>
                <w:rFonts w:ascii="Verdana" w:hAnsi="Verdana"/>
                <w:b/>
                <w:bCs/>
              </w:rPr>
            </w:pPr>
            <w:r w:rsidRPr="00640B9C">
              <w:rPr>
                <w:rFonts w:ascii="Verdana" w:hAnsi="Verdana"/>
                <w:b/>
                <w:bCs/>
              </w:rPr>
              <w:t>.</w:t>
            </w:r>
          </w:p>
        </w:tc>
        <w:tc>
          <w:tcPr>
            <w:tcW w:w="8635" w:type="dxa"/>
          </w:tcPr>
          <w:p w14:paraId="1D98AE9A" w14:textId="6A6DAB95" w:rsidR="00A261AC" w:rsidRPr="00640B9C" w:rsidRDefault="00640B9C" w:rsidP="00402468">
            <w:pPr>
              <w:rPr>
                <w:rFonts w:ascii="Verdana" w:hAnsi="Verdana"/>
              </w:rPr>
            </w:pPr>
            <w:r w:rsidRPr="00640B9C">
              <w:rPr>
                <w:rFonts w:ascii="Verdana" w:hAnsi="Verdana"/>
              </w:rPr>
              <w:t>there ha</w:t>
            </w:r>
            <w:r w:rsidR="0093439D">
              <w:rPr>
                <w:rFonts w:ascii="Verdana" w:hAnsi="Verdana"/>
              </w:rPr>
              <w:t>d</w:t>
            </w:r>
            <w:r w:rsidRPr="00640B9C">
              <w:rPr>
                <w:rFonts w:ascii="Verdana" w:hAnsi="Verdana"/>
              </w:rPr>
              <w:t xml:space="preserve"> been three strike days as part of NEU’s national campaign of action, with a fourth strike day proposed </w:t>
            </w:r>
            <w:r w:rsidR="0093439D">
              <w:rPr>
                <w:rFonts w:ascii="Verdana" w:hAnsi="Verdana"/>
              </w:rPr>
              <w:t>for</w:t>
            </w:r>
            <w:r w:rsidRPr="00640B9C">
              <w:rPr>
                <w:rFonts w:ascii="Verdana" w:hAnsi="Verdana"/>
              </w:rPr>
              <w:t xml:space="preserve"> mid-February.</w:t>
            </w:r>
          </w:p>
        </w:tc>
      </w:tr>
    </w:tbl>
    <w:p w14:paraId="1001CAA7" w14:textId="77777777" w:rsidR="00A261AC" w:rsidRDefault="00A261AC" w:rsidP="00402468"/>
    <w:tbl>
      <w:tblPr>
        <w:tblStyle w:val="TableGrid"/>
        <w:tblW w:w="9747" w:type="dxa"/>
        <w:tblLook w:val="04A0" w:firstRow="1" w:lastRow="0" w:firstColumn="1" w:lastColumn="0" w:noHBand="0" w:noVBand="1"/>
      </w:tblPr>
      <w:tblGrid>
        <w:gridCol w:w="521"/>
        <w:gridCol w:w="296"/>
        <w:gridCol w:w="8930"/>
      </w:tblGrid>
      <w:tr w:rsidR="00CE4F8D" w:rsidRPr="00802F69" w14:paraId="6C4FE413" w14:textId="77777777" w:rsidTr="00A43B17">
        <w:tc>
          <w:tcPr>
            <w:tcW w:w="521" w:type="dxa"/>
            <w:tcBorders>
              <w:top w:val="nil"/>
              <w:left w:val="nil"/>
              <w:bottom w:val="nil"/>
              <w:right w:val="nil"/>
            </w:tcBorders>
          </w:tcPr>
          <w:p w14:paraId="0A5C0592" w14:textId="77777777" w:rsidR="00CE4F8D" w:rsidRPr="00802F69" w:rsidRDefault="00CE4F8D" w:rsidP="0012773D">
            <w:pPr>
              <w:pStyle w:val="NoSpacing"/>
              <w:rPr>
                <w:b/>
              </w:rPr>
            </w:pPr>
          </w:p>
        </w:tc>
        <w:tc>
          <w:tcPr>
            <w:tcW w:w="296" w:type="dxa"/>
            <w:tcBorders>
              <w:top w:val="nil"/>
              <w:left w:val="nil"/>
              <w:bottom w:val="nil"/>
              <w:right w:val="nil"/>
            </w:tcBorders>
          </w:tcPr>
          <w:p w14:paraId="074E6106" w14:textId="77777777" w:rsidR="00CE4F8D" w:rsidRPr="00802F69" w:rsidRDefault="00CE4F8D" w:rsidP="0012773D">
            <w:pPr>
              <w:pStyle w:val="NoSpacing"/>
              <w:rPr>
                <w:b/>
              </w:rPr>
            </w:pPr>
            <w:r w:rsidRPr="00802F69">
              <w:rPr>
                <w:b/>
              </w:rPr>
              <w:t>.</w:t>
            </w:r>
          </w:p>
        </w:tc>
        <w:tc>
          <w:tcPr>
            <w:tcW w:w="8930" w:type="dxa"/>
            <w:tcBorders>
              <w:top w:val="nil"/>
              <w:left w:val="nil"/>
              <w:bottom w:val="nil"/>
              <w:right w:val="nil"/>
            </w:tcBorders>
          </w:tcPr>
          <w:p w14:paraId="64ECD262" w14:textId="4F19D262" w:rsidR="00CE4F8D" w:rsidRPr="00802F69" w:rsidRDefault="00CE4F8D" w:rsidP="0012773D">
            <w:pPr>
              <w:pStyle w:val="NoSpacing"/>
            </w:pPr>
            <w:r w:rsidRPr="00802F69">
              <w:t>the following systems are in place</w:t>
            </w:r>
            <w:r w:rsidR="0093439D">
              <w:t xml:space="preserve"> and operating</w:t>
            </w:r>
            <w:r w:rsidRPr="00802F69">
              <w:t>:</w:t>
            </w:r>
          </w:p>
        </w:tc>
      </w:tr>
    </w:tbl>
    <w:p w14:paraId="2710EFA4" w14:textId="74A80B54" w:rsidR="0084389B" w:rsidRPr="00802F69" w:rsidRDefault="0084389B" w:rsidP="00402468">
      <w:pPr>
        <w:rPr>
          <w:rFonts w:ascii="Verdana" w:hAnsi="Verdan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635"/>
      </w:tblGrid>
      <w:tr w:rsidR="00CE4F8D" w:rsidRPr="00802F69" w14:paraId="4B129F37" w14:textId="77777777" w:rsidTr="00A43B17">
        <w:tc>
          <w:tcPr>
            <w:tcW w:w="561" w:type="dxa"/>
          </w:tcPr>
          <w:p w14:paraId="16B5C2CD" w14:textId="77777777" w:rsidR="00CE4F8D" w:rsidRPr="00802F69" w:rsidRDefault="00CE4F8D" w:rsidP="0012773D">
            <w:pPr>
              <w:rPr>
                <w:rFonts w:ascii="Verdana" w:hAnsi="Verdana"/>
              </w:rPr>
            </w:pPr>
          </w:p>
        </w:tc>
        <w:tc>
          <w:tcPr>
            <w:tcW w:w="284" w:type="dxa"/>
          </w:tcPr>
          <w:p w14:paraId="55FEF708" w14:textId="77777777" w:rsidR="00CE4F8D" w:rsidRPr="00802F69" w:rsidRDefault="00CE4F8D" w:rsidP="0012773D">
            <w:pPr>
              <w:rPr>
                <w:rFonts w:ascii="Verdana" w:hAnsi="Verdana"/>
              </w:rPr>
            </w:pPr>
          </w:p>
        </w:tc>
        <w:tc>
          <w:tcPr>
            <w:tcW w:w="296" w:type="dxa"/>
          </w:tcPr>
          <w:p w14:paraId="3157CF77" w14:textId="77777777" w:rsidR="00CE4F8D" w:rsidRPr="00802F69" w:rsidRDefault="00CE4F8D" w:rsidP="0012773D">
            <w:pPr>
              <w:rPr>
                <w:rFonts w:ascii="Verdana" w:hAnsi="Verdana"/>
                <w:b/>
                <w:bCs/>
              </w:rPr>
            </w:pPr>
            <w:r w:rsidRPr="00802F69">
              <w:rPr>
                <w:rFonts w:ascii="Verdana" w:hAnsi="Verdana"/>
                <w:b/>
                <w:bCs/>
              </w:rPr>
              <w:t>.</w:t>
            </w:r>
          </w:p>
        </w:tc>
        <w:tc>
          <w:tcPr>
            <w:tcW w:w="8635" w:type="dxa"/>
          </w:tcPr>
          <w:p w14:paraId="44412A09" w14:textId="06B0F3EC" w:rsidR="00CE4F8D" w:rsidRPr="00802F69" w:rsidRDefault="00CE4F8D" w:rsidP="0012773D">
            <w:pPr>
              <w:rPr>
                <w:rFonts w:ascii="Verdana" w:hAnsi="Verdana"/>
              </w:rPr>
            </w:pPr>
            <w:r w:rsidRPr="00802F69">
              <w:rPr>
                <w:rFonts w:ascii="Verdana" w:hAnsi="Verdana"/>
              </w:rPr>
              <w:t xml:space="preserve">entry periods </w:t>
            </w:r>
            <w:r w:rsidR="0093439D">
              <w:rPr>
                <w:rFonts w:ascii="Verdana" w:hAnsi="Verdana"/>
              </w:rPr>
              <w:t>at which</w:t>
            </w:r>
            <w:r w:rsidRPr="00802F69">
              <w:rPr>
                <w:rFonts w:ascii="Verdana" w:hAnsi="Verdana"/>
              </w:rPr>
              <w:t xml:space="preserve"> students are required to tap into the Zone with their college card between 9.35 and 9.55, therefore being </w:t>
            </w:r>
            <w:r w:rsidR="0093439D">
              <w:rPr>
                <w:rFonts w:ascii="Verdana" w:hAnsi="Verdana"/>
              </w:rPr>
              <w:t>o</w:t>
            </w:r>
            <w:r w:rsidRPr="00802F69">
              <w:rPr>
                <w:rFonts w:ascii="Verdana" w:hAnsi="Verdana"/>
              </w:rPr>
              <w:t>n time for their first lesson;</w:t>
            </w:r>
          </w:p>
          <w:p w14:paraId="030DFF95" w14:textId="4CC532F8" w:rsidR="00CE4F8D" w:rsidRPr="00802F69" w:rsidRDefault="00CE4F8D" w:rsidP="0012773D">
            <w:pPr>
              <w:rPr>
                <w:rFonts w:ascii="Verdana" w:hAnsi="Verdana"/>
              </w:rPr>
            </w:pPr>
          </w:p>
        </w:tc>
      </w:tr>
      <w:tr w:rsidR="00CE4F8D" w:rsidRPr="00802F69" w14:paraId="305AD030" w14:textId="77777777" w:rsidTr="00A43B17">
        <w:tc>
          <w:tcPr>
            <w:tcW w:w="561" w:type="dxa"/>
          </w:tcPr>
          <w:p w14:paraId="2472E1A4" w14:textId="77777777" w:rsidR="00CE4F8D" w:rsidRPr="00802F69" w:rsidRDefault="00CE4F8D" w:rsidP="0012773D">
            <w:pPr>
              <w:rPr>
                <w:rFonts w:ascii="Verdana" w:hAnsi="Verdana"/>
              </w:rPr>
            </w:pPr>
          </w:p>
        </w:tc>
        <w:tc>
          <w:tcPr>
            <w:tcW w:w="284" w:type="dxa"/>
          </w:tcPr>
          <w:p w14:paraId="66472731" w14:textId="77777777" w:rsidR="00CE4F8D" w:rsidRPr="00802F69" w:rsidRDefault="00CE4F8D" w:rsidP="0012773D">
            <w:pPr>
              <w:rPr>
                <w:rFonts w:ascii="Verdana" w:hAnsi="Verdana"/>
              </w:rPr>
            </w:pPr>
          </w:p>
        </w:tc>
        <w:tc>
          <w:tcPr>
            <w:tcW w:w="296" w:type="dxa"/>
          </w:tcPr>
          <w:p w14:paraId="52B7821A" w14:textId="77777777" w:rsidR="00CE4F8D" w:rsidRPr="00802F69" w:rsidRDefault="00CE4F8D" w:rsidP="0012773D">
            <w:pPr>
              <w:rPr>
                <w:rFonts w:ascii="Verdana" w:hAnsi="Verdana"/>
                <w:b/>
                <w:bCs/>
              </w:rPr>
            </w:pPr>
            <w:r w:rsidRPr="00802F69">
              <w:rPr>
                <w:rFonts w:ascii="Verdana" w:hAnsi="Verdana"/>
                <w:b/>
                <w:bCs/>
              </w:rPr>
              <w:t>.</w:t>
            </w:r>
          </w:p>
        </w:tc>
        <w:tc>
          <w:tcPr>
            <w:tcW w:w="8635" w:type="dxa"/>
          </w:tcPr>
          <w:p w14:paraId="56A4F9C1" w14:textId="667AFA00" w:rsidR="00CE4F8D" w:rsidRPr="00802F69" w:rsidRDefault="00CE4F8D" w:rsidP="0012773D">
            <w:pPr>
              <w:rPr>
                <w:rFonts w:ascii="Verdana" w:hAnsi="Verdana"/>
              </w:rPr>
            </w:pPr>
            <w:r w:rsidRPr="00802F69">
              <w:rPr>
                <w:rFonts w:ascii="Verdana" w:hAnsi="Verdana"/>
              </w:rPr>
              <w:t xml:space="preserve">the </w:t>
            </w:r>
            <w:r w:rsidR="00802F69">
              <w:rPr>
                <w:rFonts w:ascii="Verdana" w:hAnsi="Verdana"/>
              </w:rPr>
              <w:t>ten-</w:t>
            </w:r>
            <w:r w:rsidRPr="00802F69">
              <w:rPr>
                <w:rFonts w:ascii="Verdana" w:hAnsi="Verdana"/>
              </w:rPr>
              <w:t xml:space="preserve">minute rule, whereby students who are more than ten minutes late for a lesson are not </w:t>
            </w:r>
            <w:r w:rsidR="00F22FCB">
              <w:rPr>
                <w:rFonts w:ascii="Verdana" w:hAnsi="Verdana"/>
              </w:rPr>
              <w:t>admitted</w:t>
            </w:r>
            <w:r w:rsidRPr="00802F69">
              <w:rPr>
                <w:rFonts w:ascii="Verdana" w:hAnsi="Verdana"/>
              </w:rPr>
              <w:t>, but escorted (in</w:t>
            </w:r>
            <w:r w:rsidR="00802F69">
              <w:rPr>
                <w:rFonts w:ascii="Verdana" w:hAnsi="Verdana"/>
              </w:rPr>
              <w:t xml:space="preserve"> the first</w:t>
            </w:r>
            <w:r w:rsidRPr="00802F69">
              <w:rPr>
                <w:rFonts w:ascii="Verdana" w:hAnsi="Verdana"/>
              </w:rPr>
              <w:t xml:space="preserve"> period) or directed to the library to complete work</w:t>
            </w:r>
            <w:r w:rsidR="00F22FCB">
              <w:rPr>
                <w:rFonts w:ascii="Verdana" w:hAnsi="Verdana"/>
              </w:rPr>
              <w:t xml:space="preserve"> under the supervision of</w:t>
            </w:r>
            <w:r w:rsidRPr="00802F69">
              <w:rPr>
                <w:rFonts w:ascii="Verdana" w:hAnsi="Verdana"/>
              </w:rPr>
              <w:t xml:space="preserve"> the team of </w:t>
            </w:r>
            <w:r w:rsidR="00802F69">
              <w:rPr>
                <w:rFonts w:ascii="Verdana" w:hAnsi="Verdana"/>
              </w:rPr>
              <w:t>p</w:t>
            </w:r>
            <w:r w:rsidRPr="00802F69">
              <w:rPr>
                <w:rFonts w:ascii="Verdana" w:hAnsi="Verdana"/>
              </w:rPr>
              <w:t xml:space="preserve">rogress </w:t>
            </w:r>
            <w:r w:rsidR="00802F69">
              <w:rPr>
                <w:rFonts w:ascii="Verdana" w:hAnsi="Verdana"/>
              </w:rPr>
              <w:t>c</w:t>
            </w:r>
            <w:r w:rsidRPr="00802F69">
              <w:rPr>
                <w:rFonts w:ascii="Verdana" w:hAnsi="Verdana"/>
              </w:rPr>
              <w:t>oaches;</w:t>
            </w:r>
          </w:p>
          <w:p w14:paraId="5B142EF8" w14:textId="438B6B6C" w:rsidR="00CE4F8D" w:rsidRPr="00802F69" w:rsidRDefault="00CE4F8D" w:rsidP="0012773D">
            <w:pPr>
              <w:rPr>
                <w:rFonts w:ascii="Verdana" w:hAnsi="Verdana"/>
              </w:rPr>
            </w:pPr>
          </w:p>
        </w:tc>
      </w:tr>
      <w:tr w:rsidR="00CE4F8D" w:rsidRPr="00802F69" w14:paraId="73FF4E75" w14:textId="77777777" w:rsidTr="00A43B17">
        <w:tc>
          <w:tcPr>
            <w:tcW w:w="561" w:type="dxa"/>
          </w:tcPr>
          <w:p w14:paraId="26F19117" w14:textId="77777777" w:rsidR="00CE4F8D" w:rsidRPr="00802F69" w:rsidRDefault="00CE4F8D" w:rsidP="0012773D">
            <w:pPr>
              <w:rPr>
                <w:rFonts w:ascii="Verdana" w:hAnsi="Verdana"/>
              </w:rPr>
            </w:pPr>
          </w:p>
        </w:tc>
        <w:tc>
          <w:tcPr>
            <w:tcW w:w="284" w:type="dxa"/>
          </w:tcPr>
          <w:p w14:paraId="1C57D60E" w14:textId="77777777" w:rsidR="00CE4F8D" w:rsidRPr="00802F69" w:rsidRDefault="00CE4F8D" w:rsidP="0012773D">
            <w:pPr>
              <w:rPr>
                <w:rFonts w:ascii="Verdana" w:hAnsi="Verdana"/>
              </w:rPr>
            </w:pPr>
          </w:p>
        </w:tc>
        <w:tc>
          <w:tcPr>
            <w:tcW w:w="296" w:type="dxa"/>
          </w:tcPr>
          <w:p w14:paraId="70BBA17D" w14:textId="77777777" w:rsidR="00CE4F8D" w:rsidRPr="00802F69" w:rsidRDefault="00CE4F8D" w:rsidP="0012773D">
            <w:pPr>
              <w:rPr>
                <w:rFonts w:ascii="Verdana" w:hAnsi="Verdana"/>
                <w:b/>
                <w:bCs/>
              </w:rPr>
            </w:pPr>
            <w:r w:rsidRPr="00802F69">
              <w:rPr>
                <w:rFonts w:ascii="Verdana" w:hAnsi="Verdana"/>
                <w:b/>
                <w:bCs/>
              </w:rPr>
              <w:t>.</w:t>
            </w:r>
          </w:p>
        </w:tc>
        <w:tc>
          <w:tcPr>
            <w:tcW w:w="8635" w:type="dxa"/>
          </w:tcPr>
          <w:p w14:paraId="7D3E63D9" w14:textId="014EE969" w:rsidR="00CE4F8D" w:rsidRPr="00802F69" w:rsidRDefault="00CE4F8D" w:rsidP="0012773D">
            <w:pPr>
              <w:rPr>
                <w:rFonts w:ascii="Verdana" w:hAnsi="Verdana"/>
              </w:rPr>
            </w:pPr>
            <w:r w:rsidRPr="00802F69">
              <w:rPr>
                <w:rFonts w:ascii="Verdana" w:hAnsi="Verdana"/>
              </w:rPr>
              <w:t xml:space="preserve">attendance calling, whereby students who are marked absent are called </w:t>
            </w:r>
            <w:r w:rsidR="0093439D">
              <w:rPr>
                <w:rFonts w:ascii="Verdana" w:hAnsi="Verdana"/>
              </w:rPr>
              <w:t>on the</w:t>
            </w:r>
            <w:r w:rsidRPr="00802F69">
              <w:rPr>
                <w:rFonts w:ascii="Verdana" w:hAnsi="Verdana"/>
              </w:rPr>
              <w:t xml:space="preserve"> day by the attendance calling team, with texts sent to parents;</w:t>
            </w:r>
          </w:p>
          <w:p w14:paraId="4FFB3A7B" w14:textId="19CA3420" w:rsidR="00CE4F8D" w:rsidRPr="00802F69" w:rsidRDefault="00CE4F8D" w:rsidP="0012773D">
            <w:pPr>
              <w:rPr>
                <w:rFonts w:ascii="Verdana" w:hAnsi="Verdana"/>
              </w:rPr>
            </w:pPr>
          </w:p>
        </w:tc>
      </w:tr>
      <w:tr w:rsidR="00CE4F8D" w:rsidRPr="00802F69" w14:paraId="4F4D6753" w14:textId="77777777" w:rsidTr="00A43B17">
        <w:tc>
          <w:tcPr>
            <w:tcW w:w="561" w:type="dxa"/>
          </w:tcPr>
          <w:p w14:paraId="2471CD2D" w14:textId="77777777" w:rsidR="00CE4F8D" w:rsidRPr="00802F69" w:rsidRDefault="00CE4F8D" w:rsidP="0012773D">
            <w:pPr>
              <w:rPr>
                <w:rFonts w:ascii="Verdana" w:hAnsi="Verdana"/>
              </w:rPr>
            </w:pPr>
          </w:p>
        </w:tc>
        <w:tc>
          <w:tcPr>
            <w:tcW w:w="284" w:type="dxa"/>
          </w:tcPr>
          <w:p w14:paraId="3CD8F5C3" w14:textId="77777777" w:rsidR="00CE4F8D" w:rsidRPr="00802F69" w:rsidRDefault="00CE4F8D" w:rsidP="0012773D">
            <w:pPr>
              <w:rPr>
                <w:rFonts w:ascii="Verdana" w:hAnsi="Verdana"/>
              </w:rPr>
            </w:pPr>
          </w:p>
        </w:tc>
        <w:tc>
          <w:tcPr>
            <w:tcW w:w="296" w:type="dxa"/>
          </w:tcPr>
          <w:p w14:paraId="6A591F71" w14:textId="77777777" w:rsidR="00CE4F8D" w:rsidRPr="00802F69" w:rsidRDefault="00CE4F8D" w:rsidP="0012773D">
            <w:pPr>
              <w:rPr>
                <w:rFonts w:ascii="Verdana" w:hAnsi="Verdana"/>
                <w:b/>
                <w:bCs/>
              </w:rPr>
            </w:pPr>
            <w:r w:rsidRPr="00802F69">
              <w:rPr>
                <w:rFonts w:ascii="Verdana" w:hAnsi="Verdana"/>
                <w:b/>
                <w:bCs/>
              </w:rPr>
              <w:t>.</w:t>
            </w:r>
          </w:p>
        </w:tc>
        <w:tc>
          <w:tcPr>
            <w:tcW w:w="8635" w:type="dxa"/>
          </w:tcPr>
          <w:p w14:paraId="7F54EE85" w14:textId="14E7EEFD" w:rsidR="00CE4F8D" w:rsidRPr="00802F69" w:rsidRDefault="00CE4F8D" w:rsidP="0012773D">
            <w:pPr>
              <w:rPr>
                <w:rFonts w:ascii="Verdana" w:hAnsi="Verdana"/>
              </w:rPr>
            </w:pPr>
            <w:r w:rsidRPr="00802F69">
              <w:rPr>
                <w:rFonts w:ascii="Verdana" w:hAnsi="Verdana"/>
              </w:rPr>
              <w:t xml:space="preserve">personal mentors (of up to 50 students at any one time), who </w:t>
            </w:r>
            <w:proofErr w:type="gramStart"/>
            <w:r w:rsidRPr="00802F69">
              <w:rPr>
                <w:rFonts w:ascii="Verdana" w:hAnsi="Verdana"/>
              </w:rPr>
              <w:t>track  attendance</w:t>
            </w:r>
            <w:proofErr w:type="gramEnd"/>
            <w:r w:rsidRPr="00802F69">
              <w:rPr>
                <w:rFonts w:ascii="Verdana" w:hAnsi="Verdana"/>
              </w:rPr>
              <w:t xml:space="preserve"> and lead on interventions aimed at increasing the resilience of students who often have emotional and behavioural problems;</w:t>
            </w:r>
          </w:p>
          <w:p w14:paraId="78181793" w14:textId="13CB7505" w:rsidR="00CE4F8D" w:rsidRPr="00802F69" w:rsidRDefault="00CE4F8D" w:rsidP="0012773D">
            <w:pPr>
              <w:rPr>
                <w:rFonts w:ascii="Verdana" w:hAnsi="Verdana"/>
              </w:rPr>
            </w:pPr>
          </w:p>
        </w:tc>
      </w:tr>
      <w:tr w:rsidR="00CE4F8D" w:rsidRPr="00802F69" w14:paraId="121E8F43" w14:textId="77777777" w:rsidTr="00A43B17">
        <w:tc>
          <w:tcPr>
            <w:tcW w:w="561" w:type="dxa"/>
          </w:tcPr>
          <w:p w14:paraId="4BDADF29" w14:textId="77777777" w:rsidR="00CE4F8D" w:rsidRPr="00802F69" w:rsidRDefault="00CE4F8D" w:rsidP="0012773D">
            <w:pPr>
              <w:rPr>
                <w:rFonts w:ascii="Verdana" w:hAnsi="Verdana"/>
              </w:rPr>
            </w:pPr>
          </w:p>
        </w:tc>
        <w:tc>
          <w:tcPr>
            <w:tcW w:w="284" w:type="dxa"/>
          </w:tcPr>
          <w:p w14:paraId="26B0119F" w14:textId="77777777" w:rsidR="00CE4F8D" w:rsidRPr="00802F69" w:rsidRDefault="00CE4F8D" w:rsidP="0012773D">
            <w:pPr>
              <w:rPr>
                <w:rFonts w:ascii="Verdana" w:hAnsi="Verdana"/>
              </w:rPr>
            </w:pPr>
          </w:p>
        </w:tc>
        <w:tc>
          <w:tcPr>
            <w:tcW w:w="296" w:type="dxa"/>
          </w:tcPr>
          <w:p w14:paraId="4BA0BF8D" w14:textId="597B8509" w:rsidR="00CE4F8D" w:rsidRPr="00802F69" w:rsidRDefault="00CE4F8D" w:rsidP="0012773D">
            <w:pPr>
              <w:rPr>
                <w:rFonts w:ascii="Verdana" w:hAnsi="Verdana"/>
                <w:b/>
                <w:bCs/>
              </w:rPr>
            </w:pPr>
            <w:r w:rsidRPr="00802F69">
              <w:rPr>
                <w:rFonts w:ascii="Verdana" w:hAnsi="Verdana"/>
                <w:b/>
                <w:bCs/>
              </w:rPr>
              <w:t>.</w:t>
            </w:r>
          </w:p>
        </w:tc>
        <w:tc>
          <w:tcPr>
            <w:tcW w:w="8635" w:type="dxa"/>
          </w:tcPr>
          <w:p w14:paraId="1BBFDA9E" w14:textId="5467D650" w:rsidR="00CE4F8D" w:rsidRPr="00802F69" w:rsidRDefault="00CE4F8D" w:rsidP="0012773D">
            <w:pPr>
              <w:rPr>
                <w:rFonts w:ascii="Verdana" w:hAnsi="Verdana"/>
                <w:i/>
                <w:iCs/>
              </w:rPr>
            </w:pPr>
            <w:r w:rsidRPr="00802F69">
              <w:rPr>
                <w:rFonts w:ascii="Verdana" w:hAnsi="Verdana"/>
              </w:rPr>
              <w:t>fitness to study</w:t>
            </w:r>
            <w:r w:rsidR="00802F69" w:rsidRPr="00802F69">
              <w:rPr>
                <w:rFonts w:ascii="Verdana" w:hAnsi="Verdana"/>
              </w:rPr>
              <w:t>, including</w:t>
            </w:r>
            <w:r w:rsidR="0093439D">
              <w:rPr>
                <w:rFonts w:ascii="Verdana" w:hAnsi="Verdana"/>
              </w:rPr>
              <w:t xml:space="preserve"> dealing with</w:t>
            </w:r>
            <w:r w:rsidR="00802F69" w:rsidRPr="00802F69">
              <w:rPr>
                <w:rFonts w:ascii="Verdana" w:hAnsi="Verdana"/>
              </w:rPr>
              <w:t xml:space="preserve"> emergent </w:t>
            </w:r>
            <w:r w:rsidRPr="00802F69">
              <w:rPr>
                <w:rFonts w:ascii="Verdana" w:hAnsi="Verdana"/>
              </w:rPr>
              <w:t xml:space="preserve">health issues affecting attendance and punctuality, </w:t>
            </w:r>
            <w:r w:rsidR="00802F69" w:rsidRPr="00802F69">
              <w:rPr>
                <w:rFonts w:ascii="Verdana" w:hAnsi="Verdana"/>
              </w:rPr>
              <w:t xml:space="preserve">under which procedure </w:t>
            </w:r>
            <w:r w:rsidRPr="00802F69">
              <w:rPr>
                <w:rFonts w:ascii="Verdana" w:hAnsi="Verdana"/>
              </w:rPr>
              <w:t>the ALS and curriculum teams meet with students and families to agree reasonable adjustments</w:t>
            </w:r>
            <w:r w:rsidR="00802F69" w:rsidRPr="00802F69">
              <w:rPr>
                <w:rFonts w:ascii="Verdana" w:hAnsi="Verdana"/>
              </w:rPr>
              <w:t xml:space="preserve">; </w:t>
            </w:r>
            <w:r w:rsidR="00802F69" w:rsidRPr="00802F69">
              <w:rPr>
                <w:rFonts w:ascii="Verdana" w:hAnsi="Verdana"/>
                <w:i/>
                <w:iCs/>
              </w:rPr>
              <w:t>and</w:t>
            </w:r>
          </w:p>
          <w:p w14:paraId="70E1664D" w14:textId="69C73EC4" w:rsidR="00802F69" w:rsidRPr="00802F69" w:rsidRDefault="00802F69" w:rsidP="0012773D">
            <w:pPr>
              <w:rPr>
                <w:rFonts w:ascii="Verdana" w:hAnsi="Verdana"/>
              </w:rPr>
            </w:pPr>
          </w:p>
        </w:tc>
      </w:tr>
      <w:tr w:rsidR="00CE4F8D" w:rsidRPr="00802F69" w14:paraId="4F7CC8CC" w14:textId="77777777" w:rsidTr="00A43B17">
        <w:tc>
          <w:tcPr>
            <w:tcW w:w="561" w:type="dxa"/>
          </w:tcPr>
          <w:p w14:paraId="396AB769" w14:textId="77777777" w:rsidR="00CE4F8D" w:rsidRPr="00802F69" w:rsidRDefault="00CE4F8D" w:rsidP="0012773D">
            <w:pPr>
              <w:rPr>
                <w:rFonts w:ascii="Verdana" w:hAnsi="Verdana"/>
              </w:rPr>
            </w:pPr>
          </w:p>
        </w:tc>
        <w:tc>
          <w:tcPr>
            <w:tcW w:w="284" w:type="dxa"/>
          </w:tcPr>
          <w:p w14:paraId="4E0B0837" w14:textId="77777777" w:rsidR="00CE4F8D" w:rsidRPr="00802F69" w:rsidRDefault="00CE4F8D" w:rsidP="0012773D">
            <w:pPr>
              <w:rPr>
                <w:rFonts w:ascii="Verdana" w:hAnsi="Verdana"/>
              </w:rPr>
            </w:pPr>
          </w:p>
        </w:tc>
        <w:tc>
          <w:tcPr>
            <w:tcW w:w="296" w:type="dxa"/>
          </w:tcPr>
          <w:p w14:paraId="1847145A" w14:textId="72AB8CCC" w:rsidR="00CE4F8D" w:rsidRPr="00802F69" w:rsidRDefault="00CE4F8D" w:rsidP="0012773D">
            <w:pPr>
              <w:rPr>
                <w:rFonts w:ascii="Verdana" w:hAnsi="Verdana"/>
                <w:b/>
                <w:bCs/>
              </w:rPr>
            </w:pPr>
            <w:r w:rsidRPr="00802F69">
              <w:rPr>
                <w:rFonts w:ascii="Verdana" w:hAnsi="Verdana"/>
                <w:b/>
                <w:bCs/>
              </w:rPr>
              <w:t>.</w:t>
            </w:r>
          </w:p>
        </w:tc>
        <w:tc>
          <w:tcPr>
            <w:tcW w:w="8635" w:type="dxa"/>
          </w:tcPr>
          <w:p w14:paraId="79E48986" w14:textId="1D22659F" w:rsidR="00CE4F8D" w:rsidRPr="00802F69" w:rsidRDefault="00802F69" w:rsidP="0012773D">
            <w:pPr>
              <w:rPr>
                <w:rFonts w:ascii="Verdana" w:hAnsi="Verdana"/>
              </w:rPr>
            </w:pPr>
            <w:r w:rsidRPr="00802F69">
              <w:rPr>
                <w:rFonts w:ascii="Verdana" w:hAnsi="Verdana"/>
              </w:rPr>
              <w:t>the disciplinary procedure to address persistent issues, under which curriculum managers meet with students and families, and can ultimately exclude students.</w:t>
            </w:r>
          </w:p>
        </w:tc>
      </w:tr>
    </w:tbl>
    <w:p w14:paraId="6DC77ABE" w14:textId="18BCB427" w:rsidR="00A261AC" w:rsidRDefault="00A261AC"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802F69" w:rsidRPr="00802F69" w14:paraId="0E46CBB0" w14:textId="77777777" w:rsidTr="00A43B17">
        <w:tc>
          <w:tcPr>
            <w:tcW w:w="521" w:type="dxa"/>
          </w:tcPr>
          <w:p w14:paraId="0F3A72BA" w14:textId="77777777" w:rsidR="00802F69" w:rsidRPr="00802F69" w:rsidRDefault="00802F69" w:rsidP="0012773D">
            <w:pPr>
              <w:pStyle w:val="NoSpacing"/>
              <w:rPr>
                <w:b/>
              </w:rPr>
            </w:pPr>
          </w:p>
        </w:tc>
        <w:tc>
          <w:tcPr>
            <w:tcW w:w="296" w:type="dxa"/>
          </w:tcPr>
          <w:p w14:paraId="504FF5ED" w14:textId="77777777" w:rsidR="00802F69" w:rsidRPr="00802F69" w:rsidRDefault="00802F69" w:rsidP="0012773D">
            <w:pPr>
              <w:pStyle w:val="NoSpacing"/>
              <w:rPr>
                <w:b/>
              </w:rPr>
            </w:pPr>
            <w:r w:rsidRPr="00802F69">
              <w:rPr>
                <w:b/>
              </w:rPr>
              <w:t>.</w:t>
            </w:r>
          </w:p>
        </w:tc>
        <w:tc>
          <w:tcPr>
            <w:tcW w:w="8930" w:type="dxa"/>
          </w:tcPr>
          <w:p w14:paraId="1F78D12A" w14:textId="77777777" w:rsidR="00802F69" w:rsidRDefault="00802F69" w:rsidP="0012773D">
            <w:pPr>
              <w:pStyle w:val="NoSpacing"/>
            </w:pPr>
            <w:r>
              <w:t>other measures had been introduced in the Autumn and Spring terms to address specific attendance issues;</w:t>
            </w:r>
          </w:p>
          <w:p w14:paraId="269A7352" w14:textId="7131D301" w:rsidR="00802F69" w:rsidRPr="00802F69" w:rsidRDefault="00802F69" w:rsidP="0012773D">
            <w:pPr>
              <w:pStyle w:val="NoSpacing"/>
            </w:pPr>
          </w:p>
        </w:tc>
      </w:tr>
      <w:tr w:rsidR="00802F69" w:rsidRPr="00802F69" w14:paraId="530FA480" w14:textId="77777777" w:rsidTr="00A43B17">
        <w:tc>
          <w:tcPr>
            <w:tcW w:w="521" w:type="dxa"/>
          </w:tcPr>
          <w:p w14:paraId="40C3EABC" w14:textId="77777777" w:rsidR="00802F69" w:rsidRPr="00802F69" w:rsidRDefault="00802F69" w:rsidP="0012773D">
            <w:pPr>
              <w:pStyle w:val="NoSpacing"/>
              <w:rPr>
                <w:b/>
              </w:rPr>
            </w:pPr>
          </w:p>
        </w:tc>
        <w:tc>
          <w:tcPr>
            <w:tcW w:w="296" w:type="dxa"/>
          </w:tcPr>
          <w:p w14:paraId="3710F6E7" w14:textId="5C5DDE3C" w:rsidR="00802F69" w:rsidRPr="00802F69" w:rsidRDefault="00802F69" w:rsidP="0012773D">
            <w:pPr>
              <w:pStyle w:val="NoSpacing"/>
              <w:rPr>
                <w:b/>
              </w:rPr>
            </w:pPr>
            <w:r>
              <w:rPr>
                <w:b/>
              </w:rPr>
              <w:t>.</w:t>
            </w:r>
          </w:p>
        </w:tc>
        <w:tc>
          <w:tcPr>
            <w:tcW w:w="8930" w:type="dxa"/>
          </w:tcPr>
          <w:p w14:paraId="3632128A" w14:textId="07C5CCE2" w:rsidR="00802F69" w:rsidRDefault="00AC1211" w:rsidP="0012773D">
            <w:pPr>
              <w:pStyle w:val="NoSpacing"/>
            </w:pPr>
            <w:r>
              <w:t>in terms</w:t>
            </w:r>
            <w:r w:rsidR="00802F69">
              <w:t xml:space="preserve"> of </w:t>
            </w:r>
            <w:r>
              <w:t>overall</w:t>
            </w:r>
            <w:r w:rsidR="00802F69">
              <w:t xml:space="preserve"> </w:t>
            </w:r>
            <w:proofErr w:type="gramStart"/>
            <w:r w:rsidR="00802F69">
              <w:t>attendance</w:t>
            </w:r>
            <w:proofErr w:type="gramEnd"/>
            <w:r w:rsidR="00802F69">
              <w:t xml:space="preserve"> the College is </w:t>
            </w:r>
            <w:r>
              <w:t xml:space="preserve">currently </w:t>
            </w:r>
            <w:r w:rsidR="00802F69">
              <w:t>tracking 1% below last year, but on an upward trajectory since it was tracking 1.3% behind at the start of January;</w:t>
            </w:r>
          </w:p>
          <w:p w14:paraId="20DCD622" w14:textId="76EB2687" w:rsidR="00802F69" w:rsidRDefault="00802F69" w:rsidP="0012773D">
            <w:pPr>
              <w:pStyle w:val="NoSpacing"/>
            </w:pPr>
          </w:p>
        </w:tc>
      </w:tr>
      <w:tr w:rsidR="00802F69" w:rsidRPr="00802F69" w14:paraId="3591202A" w14:textId="77777777" w:rsidTr="00A43B17">
        <w:tc>
          <w:tcPr>
            <w:tcW w:w="521" w:type="dxa"/>
          </w:tcPr>
          <w:p w14:paraId="6CA3A023" w14:textId="77777777" w:rsidR="00802F69" w:rsidRPr="00802F69" w:rsidRDefault="00802F69" w:rsidP="0012773D">
            <w:pPr>
              <w:pStyle w:val="NoSpacing"/>
              <w:rPr>
                <w:b/>
              </w:rPr>
            </w:pPr>
          </w:p>
        </w:tc>
        <w:tc>
          <w:tcPr>
            <w:tcW w:w="296" w:type="dxa"/>
          </w:tcPr>
          <w:p w14:paraId="5C4348F6" w14:textId="18238A9A" w:rsidR="00802F69" w:rsidRPr="00802F69" w:rsidRDefault="00802F69" w:rsidP="0012773D">
            <w:pPr>
              <w:pStyle w:val="NoSpacing"/>
              <w:rPr>
                <w:b/>
              </w:rPr>
            </w:pPr>
            <w:r>
              <w:rPr>
                <w:b/>
              </w:rPr>
              <w:t>.</w:t>
            </w:r>
          </w:p>
        </w:tc>
        <w:tc>
          <w:tcPr>
            <w:tcW w:w="8930" w:type="dxa"/>
          </w:tcPr>
          <w:p w14:paraId="1962319F" w14:textId="2A7E97AF" w:rsidR="00802F69" w:rsidRPr="00701BFA" w:rsidRDefault="00701BFA" w:rsidP="0012773D">
            <w:pPr>
              <w:pStyle w:val="NoSpacing"/>
              <w:rPr>
                <w:i/>
                <w:iCs/>
              </w:rPr>
            </w:pPr>
            <w:r>
              <w:t xml:space="preserve">there is </w:t>
            </w:r>
            <w:r w:rsidR="00E864F0">
              <w:t xml:space="preserve">a </w:t>
            </w:r>
            <w:r>
              <w:t xml:space="preserve">pattern </w:t>
            </w:r>
            <w:r w:rsidR="00E864F0">
              <w:t>characteristic of</w:t>
            </w:r>
            <w:r>
              <w:t xml:space="preserve"> both A level and vocational year groups, whereby second year students continue to attend more poorly and first year students a little better; </w:t>
            </w:r>
            <w:r>
              <w:rPr>
                <w:i/>
                <w:iCs/>
              </w:rPr>
              <w:t>and</w:t>
            </w:r>
          </w:p>
          <w:p w14:paraId="1C52F516" w14:textId="6D455F34" w:rsidR="00701BFA" w:rsidRDefault="00701BFA" w:rsidP="0012773D">
            <w:pPr>
              <w:pStyle w:val="NoSpacing"/>
            </w:pPr>
          </w:p>
        </w:tc>
      </w:tr>
      <w:tr w:rsidR="00802F69" w:rsidRPr="00802F69" w14:paraId="78E0F9B8" w14:textId="77777777" w:rsidTr="00A43B17">
        <w:tc>
          <w:tcPr>
            <w:tcW w:w="521" w:type="dxa"/>
          </w:tcPr>
          <w:p w14:paraId="31A9D5C1" w14:textId="77777777" w:rsidR="00802F69" w:rsidRPr="00802F69" w:rsidRDefault="00802F69" w:rsidP="0012773D">
            <w:pPr>
              <w:pStyle w:val="NoSpacing"/>
              <w:rPr>
                <w:b/>
              </w:rPr>
            </w:pPr>
          </w:p>
        </w:tc>
        <w:tc>
          <w:tcPr>
            <w:tcW w:w="296" w:type="dxa"/>
          </w:tcPr>
          <w:p w14:paraId="5B7A1185" w14:textId="2688F184" w:rsidR="00802F69" w:rsidRPr="00802F69" w:rsidRDefault="00802F69" w:rsidP="0012773D">
            <w:pPr>
              <w:pStyle w:val="NoSpacing"/>
              <w:rPr>
                <w:b/>
              </w:rPr>
            </w:pPr>
            <w:r>
              <w:rPr>
                <w:b/>
              </w:rPr>
              <w:t>.</w:t>
            </w:r>
          </w:p>
        </w:tc>
        <w:tc>
          <w:tcPr>
            <w:tcW w:w="8930" w:type="dxa"/>
          </w:tcPr>
          <w:p w14:paraId="74FF154C" w14:textId="7E0EF2D3" w:rsidR="00802F69" w:rsidRDefault="00701BFA" w:rsidP="0012773D">
            <w:pPr>
              <w:pStyle w:val="NoSpacing"/>
            </w:pPr>
            <w:r>
              <w:t xml:space="preserve">a particular </w:t>
            </w:r>
            <w:r w:rsidR="00AC1211">
              <w:t>strategy for</w:t>
            </w:r>
            <w:r>
              <w:t xml:space="preserve"> addressing poor attendance in functional English and Maths (FEM) has shown early signs of notable success which, if it is sustained, may provide an </w:t>
            </w:r>
            <w:r w:rsidR="00A70492">
              <w:t>example</w:t>
            </w:r>
            <w:r>
              <w:t xml:space="preserve"> to be rolled out more broadly </w:t>
            </w:r>
            <w:r w:rsidR="00A70492">
              <w:t>across</w:t>
            </w:r>
            <w:r>
              <w:t xml:space="preserve"> the College.</w:t>
            </w:r>
          </w:p>
        </w:tc>
      </w:tr>
    </w:tbl>
    <w:p w14:paraId="1A57E9A7" w14:textId="39AB68F6" w:rsidR="00A261AC" w:rsidRDefault="00A261AC" w:rsidP="00402468"/>
    <w:tbl>
      <w:tblPr>
        <w:tblW w:w="9747" w:type="dxa"/>
        <w:tblLook w:val="04A0" w:firstRow="1" w:lastRow="0" w:firstColumn="1" w:lastColumn="0" w:noHBand="0" w:noVBand="1"/>
      </w:tblPr>
      <w:tblGrid>
        <w:gridCol w:w="534"/>
        <w:gridCol w:w="9213"/>
      </w:tblGrid>
      <w:tr w:rsidR="00701BFA" w:rsidRPr="00A261AC" w14:paraId="151ECC49" w14:textId="77777777" w:rsidTr="00A43B17">
        <w:tc>
          <w:tcPr>
            <w:tcW w:w="534" w:type="dxa"/>
          </w:tcPr>
          <w:p w14:paraId="77295B25" w14:textId="598FDC3E" w:rsidR="00701BFA" w:rsidRPr="00A261AC" w:rsidRDefault="00701BFA" w:rsidP="0012773D">
            <w:pPr>
              <w:rPr>
                <w:rFonts w:ascii="Verdana" w:hAnsi="Verdana"/>
                <w:b/>
              </w:rPr>
            </w:pPr>
          </w:p>
        </w:tc>
        <w:tc>
          <w:tcPr>
            <w:tcW w:w="9213" w:type="dxa"/>
          </w:tcPr>
          <w:p w14:paraId="67909EC3" w14:textId="20702A74" w:rsidR="00701BFA" w:rsidRDefault="00AC1211" w:rsidP="0012773D">
            <w:pPr>
              <w:rPr>
                <w:rFonts w:ascii="Verdana" w:hAnsi="Verdana"/>
                <w:bCs/>
              </w:rPr>
            </w:pPr>
            <w:r>
              <w:rPr>
                <w:rFonts w:ascii="Verdana" w:hAnsi="Verdana"/>
                <w:bCs/>
              </w:rPr>
              <w:t xml:space="preserve">In reply to a question from Stephen Jones, </w:t>
            </w:r>
            <w:r w:rsidR="00162AE9">
              <w:rPr>
                <w:rFonts w:ascii="Verdana" w:hAnsi="Verdana"/>
                <w:bCs/>
              </w:rPr>
              <w:t>i</w:t>
            </w:r>
            <w:r>
              <w:rPr>
                <w:rFonts w:ascii="Verdana" w:hAnsi="Verdana"/>
                <w:bCs/>
              </w:rPr>
              <w:t>t was confirmed that</w:t>
            </w:r>
            <w:r w:rsidR="00E864F0">
              <w:rPr>
                <w:rFonts w:ascii="Verdana" w:hAnsi="Verdana"/>
                <w:bCs/>
              </w:rPr>
              <w:t>, being more reliable,</w:t>
            </w:r>
            <w:r>
              <w:rPr>
                <w:rFonts w:ascii="Verdana" w:hAnsi="Verdana"/>
                <w:bCs/>
              </w:rPr>
              <w:t xml:space="preserve"> attendance data is collected at the start of the day rather than on a lesson-by-lesson basis.</w:t>
            </w:r>
          </w:p>
          <w:p w14:paraId="34FEDB51" w14:textId="77777777" w:rsidR="00AC1211" w:rsidRDefault="00AC1211" w:rsidP="0012773D">
            <w:pPr>
              <w:rPr>
                <w:rFonts w:ascii="Verdana" w:hAnsi="Verdana"/>
                <w:bCs/>
              </w:rPr>
            </w:pPr>
          </w:p>
          <w:p w14:paraId="4B68F8D4" w14:textId="2ECB61A4" w:rsidR="00AC1211" w:rsidRPr="00A261AC" w:rsidRDefault="00162AE9" w:rsidP="0012773D">
            <w:pPr>
              <w:rPr>
                <w:rFonts w:ascii="Verdana" w:hAnsi="Verdana"/>
                <w:bCs/>
              </w:rPr>
            </w:pPr>
            <w:r>
              <w:rPr>
                <w:rFonts w:ascii="Verdana" w:hAnsi="Verdana"/>
                <w:bCs/>
              </w:rPr>
              <w:t>The following reasons for poor attendance had been observed:</w:t>
            </w:r>
          </w:p>
        </w:tc>
      </w:tr>
    </w:tbl>
    <w:p w14:paraId="7FE66F2B" w14:textId="4643C19A" w:rsidR="00A261AC" w:rsidRDefault="00A261AC"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96"/>
        <w:gridCol w:w="8748"/>
      </w:tblGrid>
      <w:tr w:rsidR="00701BFA" w14:paraId="12CB087A" w14:textId="77777777" w:rsidTr="00A43B17">
        <w:tc>
          <w:tcPr>
            <w:tcW w:w="704" w:type="dxa"/>
          </w:tcPr>
          <w:p w14:paraId="6F085CFA" w14:textId="77777777" w:rsidR="00701BFA" w:rsidRPr="00802F69" w:rsidRDefault="00701BFA" w:rsidP="0012773D">
            <w:pPr>
              <w:pStyle w:val="NoSpacing"/>
              <w:rPr>
                <w:b/>
              </w:rPr>
            </w:pPr>
          </w:p>
        </w:tc>
        <w:tc>
          <w:tcPr>
            <w:tcW w:w="284" w:type="dxa"/>
          </w:tcPr>
          <w:p w14:paraId="2EE3C32E" w14:textId="77777777" w:rsidR="00701BFA" w:rsidRPr="00802F69" w:rsidRDefault="00701BFA" w:rsidP="0012773D">
            <w:pPr>
              <w:pStyle w:val="NoSpacing"/>
              <w:rPr>
                <w:b/>
              </w:rPr>
            </w:pPr>
            <w:r>
              <w:rPr>
                <w:b/>
              </w:rPr>
              <w:t>.</w:t>
            </w:r>
          </w:p>
        </w:tc>
        <w:tc>
          <w:tcPr>
            <w:tcW w:w="8759" w:type="dxa"/>
          </w:tcPr>
          <w:p w14:paraId="51F72ECB" w14:textId="3E37C5FE" w:rsidR="00701BFA" w:rsidRDefault="00162AE9" w:rsidP="0012773D">
            <w:pPr>
              <w:pStyle w:val="NoSpacing"/>
            </w:pPr>
            <w:r>
              <w:t>poor punctuality;</w:t>
            </w:r>
          </w:p>
        </w:tc>
      </w:tr>
      <w:tr w:rsidR="00701BFA" w14:paraId="0EB1FAC8" w14:textId="77777777" w:rsidTr="00A43B17">
        <w:tc>
          <w:tcPr>
            <w:tcW w:w="704" w:type="dxa"/>
          </w:tcPr>
          <w:p w14:paraId="1210E4EC" w14:textId="77777777" w:rsidR="00701BFA" w:rsidRPr="00802F69" w:rsidRDefault="00701BFA" w:rsidP="0012773D">
            <w:pPr>
              <w:pStyle w:val="NoSpacing"/>
              <w:rPr>
                <w:b/>
              </w:rPr>
            </w:pPr>
          </w:p>
        </w:tc>
        <w:tc>
          <w:tcPr>
            <w:tcW w:w="284" w:type="dxa"/>
          </w:tcPr>
          <w:p w14:paraId="2D2AF8D8" w14:textId="77777777" w:rsidR="00701BFA" w:rsidRPr="00802F69" w:rsidRDefault="00701BFA" w:rsidP="0012773D">
            <w:pPr>
              <w:pStyle w:val="NoSpacing"/>
              <w:rPr>
                <w:b/>
              </w:rPr>
            </w:pPr>
            <w:r>
              <w:rPr>
                <w:b/>
              </w:rPr>
              <w:t>.</w:t>
            </w:r>
          </w:p>
        </w:tc>
        <w:tc>
          <w:tcPr>
            <w:tcW w:w="8759" w:type="dxa"/>
          </w:tcPr>
          <w:p w14:paraId="6515C1A0" w14:textId="31DBEE44" w:rsidR="00701BFA" w:rsidRDefault="00162AE9" w:rsidP="0012773D">
            <w:pPr>
              <w:pStyle w:val="NoSpacing"/>
            </w:pPr>
            <w:r>
              <w:t>missing lessons in order to complete coursework which would otherwise be overdue;</w:t>
            </w:r>
          </w:p>
        </w:tc>
      </w:tr>
      <w:tr w:rsidR="00701BFA" w14:paraId="5E3B9EB0" w14:textId="77777777" w:rsidTr="00A43B17">
        <w:tc>
          <w:tcPr>
            <w:tcW w:w="704" w:type="dxa"/>
          </w:tcPr>
          <w:p w14:paraId="5CEE9476" w14:textId="77777777" w:rsidR="00701BFA" w:rsidRPr="00802F69" w:rsidRDefault="00701BFA" w:rsidP="0012773D">
            <w:pPr>
              <w:pStyle w:val="NoSpacing"/>
              <w:rPr>
                <w:b/>
              </w:rPr>
            </w:pPr>
          </w:p>
        </w:tc>
        <w:tc>
          <w:tcPr>
            <w:tcW w:w="284" w:type="dxa"/>
          </w:tcPr>
          <w:p w14:paraId="47C2497C" w14:textId="77777777" w:rsidR="00701BFA" w:rsidRPr="00802F69" w:rsidRDefault="00701BFA" w:rsidP="0012773D">
            <w:pPr>
              <w:pStyle w:val="NoSpacing"/>
              <w:rPr>
                <w:b/>
              </w:rPr>
            </w:pPr>
            <w:r>
              <w:rPr>
                <w:b/>
              </w:rPr>
              <w:t>.</w:t>
            </w:r>
          </w:p>
        </w:tc>
        <w:tc>
          <w:tcPr>
            <w:tcW w:w="8759" w:type="dxa"/>
          </w:tcPr>
          <w:p w14:paraId="0389F2FE" w14:textId="4C179870" w:rsidR="00701BFA" w:rsidRPr="00162AE9" w:rsidRDefault="00162AE9" w:rsidP="0012773D">
            <w:pPr>
              <w:pStyle w:val="NoSpacing"/>
              <w:rPr>
                <w:i/>
                <w:iCs/>
              </w:rPr>
            </w:pPr>
            <w:r>
              <w:t xml:space="preserve">teacher absence (e.g. the effect of strikes on </w:t>
            </w:r>
            <w:r w:rsidR="00E864F0">
              <w:t xml:space="preserve">student </w:t>
            </w:r>
            <w:r>
              <w:t xml:space="preserve">attendance </w:t>
            </w:r>
            <w:r w:rsidR="00E864F0">
              <w:t xml:space="preserve">over </w:t>
            </w:r>
            <w:r>
              <w:t xml:space="preserve">subsequent days); </w:t>
            </w:r>
            <w:r>
              <w:rPr>
                <w:i/>
                <w:iCs/>
              </w:rPr>
              <w:t>and</w:t>
            </w:r>
          </w:p>
        </w:tc>
      </w:tr>
      <w:tr w:rsidR="00162AE9" w14:paraId="425C94A9" w14:textId="77777777" w:rsidTr="00A43B17">
        <w:tc>
          <w:tcPr>
            <w:tcW w:w="704" w:type="dxa"/>
          </w:tcPr>
          <w:p w14:paraId="14AF5FE4" w14:textId="77777777" w:rsidR="00162AE9" w:rsidRPr="00802F69" w:rsidRDefault="00162AE9" w:rsidP="0012773D">
            <w:pPr>
              <w:pStyle w:val="NoSpacing"/>
              <w:rPr>
                <w:b/>
              </w:rPr>
            </w:pPr>
          </w:p>
        </w:tc>
        <w:tc>
          <w:tcPr>
            <w:tcW w:w="284" w:type="dxa"/>
          </w:tcPr>
          <w:p w14:paraId="26FE7D07" w14:textId="74BFFD25" w:rsidR="00162AE9" w:rsidRDefault="00162AE9" w:rsidP="0012773D">
            <w:pPr>
              <w:pStyle w:val="NoSpacing"/>
              <w:rPr>
                <w:b/>
              </w:rPr>
            </w:pPr>
            <w:r>
              <w:rPr>
                <w:b/>
              </w:rPr>
              <w:t>.</w:t>
            </w:r>
          </w:p>
        </w:tc>
        <w:tc>
          <w:tcPr>
            <w:tcW w:w="8759" w:type="dxa"/>
          </w:tcPr>
          <w:p w14:paraId="0C0F4F29" w14:textId="6A89B097" w:rsidR="00162AE9" w:rsidRDefault="00162AE9" w:rsidP="0012773D">
            <w:pPr>
              <w:pStyle w:val="NoSpacing"/>
            </w:pPr>
            <w:r>
              <w:t>shift working by students.</w:t>
            </w:r>
          </w:p>
        </w:tc>
      </w:tr>
    </w:tbl>
    <w:p w14:paraId="306709E3" w14:textId="7BF3143D" w:rsidR="00A261AC" w:rsidRDefault="00A261AC" w:rsidP="00402468"/>
    <w:tbl>
      <w:tblPr>
        <w:tblW w:w="9747" w:type="dxa"/>
        <w:tblLook w:val="04A0" w:firstRow="1" w:lastRow="0" w:firstColumn="1" w:lastColumn="0" w:noHBand="0" w:noVBand="1"/>
      </w:tblPr>
      <w:tblGrid>
        <w:gridCol w:w="534"/>
        <w:gridCol w:w="9213"/>
      </w:tblGrid>
      <w:tr w:rsidR="00701BFA" w:rsidRPr="00A261AC" w14:paraId="09A2EF51" w14:textId="77777777" w:rsidTr="00A43B17">
        <w:tc>
          <w:tcPr>
            <w:tcW w:w="534" w:type="dxa"/>
          </w:tcPr>
          <w:p w14:paraId="54BA03A0" w14:textId="77777777" w:rsidR="00701BFA" w:rsidRPr="00A261AC" w:rsidRDefault="00701BFA" w:rsidP="0012773D">
            <w:pPr>
              <w:rPr>
                <w:rFonts w:ascii="Verdana" w:hAnsi="Verdana"/>
                <w:b/>
              </w:rPr>
            </w:pPr>
          </w:p>
        </w:tc>
        <w:tc>
          <w:tcPr>
            <w:tcW w:w="9213" w:type="dxa"/>
          </w:tcPr>
          <w:p w14:paraId="6CD49197" w14:textId="4E45EA9E" w:rsidR="00701BFA" w:rsidRDefault="00162AE9" w:rsidP="0012773D">
            <w:pPr>
              <w:rPr>
                <w:rFonts w:ascii="Verdana" w:hAnsi="Verdana"/>
                <w:bCs/>
              </w:rPr>
            </w:pPr>
            <w:r>
              <w:rPr>
                <w:rFonts w:ascii="Verdana" w:hAnsi="Verdana"/>
                <w:bCs/>
              </w:rPr>
              <w:t>It was reported that significant College resources are applied to monitoring and improving attendance, and that there is little capacity to devote a larger share</w:t>
            </w:r>
            <w:r w:rsidR="00E864F0">
              <w:rPr>
                <w:rFonts w:ascii="Verdana" w:hAnsi="Verdana"/>
                <w:bCs/>
              </w:rPr>
              <w:t xml:space="preserve"> to such measures</w:t>
            </w:r>
            <w:r>
              <w:rPr>
                <w:rFonts w:ascii="Verdana" w:hAnsi="Verdana"/>
                <w:bCs/>
              </w:rPr>
              <w:t>.  It is necessary to concentrate resources on those students</w:t>
            </w:r>
            <w:r w:rsidR="00D11C18">
              <w:rPr>
                <w:rFonts w:ascii="Verdana" w:hAnsi="Verdana"/>
                <w:bCs/>
              </w:rPr>
              <w:t xml:space="preserve"> whose attendance falls below 80%.</w:t>
            </w:r>
          </w:p>
          <w:p w14:paraId="510790B6" w14:textId="77777777" w:rsidR="00162AE9" w:rsidRDefault="00162AE9" w:rsidP="0012773D">
            <w:pPr>
              <w:rPr>
                <w:rFonts w:ascii="Verdana" w:hAnsi="Verdana"/>
                <w:bCs/>
              </w:rPr>
            </w:pPr>
          </w:p>
          <w:p w14:paraId="7C39E873" w14:textId="38BDD19E" w:rsidR="00162AE9" w:rsidRDefault="00162AE9" w:rsidP="0012773D">
            <w:pPr>
              <w:rPr>
                <w:rFonts w:ascii="Verdana" w:hAnsi="Verdana"/>
                <w:bCs/>
              </w:rPr>
            </w:pPr>
            <w:r>
              <w:rPr>
                <w:rFonts w:ascii="Verdana" w:hAnsi="Verdana"/>
                <w:bCs/>
              </w:rPr>
              <w:t xml:space="preserve">Persistent absentees </w:t>
            </w:r>
            <w:r w:rsidR="00D11C18">
              <w:rPr>
                <w:rFonts w:ascii="Verdana" w:hAnsi="Verdana"/>
                <w:bCs/>
              </w:rPr>
              <w:t>frequently demonstrate a</w:t>
            </w:r>
            <w:r>
              <w:rPr>
                <w:rFonts w:ascii="Verdana" w:hAnsi="Verdana"/>
                <w:bCs/>
              </w:rPr>
              <w:t xml:space="preserve"> </w:t>
            </w:r>
            <w:r w:rsidR="00E864F0">
              <w:rPr>
                <w:rFonts w:ascii="Verdana" w:hAnsi="Verdana"/>
                <w:bCs/>
              </w:rPr>
              <w:t>nexus</w:t>
            </w:r>
            <w:r>
              <w:rPr>
                <w:rFonts w:ascii="Verdana" w:hAnsi="Verdana"/>
                <w:bCs/>
              </w:rPr>
              <w:t xml:space="preserve"> of </w:t>
            </w:r>
            <w:r w:rsidR="00D11C18">
              <w:rPr>
                <w:rFonts w:ascii="Verdana" w:hAnsi="Verdana"/>
                <w:bCs/>
              </w:rPr>
              <w:t xml:space="preserve">difficult </w:t>
            </w:r>
            <w:r>
              <w:rPr>
                <w:rFonts w:ascii="Verdana" w:hAnsi="Verdana"/>
                <w:bCs/>
              </w:rPr>
              <w:t>issues</w:t>
            </w:r>
            <w:r w:rsidR="00D11C18">
              <w:rPr>
                <w:rFonts w:ascii="Verdana" w:hAnsi="Verdana"/>
                <w:bCs/>
              </w:rPr>
              <w:t xml:space="preserve"> having mutually negative impacts. </w:t>
            </w:r>
          </w:p>
          <w:p w14:paraId="518CDE80" w14:textId="77777777" w:rsidR="00D11C18" w:rsidRDefault="00D11C18" w:rsidP="0012773D">
            <w:pPr>
              <w:rPr>
                <w:rFonts w:ascii="Verdana" w:hAnsi="Verdana"/>
                <w:bCs/>
              </w:rPr>
            </w:pPr>
          </w:p>
          <w:p w14:paraId="3A2FDFA4" w14:textId="77777777" w:rsidR="00D11C18" w:rsidRDefault="00D11C18" w:rsidP="0012773D">
            <w:pPr>
              <w:rPr>
                <w:rFonts w:ascii="Verdana" w:hAnsi="Verdana"/>
                <w:bCs/>
              </w:rPr>
            </w:pPr>
            <w:r>
              <w:rPr>
                <w:rFonts w:ascii="Verdana" w:hAnsi="Verdana"/>
                <w:bCs/>
              </w:rPr>
              <w:lastRenderedPageBreak/>
              <w:t>The Chair of the Committee observed that there is a trade-off between devoting resources to supporting classroom activities and chasing absentees, and this places limits on the extent to which such resources can be sensibly applied to the latter.</w:t>
            </w:r>
          </w:p>
          <w:p w14:paraId="6D8CD102" w14:textId="77777777" w:rsidR="00D11C18" w:rsidRDefault="00D11C18" w:rsidP="0012773D">
            <w:pPr>
              <w:rPr>
                <w:rFonts w:ascii="Verdana" w:hAnsi="Verdana"/>
                <w:bCs/>
              </w:rPr>
            </w:pPr>
          </w:p>
          <w:p w14:paraId="36636C7B" w14:textId="45D25798" w:rsidR="00D11C18" w:rsidRDefault="00D11C18" w:rsidP="0012773D">
            <w:pPr>
              <w:rPr>
                <w:rFonts w:ascii="Verdana" w:hAnsi="Verdana"/>
                <w:bCs/>
              </w:rPr>
            </w:pPr>
            <w:r>
              <w:rPr>
                <w:rFonts w:ascii="Verdana" w:hAnsi="Verdana"/>
                <w:bCs/>
              </w:rPr>
              <w:t xml:space="preserve">It was agreed that prompt action in the early weeks of the first term to emphasise the necessity of attending classes is important and should </w:t>
            </w:r>
            <w:r w:rsidR="00E864F0">
              <w:rPr>
                <w:rFonts w:ascii="Verdana" w:hAnsi="Verdana"/>
                <w:bCs/>
              </w:rPr>
              <w:t>remain</w:t>
            </w:r>
            <w:r>
              <w:rPr>
                <w:rFonts w:ascii="Verdana" w:hAnsi="Verdana"/>
                <w:bCs/>
              </w:rPr>
              <w:t xml:space="preserve"> a priority.</w:t>
            </w:r>
          </w:p>
          <w:p w14:paraId="44E0A98E" w14:textId="77777777" w:rsidR="00D11C18" w:rsidRDefault="00D11C18" w:rsidP="0012773D">
            <w:pPr>
              <w:rPr>
                <w:rFonts w:ascii="Verdana" w:hAnsi="Verdana"/>
                <w:bCs/>
              </w:rPr>
            </w:pPr>
          </w:p>
          <w:p w14:paraId="35070125" w14:textId="68FEBC46" w:rsidR="00D11C18" w:rsidRDefault="00D11C18" w:rsidP="0012773D">
            <w:pPr>
              <w:rPr>
                <w:rFonts w:ascii="Verdana" w:hAnsi="Verdana"/>
                <w:bCs/>
              </w:rPr>
            </w:pPr>
            <w:r>
              <w:rPr>
                <w:rFonts w:ascii="Verdana" w:hAnsi="Verdana"/>
                <w:bCs/>
              </w:rPr>
              <w:t>It was reported that a significant proportion of entrants with poor school references have issues with unauthorised absence pre-dating their admission to the College, and that this highlights the importance of the College’s relationship with prospective students and their parents.  Securing the admission of more committed and supported students</w:t>
            </w:r>
            <w:r w:rsidR="00E864F0">
              <w:rPr>
                <w:rFonts w:ascii="Verdana" w:hAnsi="Verdana"/>
                <w:bCs/>
              </w:rPr>
              <w:t>, with very many fewer students being enrolled without parental involvement,</w:t>
            </w:r>
            <w:r w:rsidR="008E01CD">
              <w:rPr>
                <w:rFonts w:ascii="Verdana" w:hAnsi="Verdana"/>
                <w:bCs/>
              </w:rPr>
              <w:t xml:space="preserve"> is the key to improving attendance and punctuality.</w:t>
            </w:r>
          </w:p>
          <w:p w14:paraId="36CDAF2D" w14:textId="77777777" w:rsidR="008E01CD" w:rsidRDefault="008E01CD" w:rsidP="0012773D">
            <w:pPr>
              <w:rPr>
                <w:rFonts w:ascii="Verdana" w:hAnsi="Verdana"/>
                <w:bCs/>
              </w:rPr>
            </w:pPr>
          </w:p>
          <w:p w14:paraId="167F62EB" w14:textId="6F57945E" w:rsidR="008E01CD" w:rsidRDefault="008E01CD" w:rsidP="0012773D">
            <w:pPr>
              <w:rPr>
                <w:rFonts w:ascii="Verdana" w:hAnsi="Verdana"/>
                <w:bCs/>
              </w:rPr>
            </w:pPr>
            <w:r>
              <w:rPr>
                <w:rFonts w:ascii="Verdana" w:hAnsi="Verdana"/>
                <w:bCs/>
              </w:rPr>
              <w:t xml:space="preserve">It may also be necessary to apply more stringent selection criteria to internal progression with a lower tolerance of students </w:t>
            </w:r>
            <w:r w:rsidR="00E864F0">
              <w:rPr>
                <w:rFonts w:ascii="Verdana" w:hAnsi="Verdana"/>
                <w:bCs/>
              </w:rPr>
              <w:t xml:space="preserve">being allowed </w:t>
            </w:r>
            <w:r>
              <w:rPr>
                <w:rFonts w:ascii="Verdana" w:hAnsi="Verdana"/>
                <w:bCs/>
              </w:rPr>
              <w:t>to proceed where attendance and progress are marginal.</w:t>
            </w:r>
          </w:p>
          <w:p w14:paraId="6B05B222" w14:textId="77777777" w:rsidR="008E01CD" w:rsidRDefault="008E01CD" w:rsidP="0012773D">
            <w:pPr>
              <w:rPr>
                <w:rFonts w:ascii="Verdana" w:hAnsi="Verdana"/>
                <w:bCs/>
              </w:rPr>
            </w:pPr>
          </w:p>
          <w:p w14:paraId="7F2A0230" w14:textId="0DE3C9F2" w:rsidR="008E01CD" w:rsidRPr="00A261AC" w:rsidRDefault="008E01CD" w:rsidP="0012773D">
            <w:pPr>
              <w:rPr>
                <w:rFonts w:ascii="Verdana" w:hAnsi="Verdana"/>
                <w:bCs/>
              </w:rPr>
            </w:pPr>
            <w:r>
              <w:rPr>
                <w:rFonts w:ascii="Verdana" w:hAnsi="Verdana"/>
                <w:bCs/>
              </w:rPr>
              <w:t xml:space="preserve">It was noted that it is intended to increase the size of the personal mentoring team in 2020-21. </w:t>
            </w:r>
          </w:p>
        </w:tc>
      </w:tr>
    </w:tbl>
    <w:p w14:paraId="65FF81DD" w14:textId="77777777" w:rsidR="00A70492" w:rsidRDefault="00A70492" w:rsidP="00402468"/>
    <w:tbl>
      <w:tblPr>
        <w:tblW w:w="9747" w:type="dxa"/>
        <w:tblLook w:val="04A0" w:firstRow="1" w:lastRow="0" w:firstColumn="1" w:lastColumn="0" w:noHBand="0" w:noVBand="1"/>
      </w:tblPr>
      <w:tblGrid>
        <w:gridCol w:w="534"/>
        <w:gridCol w:w="9213"/>
      </w:tblGrid>
      <w:tr w:rsidR="00701BFA" w:rsidRPr="00A261AC" w14:paraId="62D2811C" w14:textId="77777777" w:rsidTr="00A43B17">
        <w:tc>
          <w:tcPr>
            <w:tcW w:w="534" w:type="dxa"/>
          </w:tcPr>
          <w:p w14:paraId="7F8A8E37" w14:textId="3BF496F0" w:rsidR="00701BFA" w:rsidRPr="00A261AC" w:rsidRDefault="00701BFA" w:rsidP="0012773D">
            <w:pPr>
              <w:rPr>
                <w:rFonts w:ascii="Verdana" w:hAnsi="Verdana"/>
                <w:b/>
              </w:rPr>
            </w:pPr>
            <w:r>
              <w:rPr>
                <w:rFonts w:ascii="Verdana" w:hAnsi="Verdana"/>
                <w:b/>
              </w:rPr>
              <w:t>7</w:t>
            </w:r>
          </w:p>
        </w:tc>
        <w:tc>
          <w:tcPr>
            <w:tcW w:w="9213" w:type="dxa"/>
          </w:tcPr>
          <w:p w14:paraId="02B83C72" w14:textId="77777777" w:rsidR="00701BFA" w:rsidRDefault="00701BFA" w:rsidP="00701BFA">
            <w:pPr>
              <w:rPr>
                <w:rFonts w:ascii="Verdana" w:hAnsi="Verdana"/>
                <w:b/>
              </w:rPr>
            </w:pPr>
            <w:r>
              <w:rPr>
                <w:rFonts w:ascii="Verdana" w:hAnsi="Verdana"/>
                <w:b/>
              </w:rPr>
              <w:t>Student Survey Report: December 2019</w:t>
            </w:r>
          </w:p>
          <w:p w14:paraId="70F39377" w14:textId="77777777" w:rsidR="00701BFA" w:rsidRDefault="00701BFA" w:rsidP="00701BFA">
            <w:pPr>
              <w:rPr>
                <w:rFonts w:ascii="Verdana" w:hAnsi="Verdana"/>
                <w:b/>
              </w:rPr>
            </w:pPr>
          </w:p>
          <w:p w14:paraId="4B6D22F6" w14:textId="166FDA1F" w:rsidR="00701BFA" w:rsidRDefault="00701BFA" w:rsidP="00701BFA">
            <w:pPr>
              <w:rPr>
                <w:rFonts w:ascii="Verdana" w:hAnsi="Verdana"/>
              </w:rPr>
            </w:pPr>
            <w:r>
              <w:rPr>
                <w:rFonts w:ascii="Verdana" w:hAnsi="Verdana"/>
              </w:rPr>
              <w:t>A report on the survey conducted in December 2019, with specific regard to those matters falling within the Committee’s terms of reference, was received and considered.</w:t>
            </w:r>
          </w:p>
          <w:p w14:paraId="5C0F88DD" w14:textId="5B026990" w:rsidR="00701BFA" w:rsidRDefault="00701BFA" w:rsidP="00701BFA">
            <w:pPr>
              <w:rPr>
                <w:rFonts w:ascii="Verdana" w:hAnsi="Verdana"/>
              </w:rPr>
            </w:pPr>
          </w:p>
          <w:p w14:paraId="28731AA9" w14:textId="49058CC9" w:rsidR="00701BFA" w:rsidRPr="00701BFA" w:rsidRDefault="00701BFA" w:rsidP="0012773D">
            <w:pPr>
              <w:rPr>
                <w:rFonts w:ascii="Verdana" w:hAnsi="Verdana"/>
              </w:rPr>
            </w:pPr>
            <w:r>
              <w:rPr>
                <w:rFonts w:ascii="Verdana" w:hAnsi="Verdana"/>
              </w:rPr>
              <w:t>It was reported that:</w:t>
            </w:r>
          </w:p>
        </w:tc>
      </w:tr>
    </w:tbl>
    <w:p w14:paraId="5FE3C33D" w14:textId="77777777" w:rsidR="00A261AC" w:rsidRDefault="00A261AC"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701BFA" w14:paraId="6FC31F22" w14:textId="77777777" w:rsidTr="00A43B17">
        <w:tc>
          <w:tcPr>
            <w:tcW w:w="521" w:type="dxa"/>
          </w:tcPr>
          <w:p w14:paraId="6D3E2093" w14:textId="77777777" w:rsidR="00701BFA" w:rsidRPr="00802F69" w:rsidRDefault="00701BFA" w:rsidP="0012773D">
            <w:pPr>
              <w:pStyle w:val="NoSpacing"/>
              <w:rPr>
                <w:b/>
              </w:rPr>
            </w:pPr>
          </w:p>
        </w:tc>
        <w:tc>
          <w:tcPr>
            <w:tcW w:w="296" w:type="dxa"/>
          </w:tcPr>
          <w:p w14:paraId="03748BCF" w14:textId="77777777" w:rsidR="00701BFA" w:rsidRPr="00802F69" w:rsidRDefault="00701BFA" w:rsidP="0012773D">
            <w:pPr>
              <w:pStyle w:val="NoSpacing"/>
              <w:rPr>
                <w:b/>
              </w:rPr>
            </w:pPr>
            <w:r>
              <w:rPr>
                <w:b/>
              </w:rPr>
              <w:t>.</w:t>
            </w:r>
          </w:p>
        </w:tc>
        <w:tc>
          <w:tcPr>
            <w:tcW w:w="8930" w:type="dxa"/>
          </w:tcPr>
          <w:p w14:paraId="4E18197F" w14:textId="5DA68713" w:rsidR="00EB2F8A" w:rsidRDefault="00701BFA" w:rsidP="0012773D">
            <w:pPr>
              <w:pStyle w:val="NoSpacing"/>
            </w:pPr>
            <w:r>
              <w:t xml:space="preserve">surveys had been conducted in </w:t>
            </w:r>
            <w:r w:rsidR="00EB2F8A">
              <w:t>December 2017, 2018 and 2019 with participation rates of 47%, 81% and 83% respectively;</w:t>
            </w:r>
          </w:p>
          <w:p w14:paraId="292446F6" w14:textId="381D10BE" w:rsidR="00701BFA" w:rsidRDefault="00EB2F8A" w:rsidP="0012773D">
            <w:pPr>
              <w:pStyle w:val="NoSpacing"/>
            </w:pPr>
            <w:r>
              <w:t xml:space="preserve"> </w:t>
            </w:r>
          </w:p>
        </w:tc>
      </w:tr>
      <w:tr w:rsidR="00701BFA" w14:paraId="712046F7" w14:textId="77777777" w:rsidTr="00A43B17">
        <w:tc>
          <w:tcPr>
            <w:tcW w:w="521" w:type="dxa"/>
          </w:tcPr>
          <w:p w14:paraId="2B8E5E67" w14:textId="77777777" w:rsidR="00701BFA" w:rsidRPr="00802F69" w:rsidRDefault="00701BFA" w:rsidP="0012773D">
            <w:pPr>
              <w:pStyle w:val="NoSpacing"/>
              <w:rPr>
                <w:b/>
              </w:rPr>
            </w:pPr>
          </w:p>
        </w:tc>
        <w:tc>
          <w:tcPr>
            <w:tcW w:w="296" w:type="dxa"/>
          </w:tcPr>
          <w:p w14:paraId="0FC8636C" w14:textId="77777777" w:rsidR="00701BFA" w:rsidRPr="00802F69" w:rsidRDefault="00701BFA" w:rsidP="0012773D">
            <w:pPr>
              <w:pStyle w:val="NoSpacing"/>
              <w:rPr>
                <w:b/>
              </w:rPr>
            </w:pPr>
            <w:r>
              <w:rPr>
                <w:b/>
              </w:rPr>
              <w:t>.</w:t>
            </w:r>
          </w:p>
        </w:tc>
        <w:tc>
          <w:tcPr>
            <w:tcW w:w="8930" w:type="dxa"/>
          </w:tcPr>
          <w:p w14:paraId="0E152333" w14:textId="45BC608C" w:rsidR="00701BFA" w:rsidRDefault="00EB2F8A" w:rsidP="0012773D">
            <w:pPr>
              <w:pStyle w:val="NoSpacing"/>
            </w:pPr>
            <w:r>
              <w:t xml:space="preserve">a full survey from February 2017 (64% response rate) provides a baseline as many of the current strategic initiatives had not </w:t>
            </w:r>
            <w:r w:rsidR="00A70492">
              <w:t>been</w:t>
            </w:r>
            <w:r>
              <w:t xml:space="preserve"> commenced at that point, though only two of the ‘well-being’ questions are </w:t>
            </w:r>
            <w:r w:rsidR="00A70492">
              <w:t>preserved</w:t>
            </w:r>
            <w:r>
              <w:t xml:space="preserve"> from that survey, which also did not include a question on course organisation - so the baseline does not work </w:t>
            </w:r>
            <w:r w:rsidR="008E01CD">
              <w:t>as a comparator in</w:t>
            </w:r>
            <w:r>
              <w:t xml:space="preserve"> all </w:t>
            </w:r>
            <w:r w:rsidR="008E01CD">
              <w:t>instance</w:t>
            </w:r>
            <w:r>
              <w:t>s;</w:t>
            </w:r>
          </w:p>
          <w:p w14:paraId="159ADD16" w14:textId="3AACB128" w:rsidR="00EB2F8A" w:rsidRDefault="00EB2F8A" w:rsidP="0012773D">
            <w:pPr>
              <w:pStyle w:val="NoSpacing"/>
            </w:pPr>
          </w:p>
        </w:tc>
      </w:tr>
      <w:tr w:rsidR="00701BFA" w14:paraId="5BD6A0F0" w14:textId="77777777" w:rsidTr="00A43B17">
        <w:tc>
          <w:tcPr>
            <w:tcW w:w="521" w:type="dxa"/>
          </w:tcPr>
          <w:p w14:paraId="7E4F77D9" w14:textId="77777777" w:rsidR="00701BFA" w:rsidRPr="00802F69" w:rsidRDefault="00701BFA" w:rsidP="0012773D">
            <w:pPr>
              <w:pStyle w:val="NoSpacing"/>
              <w:rPr>
                <w:b/>
              </w:rPr>
            </w:pPr>
          </w:p>
        </w:tc>
        <w:tc>
          <w:tcPr>
            <w:tcW w:w="296" w:type="dxa"/>
          </w:tcPr>
          <w:p w14:paraId="49B5C56E" w14:textId="77777777" w:rsidR="00701BFA" w:rsidRPr="00802F69" w:rsidRDefault="00701BFA" w:rsidP="0012773D">
            <w:pPr>
              <w:pStyle w:val="NoSpacing"/>
              <w:rPr>
                <w:b/>
              </w:rPr>
            </w:pPr>
            <w:r>
              <w:rPr>
                <w:b/>
              </w:rPr>
              <w:t>.</w:t>
            </w:r>
          </w:p>
        </w:tc>
        <w:tc>
          <w:tcPr>
            <w:tcW w:w="8930" w:type="dxa"/>
          </w:tcPr>
          <w:p w14:paraId="4FC8D436" w14:textId="53CDD70C" w:rsidR="00701BFA" w:rsidRDefault="00EB2F8A" w:rsidP="0012773D">
            <w:pPr>
              <w:pStyle w:val="NoSpacing"/>
            </w:pPr>
            <w:r>
              <w:t xml:space="preserve">a smaller survey of </w:t>
            </w:r>
            <w:r w:rsidR="008E01CD">
              <w:t>internally-</w:t>
            </w:r>
            <w:r>
              <w:t>progressing students at the June 2019 Passport Day (65% response rate) had also been also included for data comparison purposes;</w:t>
            </w:r>
          </w:p>
          <w:p w14:paraId="5D63E1B4" w14:textId="3DE4C9BF" w:rsidR="00E864F0" w:rsidRDefault="00E864F0" w:rsidP="0012773D">
            <w:pPr>
              <w:pStyle w:val="NoSpacing"/>
            </w:pPr>
          </w:p>
        </w:tc>
      </w:tr>
      <w:tr w:rsidR="00EB2F8A" w:rsidRPr="0012773D" w14:paraId="02474841" w14:textId="77777777" w:rsidTr="00A43B17">
        <w:tc>
          <w:tcPr>
            <w:tcW w:w="521" w:type="dxa"/>
          </w:tcPr>
          <w:p w14:paraId="007504BC" w14:textId="77777777" w:rsidR="00EB2F8A" w:rsidRPr="0012773D" w:rsidRDefault="00EB2F8A" w:rsidP="0012773D">
            <w:pPr>
              <w:pStyle w:val="NoSpacing"/>
              <w:rPr>
                <w:b/>
              </w:rPr>
            </w:pPr>
          </w:p>
        </w:tc>
        <w:tc>
          <w:tcPr>
            <w:tcW w:w="296" w:type="dxa"/>
          </w:tcPr>
          <w:p w14:paraId="24433F9E" w14:textId="1981B503" w:rsidR="00EB2F8A" w:rsidRPr="0012773D" w:rsidRDefault="00EB2F8A" w:rsidP="0012773D">
            <w:pPr>
              <w:pStyle w:val="NoSpacing"/>
              <w:rPr>
                <w:b/>
              </w:rPr>
            </w:pPr>
            <w:r w:rsidRPr="0012773D">
              <w:rPr>
                <w:b/>
              </w:rPr>
              <w:t>.</w:t>
            </w:r>
          </w:p>
        </w:tc>
        <w:tc>
          <w:tcPr>
            <w:tcW w:w="8930" w:type="dxa"/>
          </w:tcPr>
          <w:p w14:paraId="42EC6764" w14:textId="280BFE1F" w:rsidR="00EB2F8A" w:rsidRPr="0012773D" w:rsidRDefault="0012773D" w:rsidP="0012773D">
            <w:pPr>
              <w:pStyle w:val="NoSpacing"/>
            </w:pPr>
            <w:r w:rsidRPr="0012773D">
              <w:t xml:space="preserve">the following </w:t>
            </w:r>
            <w:r w:rsidR="00EB2F8A" w:rsidRPr="0012773D">
              <w:t>key results were reported:</w:t>
            </w:r>
          </w:p>
        </w:tc>
      </w:tr>
    </w:tbl>
    <w:p w14:paraId="7F0A6F6F" w14:textId="4AC39DEA" w:rsidR="0084389B" w:rsidRPr="0012773D" w:rsidRDefault="0084389B" w:rsidP="00402468">
      <w:pPr>
        <w:rPr>
          <w:rFonts w:ascii="Verdana" w:hAnsi="Verdan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84"/>
        <w:gridCol w:w="296"/>
        <w:gridCol w:w="8635"/>
      </w:tblGrid>
      <w:tr w:rsidR="00EB2F8A" w:rsidRPr="0012773D" w14:paraId="1B188AB8" w14:textId="77777777" w:rsidTr="00A43B17">
        <w:tc>
          <w:tcPr>
            <w:tcW w:w="561" w:type="dxa"/>
          </w:tcPr>
          <w:p w14:paraId="62F534D4" w14:textId="77777777" w:rsidR="00EB2F8A" w:rsidRPr="0012773D" w:rsidRDefault="00EB2F8A" w:rsidP="0012773D">
            <w:pPr>
              <w:rPr>
                <w:rFonts w:ascii="Verdana" w:hAnsi="Verdana"/>
              </w:rPr>
            </w:pPr>
          </w:p>
        </w:tc>
        <w:tc>
          <w:tcPr>
            <w:tcW w:w="284" w:type="dxa"/>
          </w:tcPr>
          <w:p w14:paraId="73F892F6" w14:textId="77777777" w:rsidR="00EB2F8A" w:rsidRPr="0012773D" w:rsidRDefault="00EB2F8A" w:rsidP="0012773D">
            <w:pPr>
              <w:rPr>
                <w:rFonts w:ascii="Verdana" w:hAnsi="Verdana"/>
              </w:rPr>
            </w:pPr>
          </w:p>
        </w:tc>
        <w:tc>
          <w:tcPr>
            <w:tcW w:w="296" w:type="dxa"/>
          </w:tcPr>
          <w:p w14:paraId="222AE16D" w14:textId="77777777" w:rsidR="00EB2F8A" w:rsidRPr="0012773D" w:rsidRDefault="00EB2F8A" w:rsidP="0012773D">
            <w:pPr>
              <w:rPr>
                <w:rFonts w:ascii="Verdana" w:hAnsi="Verdana"/>
                <w:b/>
                <w:bCs/>
              </w:rPr>
            </w:pPr>
            <w:r w:rsidRPr="0012773D">
              <w:rPr>
                <w:rFonts w:ascii="Verdana" w:hAnsi="Verdana"/>
                <w:b/>
                <w:bCs/>
              </w:rPr>
              <w:t>.</w:t>
            </w:r>
          </w:p>
        </w:tc>
        <w:tc>
          <w:tcPr>
            <w:tcW w:w="8635" w:type="dxa"/>
          </w:tcPr>
          <w:p w14:paraId="0728639E" w14:textId="77777777" w:rsidR="00EB2F8A" w:rsidRPr="0012773D" w:rsidRDefault="00EB2F8A" w:rsidP="0012773D">
            <w:pPr>
              <w:rPr>
                <w:rFonts w:ascii="Verdana" w:hAnsi="Verdana"/>
              </w:rPr>
            </w:pPr>
            <w:r w:rsidRPr="0012773D">
              <w:rPr>
                <w:rFonts w:ascii="Verdana" w:hAnsi="Verdana"/>
              </w:rPr>
              <w:t>a significant and sustained improvement is evident across the vast majority of categories since February 2017;</w:t>
            </w:r>
          </w:p>
          <w:p w14:paraId="23DE1D58" w14:textId="6226D78F" w:rsidR="00EB2F8A" w:rsidRPr="0012773D" w:rsidRDefault="00EB2F8A" w:rsidP="0012773D">
            <w:pPr>
              <w:rPr>
                <w:rFonts w:ascii="Verdana" w:hAnsi="Verdana"/>
              </w:rPr>
            </w:pPr>
          </w:p>
        </w:tc>
      </w:tr>
      <w:tr w:rsidR="00EB2F8A" w:rsidRPr="0012773D" w14:paraId="154B7DEF" w14:textId="77777777" w:rsidTr="00A43B17">
        <w:tc>
          <w:tcPr>
            <w:tcW w:w="561" w:type="dxa"/>
          </w:tcPr>
          <w:p w14:paraId="178E6ED7" w14:textId="77777777" w:rsidR="00EB2F8A" w:rsidRPr="0012773D" w:rsidRDefault="00EB2F8A" w:rsidP="0012773D">
            <w:pPr>
              <w:rPr>
                <w:rFonts w:ascii="Verdana" w:hAnsi="Verdana"/>
              </w:rPr>
            </w:pPr>
          </w:p>
        </w:tc>
        <w:tc>
          <w:tcPr>
            <w:tcW w:w="284" w:type="dxa"/>
          </w:tcPr>
          <w:p w14:paraId="4E3EF836" w14:textId="77777777" w:rsidR="00EB2F8A" w:rsidRPr="0012773D" w:rsidRDefault="00EB2F8A" w:rsidP="0012773D">
            <w:pPr>
              <w:rPr>
                <w:rFonts w:ascii="Verdana" w:hAnsi="Verdana"/>
              </w:rPr>
            </w:pPr>
          </w:p>
        </w:tc>
        <w:tc>
          <w:tcPr>
            <w:tcW w:w="296" w:type="dxa"/>
          </w:tcPr>
          <w:p w14:paraId="60C4FBBE" w14:textId="77777777" w:rsidR="00EB2F8A" w:rsidRPr="0012773D" w:rsidRDefault="00EB2F8A" w:rsidP="0012773D">
            <w:pPr>
              <w:rPr>
                <w:rFonts w:ascii="Verdana" w:hAnsi="Verdana"/>
                <w:b/>
                <w:bCs/>
              </w:rPr>
            </w:pPr>
            <w:r w:rsidRPr="0012773D">
              <w:rPr>
                <w:rFonts w:ascii="Verdana" w:hAnsi="Verdana"/>
                <w:b/>
                <w:bCs/>
              </w:rPr>
              <w:t>.</w:t>
            </w:r>
          </w:p>
        </w:tc>
        <w:tc>
          <w:tcPr>
            <w:tcW w:w="8635" w:type="dxa"/>
          </w:tcPr>
          <w:p w14:paraId="77C530F8" w14:textId="53386931" w:rsidR="00EB2F8A" w:rsidRPr="0012773D" w:rsidRDefault="00EB2F8A" w:rsidP="0012773D">
            <w:pPr>
              <w:rPr>
                <w:rFonts w:ascii="Verdana" w:hAnsi="Verdana"/>
              </w:rPr>
            </w:pPr>
            <w:r w:rsidRPr="0012773D">
              <w:rPr>
                <w:rFonts w:ascii="Verdana" w:hAnsi="Verdana"/>
              </w:rPr>
              <w:t xml:space="preserve">the trend could be even more pronounced because it was mandatory </w:t>
            </w:r>
            <w:r w:rsidR="0012773D" w:rsidRPr="0012773D">
              <w:rPr>
                <w:rFonts w:ascii="Verdana" w:hAnsi="Verdana"/>
              </w:rPr>
              <w:t>for</w:t>
            </w:r>
            <w:r w:rsidRPr="0012773D">
              <w:rPr>
                <w:rFonts w:ascii="Verdana" w:hAnsi="Verdana"/>
              </w:rPr>
              <w:t xml:space="preserve"> students </w:t>
            </w:r>
            <w:r w:rsidR="0012773D" w:rsidRPr="0012773D">
              <w:rPr>
                <w:rFonts w:ascii="Verdana" w:hAnsi="Verdana"/>
              </w:rPr>
              <w:t xml:space="preserve">to </w:t>
            </w:r>
            <w:r w:rsidRPr="0012773D">
              <w:rPr>
                <w:rFonts w:ascii="Verdana" w:hAnsi="Verdana"/>
              </w:rPr>
              <w:t>complet</w:t>
            </w:r>
            <w:r w:rsidR="0012773D" w:rsidRPr="0012773D">
              <w:rPr>
                <w:rFonts w:ascii="Verdana" w:hAnsi="Verdana"/>
              </w:rPr>
              <w:t>e</w:t>
            </w:r>
            <w:r w:rsidRPr="0012773D">
              <w:rPr>
                <w:rFonts w:ascii="Verdana" w:hAnsi="Verdana"/>
              </w:rPr>
              <w:t xml:space="preserve"> </w:t>
            </w:r>
            <w:r w:rsidR="0012773D" w:rsidRPr="0012773D">
              <w:rPr>
                <w:rFonts w:ascii="Verdana" w:hAnsi="Verdana"/>
              </w:rPr>
              <w:t>the</w:t>
            </w:r>
            <w:r w:rsidRPr="0012773D">
              <w:rPr>
                <w:rFonts w:ascii="Verdana" w:hAnsi="Verdana"/>
              </w:rPr>
              <w:t xml:space="preserve"> December 2018 and December 2019</w:t>
            </w:r>
            <w:r w:rsidR="0012773D" w:rsidRPr="0012773D">
              <w:rPr>
                <w:rFonts w:ascii="Verdana" w:hAnsi="Verdana"/>
              </w:rPr>
              <w:t xml:space="preserve"> surveys, </w:t>
            </w:r>
            <w:r w:rsidR="0012773D" w:rsidRPr="0012773D">
              <w:rPr>
                <w:rFonts w:ascii="Verdana" w:hAnsi="Verdana"/>
              </w:rPr>
              <w:lastRenderedPageBreak/>
              <w:t>thereby including</w:t>
            </w:r>
            <w:r w:rsidRPr="0012773D">
              <w:rPr>
                <w:rFonts w:ascii="Verdana" w:hAnsi="Verdana"/>
              </w:rPr>
              <w:t xml:space="preserve"> </w:t>
            </w:r>
            <w:r w:rsidR="0012773D" w:rsidRPr="0012773D">
              <w:rPr>
                <w:rFonts w:ascii="Verdana" w:hAnsi="Verdana"/>
              </w:rPr>
              <w:t xml:space="preserve">much higher numbers </w:t>
            </w:r>
            <w:r w:rsidR="00E864F0">
              <w:rPr>
                <w:rFonts w:ascii="Verdana" w:hAnsi="Verdana"/>
              </w:rPr>
              <w:t xml:space="preserve">from </w:t>
            </w:r>
            <w:r w:rsidR="0012773D" w:rsidRPr="0012773D">
              <w:rPr>
                <w:rFonts w:ascii="Verdana" w:hAnsi="Verdana"/>
              </w:rPr>
              <w:t>those</w:t>
            </w:r>
            <w:r w:rsidRPr="0012773D">
              <w:rPr>
                <w:rFonts w:ascii="Verdana" w:hAnsi="Verdana"/>
              </w:rPr>
              <w:t xml:space="preserve"> groups who are less likely to</w:t>
            </w:r>
            <w:r w:rsidR="008E01CD">
              <w:rPr>
                <w:rFonts w:ascii="Verdana" w:hAnsi="Verdana"/>
              </w:rPr>
              <w:t xml:space="preserve"> otherwise participate in the survey and</w:t>
            </w:r>
            <w:r w:rsidRPr="0012773D">
              <w:rPr>
                <w:rFonts w:ascii="Verdana" w:hAnsi="Verdana"/>
              </w:rPr>
              <w:t xml:space="preserve"> report </w:t>
            </w:r>
            <w:r w:rsidR="00A70492">
              <w:rPr>
                <w:rFonts w:ascii="Verdana" w:hAnsi="Verdana"/>
              </w:rPr>
              <w:t>satisfaction</w:t>
            </w:r>
            <w:r w:rsidR="0012773D" w:rsidRPr="0012773D">
              <w:rPr>
                <w:rFonts w:ascii="Verdana" w:hAnsi="Verdana"/>
              </w:rPr>
              <w:t>;</w:t>
            </w:r>
          </w:p>
          <w:p w14:paraId="4B79A8BF" w14:textId="7BE0BD25" w:rsidR="0012773D" w:rsidRPr="0012773D" w:rsidRDefault="0012773D" w:rsidP="0012773D">
            <w:pPr>
              <w:rPr>
                <w:rFonts w:ascii="Verdana" w:hAnsi="Verdana"/>
              </w:rPr>
            </w:pPr>
          </w:p>
        </w:tc>
      </w:tr>
      <w:tr w:rsidR="00EB2F8A" w:rsidRPr="0012773D" w14:paraId="4CC2C043" w14:textId="77777777" w:rsidTr="00A43B17">
        <w:tc>
          <w:tcPr>
            <w:tcW w:w="561" w:type="dxa"/>
          </w:tcPr>
          <w:p w14:paraId="0C2AE570" w14:textId="77777777" w:rsidR="00EB2F8A" w:rsidRPr="0012773D" w:rsidRDefault="00EB2F8A" w:rsidP="0012773D">
            <w:pPr>
              <w:rPr>
                <w:rFonts w:ascii="Verdana" w:hAnsi="Verdana"/>
              </w:rPr>
            </w:pPr>
          </w:p>
        </w:tc>
        <w:tc>
          <w:tcPr>
            <w:tcW w:w="284" w:type="dxa"/>
          </w:tcPr>
          <w:p w14:paraId="64B0A239" w14:textId="77777777" w:rsidR="00EB2F8A" w:rsidRPr="0012773D" w:rsidRDefault="00EB2F8A" w:rsidP="0012773D">
            <w:pPr>
              <w:rPr>
                <w:rFonts w:ascii="Verdana" w:hAnsi="Verdana"/>
              </w:rPr>
            </w:pPr>
          </w:p>
        </w:tc>
        <w:tc>
          <w:tcPr>
            <w:tcW w:w="296" w:type="dxa"/>
          </w:tcPr>
          <w:p w14:paraId="674C48CF" w14:textId="77777777" w:rsidR="00EB2F8A" w:rsidRPr="0012773D" w:rsidRDefault="00EB2F8A" w:rsidP="0012773D">
            <w:pPr>
              <w:rPr>
                <w:rFonts w:ascii="Verdana" w:hAnsi="Verdana"/>
                <w:b/>
                <w:bCs/>
              </w:rPr>
            </w:pPr>
            <w:r w:rsidRPr="0012773D">
              <w:rPr>
                <w:rFonts w:ascii="Verdana" w:hAnsi="Verdana"/>
                <w:b/>
                <w:bCs/>
              </w:rPr>
              <w:t>.</w:t>
            </w:r>
          </w:p>
        </w:tc>
        <w:tc>
          <w:tcPr>
            <w:tcW w:w="8635" w:type="dxa"/>
          </w:tcPr>
          <w:p w14:paraId="042FE7D2" w14:textId="6070612D" w:rsidR="00EB2F8A" w:rsidRPr="0012773D" w:rsidRDefault="0012773D" w:rsidP="0012773D">
            <w:pPr>
              <w:rPr>
                <w:rFonts w:ascii="Verdana" w:hAnsi="Verdana"/>
              </w:rPr>
            </w:pPr>
            <w:r w:rsidRPr="0012773D">
              <w:rPr>
                <w:rFonts w:ascii="Verdana" w:hAnsi="Verdana"/>
              </w:rPr>
              <w:t xml:space="preserve">substantial and strong trends of improvement in student opinion are observed across all categories of teaching and learning, with the strongest improvements </w:t>
            </w:r>
            <w:r w:rsidR="00E864F0">
              <w:rPr>
                <w:rFonts w:ascii="Verdana" w:hAnsi="Verdana"/>
              </w:rPr>
              <w:t>in agreement</w:t>
            </w:r>
            <w:r w:rsidRPr="0012773D">
              <w:rPr>
                <w:rFonts w:ascii="Verdana" w:hAnsi="Verdana"/>
              </w:rPr>
              <w:t xml:space="preserve"> with</w:t>
            </w:r>
            <w:r w:rsidR="008E01CD">
              <w:rPr>
                <w:rFonts w:ascii="Verdana" w:hAnsi="Verdana"/>
              </w:rPr>
              <w:t xml:space="preserve"> the statement that</w:t>
            </w:r>
            <w:r w:rsidRPr="0012773D">
              <w:rPr>
                <w:rFonts w:ascii="Verdana" w:hAnsi="Verdana"/>
              </w:rPr>
              <w:t xml:space="preserve"> ‘the teaching on my course is good’ (+10), ‘the course is well organised (+9), ‘the teacher understands my needs and plans to meet them’ (+8), and ‘when I meet the hand-in date I receive quick feedback’ (+8), though the smallest improvement is observed in ‘my teacher knows their subject well’ (+4);</w:t>
            </w:r>
          </w:p>
          <w:p w14:paraId="2501AFD2" w14:textId="5FA97D11" w:rsidR="0012773D" w:rsidRPr="0012773D" w:rsidRDefault="0012773D" w:rsidP="0012773D">
            <w:pPr>
              <w:rPr>
                <w:rFonts w:ascii="Verdana" w:hAnsi="Verdana"/>
              </w:rPr>
            </w:pPr>
          </w:p>
        </w:tc>
      </w:tr>
      <w:tr w:rsidR="00EB2F8A" w:rsidRPr="0012773D" w14:paraId="06F3BA97" w14:textId="77777777" w:rsidTr="00A43B17">
        <w:tc>
          <w:tcPr>
            <w:tcW w:w="561" w:type="dxa"/>
          </w:tcPr>
          <w:p w14:paraId="6656B449" w14:textId="77777777" w:rsidR="00EB2F8A" w:rsidRPr="0012773D" w:rsidRDefault="00EB2F8A" w:rsidP="0012773D">
            <w:pPr>
              <w:rPr>
                <w:rFonts w:ascii="Verdana" w:hAnsi="Verdana"/>
              </w:rPr>
            </w:pPr>
          </w:p>
        </w:tc>
        <w:tc>
          <w:tcPr>
            <w:tcW w:w="284" w:type="dxa"/>
          </w:tcPr>
          <w:p w14:paraId="274F4E94" w14:textId="77777777" w:rsidR="00EB2F8A" w:rsidRPr="0012773D" w:rsidRDefault="00EB2F8A" w:rsidP="0012773D">
            <w:pPr>
              <w:rPr>
                <w:rFonts w:ascii="Verdana" w:hAnsi="Verdana"/>
              </w:rPr>
            </w:pPr>
          </w:p>
        </w:tc>
        <w:tc>
          <w:tcPr>
            <w:tcW w:w="296" w:type="dxa"/>
          </w:tcPr>
          <w:p w14:paraId="2886597C" w14:textId="77777777" w:rsidR="00EB2F8A" w:rsidRPr="0012773D" w:rsidRDefault="00EB2F8A" w:rsidP="0012773D">
            <w:pPr>
              <w:rPr>
                <w:rFonts w:ascii="Verdana" w:hAnsi="Verdana"/>
                <w:b/>
                <w:bCs/>
              </w:rPr>
            </w:pPr>
            <w:r w:rsidRPr="0012773D">
              <w:rPr>
                <w:rFonts w:ascii="Verdana" w:hAnsi="Verdana"/>
                <w:b/>
                <w:bCs/>
              </w:rPr>
              <w:t>.</w:t>
            </w:r>
          </w:p>
        </w:tc>
        <w:tc>
          <w:tcPr>
            <w:tcW w:w="8635" w:type="dxa"/>
          </w:tcPr>
          <w:p w14:paraId="5E6D1287" w14:textId="6E747449" w:rsidR="00EB2F8A" w:rsidRPr="0012773D" w:rsidRDefault="0012773D" w:rsidP="0012773D">
            <w:pPr>
              <w:rPr>
                <w:rFonts w:ascii="Verdana" w:hAnsi="Verdana"/>
              </w:rPr>
            </w:pPr>
            <w:r w:rsidRPr="0012773D">
              <w:rPr>
                <w:rFonts w:ascii="Verdana" w:hAnsi="Verdana"/>
              </w:rPr>
              <w:t>there is little variation between Pathways – with Teaching &amp; Learning summary scores for Pathways ranging from 69 to 77 in the most recent survey, compared with</w:t>
            </w:r>
            <w:r w:rsidR="008E01CD">
              <w:rPr>
                <w:rFonts w:ascii="Verdana" w:hAnsi="Verdana"/>
              </w:rPr>
              <w:t xml:space="preserve"> wider discrepancies</w:t>
            </w:r>
            <w:r w:rsidRPr="0012773D">
              <w:rPr>
                <w:rFonts w:ascii="Verdana" w:hAnsi="Verdana"/>
              </w:rPr>
              <w:t xml:space="preserve"> </w:t>
            </w:r>
            <w:r w:rsidR="008E01CD">
              <w:rPr>
                <w:rFonts w:ascii="Verdana" w:hAnsi="Verdana"/>
              </w:rPr>
              <w:t>(</w:t>
            </w:r>
            <w:r w:rsidRPr="0012773D">
              <w:rPr>
                <w:rFonts w:ascii="Verdana" w:hAnsi="Verdana"/>
              </w:rPr>
              <w:t>54 to 71</w:t>
            </w:r>
            <w:r w:rsidR="008E01CD">
              <w:rPr>
                <w:rFonts w:ascii="Verdana" w:hAnsi="Verdana"/>
              </w:rPr>
              <w:t>)</w:t>
            </w:r>
            <w:r w:rsidRPr="0012773D">
              <w:rPr>
                <w:rFonts w:ascii="Verdana" w:hAnsi="Verdana"/>
              </w:rPr>
              <w:t xml:space="preserve"> in December 2017;</w:t>
            </w:r>
          </w:p>
          <w:p w14:paraId="4523BC18" w14:textId="03974CE1" w:rsidR="0012773D" w:rsidRPr="0012773D" w:rsidRDefault="0012773D" w:rsidP="0012773D">
            <w:pPr>
              <w:rPr>
                <w:rFonts w:ascii="Verdana" w:hAnsi="Verdana"/>
              </w:rPr>
            </w:pPr>
          </w:p>
        </w:tc>
      </w:tr>
      <w:tr w:rsidR="0012773D" w:rsidRPr="0012773D" w14:paraId="05BE2AFE" w14:textId="77777777" w:rsidTr="00A43B17">
        <w:tc>
          <w:tcPr>
            <w:tcW w:w="561" w:type="dxa"/>
          </w:tcPr>
          <w:p w14:paraId="2E960DBE" w14:textId="77777777" w:rsidR="0012773D" w:rsidRPr="0012773D" w:rsidRDefault="0012773D" w:rsidP="0012773D">
            <w:pPr>
              <w:rPr>
                <w:rFonts w:ascii="Verdana" w:hAnsi="Verdana"/>
              </w:rPr>
            </w:pPr>
          </w:p>
        </w:tc>
        <w:tc>
          <w:tcPr>
            <w:tcW w:w="284" w:type="dxa"/>
          </w:tcPr>
          <w:p w14:paraId="4D99F2C3" w14:textId="77777777" w:rsidR="0012773D" w:rsidRPr="0012773D" w:rsidRDefault="0012773D" w:rsidP="0012773D">
            <w:pPr>
              <w:rPr>
                <w:rFonts w:ascii="Verdana" w:hAnsi="Verdana"/>
              </w:rPr>
            </w:pPr>
          </w:p>
        </w:tc>
        <w:tc>
          <w:tcPr>
            <w:tcW w:w="296" w:type="dxa"/>
          </w:tcPr>
          <w:p w14:paraId="2602FA48" w14:textId="363BADD2" w:rsidR="0012773D" w:rsidRPr="0012773D" w:rsidRDefault="0012773D" w:rsidP="0012773D">
            <w:pPr>
              <w:rPr>
                <w:rFonts w:ascii="Verdana" w:hAnsi="Verdana"/>
                <w:b/>
                <w:bCs/>
              </w:rPr>
            </w:pPr>
            <w:r>
              <w:rPr>
                <w:rFonts w:ascii="Verdana" w:hAnsi="Verdana"/>
                <w:b/>
                <w:bCs/>
              </w:rPr>
              <w:t>.</w:t>
            </w:r>
          </w:p>
        </w:tc>
        <w:tc>
          <w:tcPr>
            <w:tcW w:w="8635" w:type="dxa"/>
          </w:tcPr>
          <w:p w14:paraId="13496058" w14:textId="3651395B" w:rsidR="0012773D" w:rsidRPr="003928D4" w:rsidRDefault="0012773D" w:rsidP="0012773D">
            <w:pPr>
              <w:rPr>
                <w:rFonts w:ascii="Verdana" w:hAnsi="Verdana"/>
              </w:rPr>
            </w:pPr>
            <w:r w:rsidRPr="003928D4">
              <w:rPr>
                <w:rFonts w:ascii="Verdana" w:hAnsi="Verdana"/>
              </w:rPr>
              <w:t>whilst some subjects</w:t>
            </w:r>
            <w:r w:rsidR="008E01CD">
              <w:rPr>
                <w:rFonts w:ascii="Verdana" w:hAnsi="Verdana"/>
              </w:rPr>
              <w:t xml:space="preserve"> with few students</w:t>
            </w:r>
            <w:r w:rsidRPr="003928D4">
              <w:rPr>
                <w:rFonts w:ascii="Verdana" w:hAnsi="Verdana"/>
              </w:rPr>
              <w:t xml:space="preserve"> appear at the top and bottom of the </w:t>
            </w:r>
            <w:r w:rsidR="00E864F0">
              <w:rPr>
                <w:rFonts w:ascii="Verdana" w:hAnsi="Verdana"/>
              </w:rPr>
              <w:t>distribution</w:t>
            </w:r>
            <w:r w:rsidR="008E01CD">
              <w:rPr>
                <w:rFonts w:ascii="Verdana" w:hAnsi="Verdana"/>
              </w:rPr>
              <w:t xml:space="preserve"> and, because of the small number</w:t>
            </w:r>
            <w:r w:rsidR="00100027">
              <w:rPr>
                <w:rFonts w:ascii="Verdana" w:hAnsi="Verdana"/>
              </w:rPr>
              <w:t>s,</w:t>
            </w:r>
            <w:r w:rsidR="008E01CD">
              <w:rPr>
                <w:rFonts w:ascii="Verdana" w:hAnsi="Verdana"/>
              </w:rPr>
              <w:t xml:space="preserve"> are subject to year-on-year volatility</w:t>
            </w:r>
            <w:r w:rsidRPr="003928D4">
              <w:rPr>
                <w:rFonts w:ascii="Verdana" w:hAnsi="Verdana"/>
              </w:rPr>
              <w:t xml:space="preserve">, larger subjects (which because of their size are less </w:t>
            </w:r>
            <w:r w:rsidR="00100027">
              <w:rPr>
                <w:rFonts w:ascii="Verdana" w:hAnsi="Verdana"/>
              </w:rPr>
              <w:t>subject to data instability</w:t>
            </w:r>
            <w:r w:rsidRPr="003928D4">
              <w:rPr>
                <w:rFonts w:ascii="Verdana" w:hAnsi="Verdana"/>
              </w:rPr>
              <w:t>) reveal vocational IT scoring highly, but Health and Social Care and some Business courses less well;</w:t>
            </w:r>
          </w:p>
          <w:p w14:paraId="5B487505" w14:textId="26512D73" w:rsidR="0012773D" w:rsidRPr="003928D4" w:rsidRDefault="0012773D" w:rsidP="0012773D">
            <w:pPr>
              <w:rPr>
                <w:rFonts w:ascii="Verdana" w:hAnsi="Verdana"/>
              </w:rPr>
            </w:pPr>
          </w:p>
        </w:tc>
      </w:tr>
      <w:tr w:rsidR="0012773D" w:rsidRPr="0012773D" w14:paraId="25796608" w14:textId="77777777" w:rsidTr="00A43B17">
        <w:tc>
          <w:tcPr>
            <w:tcW w:w="561" w:type="dxa"/>
          </w:tcPr>
          <w:p w14:paraId="6B841482" w14:textId="77777777" w:rsidR="0012773D" w:rsidRPr="0012773D" w:rsidRDefault="0012773D" w:rsidP="0012773D">
            <w:pPr>
              <w:rPr>
                <w:rFonts w:ascii="Verdana" w:hAnsi="Verdana"/>
              </w:rPr>
            </w:pPr>
          </w:p>
        </w:tc>
        <w:tc>
          <w:tcPr>
            <w:tcW w:w="284" w:type="dxa"/>
          </w:tcPr>
          <w:p w14:paraId="4513AEF2" w14:textId="77777777" w:rsidR="0012773D" w:rsidRPr="0012773D" w:rsidRDefault="0012773D" w:rsidP="0012773D">
            <w:pPr>
              <w:rPr>
                <w:rFonts w:ascii="Verdana" w:hAnsi="Verdana"/>
              </w:rPr>
            </w:pPr>
          </w:p>
        </w:tc>
        <w:tc>
          <w:tcPr>
            <w:tcW w:w="296" w:type="dxa"/>
          </w:tcPr>
          <w:p w14:paraId="1F2B4D29" w14:textId="2A882F8D" w:rsidR="0012773D" w:rsidRPr="0012773D" w:rsidRDefault="0012773D" w:rsidP="0012773D">
            <w:pPr>
              <w:rPr>
                <w:rFonts w:ascii="Verdana" w:hAnsi="Verdana"/>
                <w:b/>
                <w:bCs/>
              </w:rPr>
            </w:pPr>
            <w:r>
              <w:rPr>
                <w:rFonts w:ascii="Verdana" w:hAnsi="Verdana"/>
                <w:b/>
                <w:bCs/>
              </w:rPr>
              <w:t>.</w:t>
            </w:r>
          </w:p>
        </w:tc>
        <w:tc>
          <w:tcPr>
            <w:tcW w:w="8635" w:type="dxa"/>
          </w:tcPr>
          <w:p w14:paraId="7FBBF635" w14:textId="1305E472" w:rsidR="0012773D" w:rsidRPr="00100027" w:rsidRDefault="003928D4" w:rsidP="0012773D">
            <w:pPr>
              <w:rPr>
                <w:rFonts w:ascii="Verdana" w:hAnsi="Verdana"/>
                <w:i/>
                <w:iCs/>
              </w:rPr>
            </w:pPr>
            <w:r w:rsidRPr="003928D4">
              <w:rPr>
                <w:rFonts w:ascii="Verdana" w:hAnsi="Verdana"/>
              </w:rPr>
              <w:t xml:space="preserve">there has been </w:t>
            </w:r>
            <w:r w:rsidR="0012773D" w:rsidRPr="003928D4">
              <w:rPr>
                <w:rFonts w:ascii="Verdana" w:hAnsi="Verdana"/>
              </w:rPr>
              <w:t xml:space="preserve">a sustained improvement in the rating students give to the College </w:t>
            </w:r>
            <w:r w:rsidRPr="003928D4">
              <w:rPr>
                <w:rFonts w:ascii="Verdana" w:hAnsi="Verdana"/>
              </w:rPr>
              <w:t xml:space="preserve">with </w:t>
            </w:r>
            <w:r w:rsidR="00100027">
              <w:rPr>
                <w:rFonts w:ascii="Verdana" w:hAnsi="Verdana"/>
              </w:rPr>
              <w:t xml:space="preserve">over </w:t>
            </w:r>
            <w:r w:rsidR="0012773D" w:rsidRPr="003928D4">
              <w:rPr>
                <w:rFonts w:ascii="Verdana" w:hAnsi="Verdana"/>
              </w:rPr>
              <w:t>90% of students now agree</w:t>
            </w:r>
            <w:r w:rsidRPr="003928D4">
              <w:rPr>
                <w:rFonts w:ascii="Verdana" w:hAnsi="Verdana"/>
              </w:rPr>
              <w:t>ing</w:t>
            </w:r>
            <w:r w:rsidR="0012773D" w:rsidRPr="003928D4">
              <w:rPr>
                <w:rFonts w:ascii="Verdana" w:hAnsi="Verdana"/>
              </w:rPr>
              <w:t xml:space="preserve"> </w:t>
            </w:r>
            <w:r w:rsidR="00100027" w:rsidRPr="00100027">
              <w:rPr>
                <w:rFonts w:ascii="Verdana" w:hAnsi="Verdana"/>
              </w:rPr>
              <w:t>that they would recommend the College to a friend</w:t>
            </w:r>
            <w:r w:rsidRPr="00100027">
              <w:rPr>
                <w:rFonts w:ascii="Verdana" w:hAnsi="Verdana"/>
              </w:rPr>
              <w:t>;</w:t>
            </w:r>
            <w:r w:rsidR="00100027">
              <w:rPr>
                <w:rFonts w:ascii="Verdana" w:hAnsi="Verdana"/>
              </w:rPr>
              <w:t xml:space="preserve"> </w:t>
            </w:r>
            <w:r w:rsidR="00100027">
              <w:rPr>
                <w:rFonts w:ascii="Verdana" w:hAnsi="Verdana"/>
                <w:i/>
                <w:iCs/>
              </w:rPr>
              <w:t>and</w:t>
            </w:r>
          </w:p>
          <w:p w14:paraId="5B3BF02A" w14:textId="16777479" w:rsidR="003928D4" w:rsidRPr="003928D4" w:rsidRDefault="003928D4" w:rsidP="0012773D">
            <w:pPr>
              <w:rPr>
                <w:rFonts w:ascii="Verdana" w:hAnsi="Verdana"/>
              </w:rPr>
            </w:pPr>
          </w:p>
        </w:tc>
      </w:tr>
      <w:tr w:rsidR="0012773D" w:rsidRPr="0012773D" w14:paraId="43732A01" w14:textId="77777777" w:rsidTr="00A43B17">
        <w:tc>
          <w:tcPr>
            <w:tcW w:w="561" w:type="dxa"/>
          </w:tcPr>
          <w:p w14:paraId="3D4C1487" w14:textId="77777777" w:rsidR="0012773D" w:rsidRPr="0012773D" w:rsidRDefault="0012773D" w:rsidP="0012773D">
            <w:pPr>
              <w:rPr>
                <w:rFonts w:ascii="Verdana" w:hAnsi="Verdana"/>
              </w:rPr>
            </w:pPr>
          </w:p>
        </w:tc>
        <w:tc>
          <w:tcPr>
            <w:tcW w:w="284" w:type="dxa"/>
          </w:tcPr>
          <w:p w14:paraId="2ABC4DCB" w14:textId="77777777" w:rsidR="0012773D" w:rsidRPr="0012773D" w:rsidRDefault="0012773D" w:rsidP="0012773D">
            <w:pPr>
              <w:rPr>
                <w:rFonts w:ascii="Verdana" w:hAnsi="Verdana"/>
              </w:rPr>
            </w:pPr>
          </w:p>
        </w:tc>
        <w:tc>
          <w:tcPr>
            <w:tcW w:w="296" w:type="dxa"/>
          </w:tcPr>
          <w:p w14:paraId="15013AEB" w14:textId="4594FB08" w:rsidR="0012773D" w:rsidRPr="0012773D" w:rsidRDefault="0012773D" w:rsidP="0012773D">
            <w:pPr>
              <w:rPr>
                <w:rFonts w:ascii="Verdana" w:hAnsi="Verdana"/>
                <w:b/>
                <w:bCs/>
              </w:rPr>
            </w:pPr>
            <w:r>
              <w:rPr>
                <w:rFonts w:ascii="Verdana" w:hAnsi="Verdana"/>
                <w:b/>
                <w:bCs/>
              </w:rPr>
              <w:t>.</w:t>
            </w:r>
          </w:p>
        </w:tc>
        <w:tc>
          <w:tcPr>
            <w:tcW w:w="8635" w:type="dxa"/>
          </w:tcPr>
          <w:p w14:paraId="6B3DF880" w14:textId="61E1AD92" w:rsidR="003928D4" w:rsidRPr="003928D4" w:rsidRDefault="003928D4" w:rsidP="0012773D">
            <w:pPr>
              <w:rPr>
                <w:rFonts w:ascii="Verdana" w:hAnsi="Verdana"/>
              </w:rPr>
            </w:pPr>
            <w:r w:rsidRPr="003928D4">
              <w:rPr>
                <w:rFonts w:ascii="Verdana" w:hAnsi="Verdana"/>
              </w:rPr>
              <w:t xml:space="preserve">although Black British (African) and Black British (Caribbean) students continue to be less likely to recommend the </w:t>
            </w:r>
            <w:r w:rsidR="00100027">
              <w:rPr>
                <w:rFonts w:ascii="Verdana" w:hAnsi="Verdana"/>
              </w:rPr>
              <w:t>C</w:t>
            </w:r>
            <w:r w:rsidRPr="003928D4">
              <w:rPr>
                <w:rFonts w:ascii="Verdana" w:hAnsi="Verdana"/>
              </w:rPr>
              <w:t xml:space="preserve">ollege, their overall </w:t>
            </w:r>
            <w:r w:rsidR="00100027">
              <w:rPr>
                <w:rFonts w:ascii="Verdana" w:hAnsi="Verdana"/>
              </w:rPr>
              <w:t xml:space="preserve">positive </w:t>
            </w:r>
            <w:r w:rsidRPr="003928D4">
              <w:rPr>
                <w:rFonts w:ascii="Verdana" w:hAnsi="Verdana"/>
              </w:rPr>
              <w:t>rating</w:t>
            </w:r>
            <w:r w:rsidR="00100027">
              <w:rPr>
                <w:rFonts w:ascii="Verdana" w:hAnsi="Verdana"/>
              </w:rPr>
              <w:t xml:space="preserve"> of it</w:t>
            </w:r>
            <w:r w:rsidRPr="003928D4">
              <w:rPr>
                <w:rFonts w:ascii="Verdana" w:hAnsi="Verdana"/>
              </w:rPr>
              <w:t xml:space="preserve"> has </w:t>
            </w:r>
            <w:r w:rsidR="00100027">
              <w:rPr>
                <w:rFonts w:ascii="Verdana" w:hAnsi="Verdana"/>
              </w:rPr>
              <w:t xml:space="preserve">also </w:t>
            </w:r>
            <w:r w:rsidRPr="003928D4">
              <w:rPr>
                <w:rFonts w:ascii="Verdana" w:hAnsi="Verdana"/>
              </w:rPr>
              <w:t>significantly</w:t>
            </w:r>
            <w:r w:rsidR="00100027">
              <w:rPr>
                <w:rFonts w:ascii="Verdana" w:hAnsi="Verdana"/>
              </w:rPr>
              <w:t xml:space="preserve"> improved</w:t>
            </w:r>
            <w:r>
              <w:rPr>
                <w:rFonts w:ascii="Verdana" w:hAnsi="Verdana"/>
              </w:rPr>
              <w:t>.</w:t>
            </w:r>
          </w:p>
        </w:tc>
      </w:tr>
    </w:tbl>
    <w:p w14:paraId="4D8DE948" w14:textId="583B4FBD" w:rsidR="00701BFA" w:rsidRDefault="00701BFA" w:rsidP="00402468"/>
    <w:tbl>
      <w:tblPr>
        <w:tblW w:w="9747" w:type="dxa"/>
        <w:tblLook w:val="04A0" w:firstRow="1" w:lastRow="0" w:firstColumn="1" w:lastColumn="0" w:noHBand="0" w:noVBand="1"/>
      </w:tblPr>
      <w:tblGrid>
        <w:gridCol w:w="534"/>
        <w:gridCol w:w="9213"/>
      </w:tblGrid>
      <w:tr w:rsidR="003928D4" w:rsidRPr="00A261AC" w14:paraId="16D1F2A3" w14:textId="77777777" w:rsidTr="00A43B17">
        <w:tc>
          <w:tcPr>
            <w:tcW w:w="534" w:type="dxa"/>
          </w:tcPr>
          <w:p w14:paraId="592A9C54" w14:textId="77777777" w:rsidR="003928D4" w:rsidRPr="00A261AC" w:rsidRDefault="003928D4" w:rsidP="00F335CD">
            <w:pPr>
              <w:rPr>
                <w:rFonts w:ascii="Verdana" w:hAnsi="Verdana"/>
                <w:b/>
              </w:rPr>
            </w:pPr>
          </w:p>
        </w:tc>
        <w:tc>
          <w:tcPr>
            <w:tcW w:w="9213" w:type="dxa"/>
          </w:tcPr>
          <w:p w14:paraId="2EA4D7E5" w14:textId="0633000E" w:rsidR="003928D4" w:rsidRDefault="00100027" w:rsidP="00F335CD">
            <w:pPr>
              <w:rPr>
                <w:rFonts w:ascii="Verdana" w:hAnsi="Verdana"/>
                <w:bCs/>
              </w:rPr>
            </w:pPr>
            <w:r>
              <w:rPr>
                <w:rFonts w:ascii="Verdana" w:hAnsi="Verdana"/>
                <w:bCs/>
              </w:rPr>
              <w:t xml:space="preserve">It was accepted that the survey measures opinion and is not to be relied on as objective evidence of improvement.  Nevertheless, the transformation from survey results </w:t>
            </w:r>
            <w:r w:rsidR="00E864F0">
              <w:rPr>
                <w:rFonts w:ascii="Verdana" w:hAnsi="Verdana"/>
                <w:bCs/>
              </w:rPr>
              <w:t>before</w:t>
            </w:r>
            <w:r>
              <w:rPr>
                <w:rFonts w:ascii="Verdana" w:hAnsi="Verdana"/>
                <w:bCs/>
              </w:rPr>
              <w:t xml:space="preserve"> February 2017, when </w:t>
            </w:r>
            <w:r w:rsidR="00E864F0">
              <w:rPr>
                <w:rFonts w:ascii="Verdana" w:hAnsi="Verdana"/>
                <w:bCs/>
              </w:rPr>
              <w:t xml:space="preserve">student </w:t>
            </w:r>
            <w:r>
              <w:rPr>
                <w:rFonts w:ascii="Verdana" w:hAnsi="Verdana"/>
                <w:bCs/>
              </w:rPr>
              <w:t>opinion about the College had shown negative trends, is especially welcome.</w:t>
            </w:r>
          </w:p>
          <w:p w14:paraId="35DFFC68" w14:textId="77777777" w:rsidR="00100027" w:rsidRDefault="00100027" w:rsidP="00F335CD">
            <w:pPr>
              <w:rPr>
                <w:rFonts w:ascii="Verdana" w:hAnsi="Verdana"/>
                <w:bCs/>
              </w:rPr>
            </w:pPr>
          </w:p>
          <w:p w14:paraId="3CC0027D" w14:textId="02959785" w:rsidR="00100027" w:rsidRDefault="00100027" w:rsidP="00F335CD">
            <w:pPr>
              <w:rPr>
                <w:rFonts w:ascii="Verdana" w:hAnsi="Verdana"/>
                <w:bCs/>
              </w:rPr>
            </w:pPr>
            <w:r>
              <w:rPr>
                <w:rFonts w:ascii="Verdana" w:hAnsi="Verdana"/>
                <w:bCs/>
              </w:rPr>
              <w:t>The key questions were agreed to be th</w:t>
            </w:r>
            <w:r w:rsidR="000A3473">
              <w:rPr>
                <w:rFonts w:ascii="Verdana" w:hAnsi="Verdana"/>
                <w:bCs/>
              </w:rPr>
              <w:t>o</w:t>
            </w:r>
            <w:r>
              <w:rPr>
                <w:rFonts w:ascii="Verdana" w:hAnsi="Verdana"/>
                <w:bCs/>
              </w:rPr>
              <w:t>se relating to the quality of course teaching</w:t>
            </w:r>
            <w:r w:rsidR="000A3473">
              <w:rPr>
                <w:rFonts w:ascii="Verdana" w:hAnsi="Verdana"/>
                <w:bCs/>
              </w:rPr>
              <w:t xml:space="preserve"> and the preparedness </w:t>
            </w:r>
            <w:r w:rsidR="00210586">
              <w:rPr>
                <w:rFonts w:ascii="Verdana" w:hAnsi="Verdana"/>
                <w:bCs/>
              </w:rPr>
              <w:t xml:space="preserve">of students </w:t>
            </w:r>
            <w:r w:rsidR="000A3473">
              <w:rPr>
                <w:rFonts w:ascii="Verdana" w:hAnsi="Verdana"/>
                <w:bCs/>
              </w:rPr>
              <w:t>to recommend the College to a friend.  Both had shown a clear positive trend.</w:t>
            </w:r>
          </w:p>
          <w:p w14:paraId="18BDD25B" w14:textId="77777777" w:rsidR="000A3473" w:rsidRDefault="000A3473" w:rsidP="00F335CD">
            <w:pPr>
              <w:rPr>
                <w:rFonts w:ascii="Verdana" w:hAnsi="Verdana"/>
                <w:bCs/>
              </w:rPr>
            </w:pPr>
          </w:p>
          <w:p w14:paraId="21B7B69C" w14:textId="77777777" w:rsidR="000A3473" w:rsidRDefault="000A3473" w:rsidP="00F335CD">
            <w:pPr>
              <w:rPr>
                <w:rFonts w:ascii="Verdana" w:hAnsi="Verdana"/>
                <w:bCs/>
              </w:rPr>
            </w:pPr>
            <w:r>
              <w:rPr>
                <w:rFonts w:ascii="Verdana" w:hAnsi="Verdana"/>
                <w:bCs/>
              </w:rPr>
              <w:t>A continuing issue was identified concerning Black British students, especially those of Caribbean heritage.  Although reflective of a national trend, and common to both genders, the issue merits further investigation and focus groups are to be convened for the purpose.</w:t>
            </w:r>
          </w:p>
          <w:p w14:paraId="3B61F832" w14:textId="77777777" w:rsidR="000A3473" w:rsidRDefault="000A3473" w:rsidP="00F335CD">
            <w:pPr>
              <w:rPr>
                <w:rFonts w:ascii="Verdana" w:hAnsi="Verdana"/>
                <w:bCs/>
              </w:rPr>
            </w:pPr>
          </w:p>
          <w:p w14:paraId="52BC2485" w14:textId="50FC7BAC" w:rsidR="000A3473" w:rsidRPr="00A261AC" w:rsidRDefault="000A3473" w:rsidP="00F335CD">
            <w:pPr>
              <w:rPr>
                <w:rFonts w:ascii="Verdana" w:hAnsi="Verdana"/>
                <w:bCs/>
              </w:rPr>
            </w:pPr>
            <w:r>
              <w:rPr>
                <w:rFonts w:ascii="Verdana" w:hAnsi="Verdana"/>
                <w:bCs/>
              </w:rPr>
              <w:t>The issue of student perceptions of personal safety was recognised as an issue for the External Relations Committee, but it was remarked that it could be open to multiple interpretations on the part of respondents.  For example, might a student feel “unsafe” because of the demands of the course they are studying and the attendant risk of failure and losing their College place?</w:t>
            </w:r>
          </w:p>
        </w:tc>
      </w:tr>
    </w:tbl>
    <w:p w14:paraId="241D3973" w14:textId="439FB2D8" w:rsidR="0084389B" w:rsidRDefault="0084389B" w:rsidP="00402468"/>
    <w:p w14:paraId="609CDDA9" w14:textId="7CF08A63" w:rsidR="00A43B17" w:rsidRDefault="00A43B17" w:rsidP="00402468"/>
    <w:p w14:paraId="32F9EAAE" w14:textId="38ACF2A6" w:rsidR="00A43B17" w:rsidRDefault="00A43B17" w:rsidP="00402468"/>
    <w:p w14:paraId="5DE5912F" w14:textId="77777777" w:rsidR="00A43B17" w:rsidRDefault="00A43B17" w:rsidP="00402468"/>
    <w:tbl>
      <w:tblPr>
        <w:tblW w:w="9747" w:type="dxa"/>
        <w:tblLook w:val="04A0" w:firstRow="1" w:lastRow="0" w:firstColumn="1" w:lastColumn="0" w:noHBand="0" w:noVBand="1"/>
      </w:tblPr>
      <w:tblGrid>
        <w:gridCol w:w="529"/>
        <w:gridCol w:w="9218"/>
      </w:tblGrid>
      <w:tr w:rsidR="00144E96" w:rsidRPr="00773A1E" w14:paraId="775EC0DF" w14:textId="77777777" w:rsidTr="00A43B17">
        <w:tc>
          <w:tcPr>
            <w:tcW w:w="529" w:type="dxa"/>
          </w:tcPr>
          <w:p w14:paraId="60AC78F0" w14:textId="77777777" w:rsidR="00144E96" w:rsidRDefault="00144E96" w:rsidP="0012773D">
            <w:pPr>
              <w:rPr>
                <w:rFonts w:ascii="Verdana" w:hAnsi="Verdana"/>
                <w:b/>
              </w:rPr>
            </w:pPr>
            <w:r>
              <w:rPr>
                <w:rFonts w:ascii="Verdana" w:hAnsi="Verdana"/>
                <w:b/>
              </w:rPr>
              <w:lastRenderedPageBreak/>
              <w:t>8</w:t>
            </w:r>
          </w:p>
        </w:tc>
        <w:tc>
          <w:tcPr>
            <w:tcW w:w="9218" w:type="dxa"/>
          </w:tcPr>
          <w:p w14:paraId="53A86FB2" w14:textId="0C790988" w:rsidR="00144E96" w:rsidRDefault="00144E96" w:rsidP="0012773D">
            <w:pPr>
              <w:rPr>
                <w:rFonts w:ascii="Verdana" w:hAnsi="Verdana"/>
                <w:b/>
              </w:rPr>
            </w:pPr>
            <w:r>
              <w:rPr>
                <w:rFonts w:ascii="Verdana" w:hAnsi="Verdana"/>
                <w:b/>
              </w:rPr>
              <w:t>Date and Time of Remaining Meeting 2019-20</w:t>
            </w:r>
          </w:p>
          <w:p w14:paraId="7FD1D7B4" w14:textId="77777777" w:rsidR="00144E96" w:rsidRDefault="00144E96" w:rsidP="0012773D">
            <w:pPr>
              <w:rPr>
                <w:rFonts w:ascii="Verdana" w:hAnsi="Verdana"/>
                <w:b/>
              </w:rPr>
            </w:pPr>
          </w:p>
          <w:p w14:paraId="304CFEA4" w14:textId="720A78CB" w:rsidR="00144E96" w:rsidRDefault="00144E96" w:rsidP="0012773D">
            <w:pPr>
              <w:rPr>
                <w:rFonts w:ascii="Verdana" w:hAnsi="Verdana"/>
              </w:rPr>
            </w:pPr>
            <w:r>
              <w:rPr>
                <w:rFonts w:ascii="Verdana" w:hAnsi="Verdana"/>
              </w:rPr>
              <w:t>The following approved date and time w</w:t>
            </w:r>
            <w:r w:rsidR="003928D4">
              <w:rPr>
                <w:rFonts w:ascii="Verdana" w:hAnsi="Verdana"/>
              </w:rPr>
              <w:t>as</w:t>
            </w:r>
            <w:r>
              <w:rPr>
                <w:rFonts w:ascii="Verdana" w:hAnsi="Verdana"/>
              </w:rPr>
              <w:t xml:space="preserve"> noted:</w:t>
            </w:r>
          </w:p>
          <w:p w14:paraId="14D1A2F0" w14:textId="77777777" w:rsidR="00144E96" w:rsidRDefault="00144E96" w:rsidP="0012773D">
            <w:pPr>
              <w:rPr>
                <w:rFonts w:ascii="Verdana" w:hAnsi="Verdana"/>
                <w:b/>
                <w:i/>
              </w:rPr>
            </w:pPr>
          </w:p>
          <w:p w14:paraId="6FE5F8FE" w14:textId="650EBCA8" w:rsidR="00144E96" w:rsidRPr="00144E96" w:rsidRDefault="00144E96" w:rsidP="00144E96">
            <w:pPr>
              <w:pStyle w:val="NoSpacing"/>
              <w:rPr>
                <w:rFonts w:ascii="Verdana" w:hAnsi="Verdana"/>
                <w:b/>
                <w:bCs/>
                <w:i/>
                <w:iCs/>
              </w:rPr>
            </w:pPr>
            <w:r w:rsidRPr="00144E96">
              <w:rPr>
                <w:rFonts w:ascii="Verdana" w:hAnsi="Verdana"/>
                <w:b/>
                <w:bCs/>
                <w:i/>
                <w:iCs/>
              </w:rPr>
              <w:t>Tuesday 9 June 2020</w:t>
            </w:r>
            <w:r w:rsidR="003928D4">
              <w:rPr>
                <w:rFonts w:ascii="Verdana" w:hAnsi="Verdana"/>
                <w:b/>
                <w:bCs/>
                <w:i/>
                <w:iCs/>
              </w:rPr>
              <w:t xml:space="preserve"> (6.30pm)</w:t>
            </w:r>
          </w:p>
          <w:p w14:paraId="220D6815" w14:textId="77777777" w:rsidR="00144E96" w:rsidRPr="00773A1E" w:rsidRDefault="00144E96" w:rsidP="0012773D">
            <w:pPr>
              <w:rPr>
                <w:rFonts w:ascii="Verdana" w:hAnsi="Verdana"/>
              </w:rPr>
            </w:pPr>
          </w:p>
        </w:tc>
      </w:tr>
      <w:tr w:rsidR="00144E96" w:rsidRPr="00773A1E" w14:paraId="023EFF4C" w14:textId="77777777" w:rsidTr="00A43B17">
        <w:tc>
          <w:tcPr>
            <w:tcW w:w="529" w:type="dxa"/>
          </w:tcPr>
          <w:p w14:paraId="1BC568B4" w14:textId="45D4A867" w:rsidR="00144E96" w:rsidRDefault="00144E96" w:rsidP="0012773D">
            <w:pPr>
              <w:rPr>
                <w:rFonts w:ascii="Verdana" w:hAnsi="Verdana"/>
                <w:b/>
              </w:rPr>
            </w:pPr>
            <w:r>
              <w:rPr>
                <w:rFonts w:ascii="Verdana" w:hAnsi="Verdana"/>
                <w:b/>
              </w:rPr>
              <w:t>9</w:t>
            </w:r>
          </w:p>
        </w:tc>
        <w:tc>
          <w:tcPr>
            <w:tcW w:w="9218" w:type="dxa"/>
          </w:tcPr>
          <w:p w14:paraId="52BD5EF4" w14:textId="41E0E3E2" w:rsidR="00144E96" w:rsidRDefault="00144E96" w:rsidP="00144E96">
            <w:pPr>
              <w:rPr>
                <w:rFonts w:ascii="Verdana" w:hAnsi="Verdana"/>
                <w:b/>
              </w:rPr>
            </w:pPr>
            <w:r w:rsidRPr="0049013F">
              <w:rPr>
                <w:rFonts w:ascii="Verdana" w:hAnsi="Verdana"/>
                <w:b/>
              </w:rPr>
              <w:t>Any Other Competent Business</w:t>
            </w:r>
          </w:p>
          <w:p w14:paraId="6B932400" w14:textId="77777777" w:rsidR="00144E96" w:rsidRPr="0049013F" w:rsidRDefault="00144E96" w:rsidP="00144E96">
            <w:pPr>
              <w:rPr>
                <w:rFonts w:ascii="Verdana" w:hAnsi="Verdana"/>
                <w:b/>
              </w:rPr>
            </w:pPr>
          </w:p>
          <w:p w14:paraId="19C8A053" w14:textId="193C9902" w:rsidR="00144E96" w:rsidRDefault="000A3473" w:rsidP="0012773D">
            <w:pPr>
              <w:rPr>
                <w:rFonts w:ascii="Verdana" w:hAnsi="Verdana"/>
                <w:bCs/>
              </w:rPr>
            </w:pPr>
            <w:r>
              <w:rPr>
                <w:rFonts w:ascii="Verdana" w:hAnsi="Verdana"/>
                <w:bCs/>
              </w:rPr>
              <w:t>The newly-published 16-19 Study Programmes Inspection Data Summary Report prepared by Ofsted was made available to members together with an explanatory overview prepared by the Vice-Principal: Curriculum and Quality.</w:t>
            </w:r>
          </w:p>
          <w:p w14:paraId="44C698E0" w14:textId="11E3973B" w:rsidR="00F12F15" w:rsidRDefault="00F12F15" w:rsidP="0012773D">
            <w:pPr>
              <w:rPr>
                <w:rFonts w:ascii="Verdana" w:hAnsi="Verdana"/>
                <w:bCs/>
              </w:rPr>
            </w:pPr>
          </w:p>
          <w:p w14:paraId="2C518B7E" w14:textId="46BBFA26" w:rsidR="00F12F15" w:rsidRDefault="00F12F15" w:rsidP="00F12F15">
            <w:pPr>
              <w:rPr>
                <w:rFonts w:ascii="Verdana" w:hAnsi="Verdana"/>
              </w:rPr>
            </w:pPr>
            <w:r w:rsidRPr="00F12F15">
              <w:rPr>
                <w:rFonts w:ascii="Verdana" w:hAnsi="Verdana"/>
                <w:bCs/>
              </w:rPr>
              <w:t xml:space="preserve">It was noted that the </w:t>
            </w:r>
            <w:r w:rsidRPr="00F12F15">
              <w:rPr>
                <w:rFonts w:ascii="Verdana" w:hAnsi="Verdana"/>
              </w:rPr>
              <w:t xml:space="preserve">Report draws from publicly available data in the Department for Education 16-18 performance tables, as can be found on the </w:t>
            </w:r>
            <w:hyperlink r:id="rId8" w:history="1">
              <w:r w:rsidRPr="00F12F15">
                <w:rPr>
                  <w:rStyle w:val="Hyperlink"/>
                  <w:rFonts w:ascii="Verdana" w:hAnsi="Verdana"/>
                </w:rPr>
                <w:t>schools and colleges comparison website</w:t>
              </w:r>
            </w:hyperlink>
            <w:r w:rsidRPr="00F12F15">
              <w:rPr>
                <w:rFonts w:ascii="Verdana" w:hAnsi="Verdana"/>
              </w:rPr>
              <w:t xml:space="preserve">.  It summarises this data for the purposes of inspection, aiming to </w:t>
            </w:r>
            <w:r w:rsidR="00210586">
              <w:rPr>
                <w:rFonts w:ascii="Verdana" w:hAnsi="Verdana"/>
              </w:rPr>
              <w:t>emphasise</w:t>
            </w:r>
            <w:r w:rsidRPr="00F12F15">
              <w:rPr>
                <w:rFonts w:ascii="Verdana" w:hAnsi="Verdana"/>
              </w:rPr>
              <w:t xml:space="preserve"> areas of interest </w:t>
            </w:r>
            <w:r w:rsidR="00210586">
              <w:rPr>
                <w:rFonts w:ascii="Verdana" w:hAnsi="Verdana"/>
              </w:rPr>
              <w:t>owing to</w:t>
            </w:r>
            <w:r w:rsidRPr="00F12F15">
              <w:rPr>
                <w:rFonts w:ascii="Verdana" w:hAnsi="Verdana"/>
              </w:rPr>
              <w:t xml:space="preserve"> particularly good or bad performance, whilst minimising less valid data, e.g. where numbers are very small. </w:t>
            </w:r>
            <w:r>
              <w:rPr>
                <w:rFonts w:ascii="Verdana" w:hAnsi="Verdana"/>
              </w:rPr>
              <w:t xml:space="preserve"> </w:t>
            </w:r>
            <w:r w:rsidRPr="00F12F15">
              <w:rPr>
                <w:rFonts w:ascii="Verdana" w:hAnsi="Verdana"/>
              </w:rPr>
              <w:t xml:space="preserve">Inspectors use </w:t>
            </w:r>
            <w:r>
              <w:rPr>
                <w:rFonts w:ascii="Verdana" w:hAnsi="Verdana"/>
              </w:rPr>
              <w:t>it</w:t>
            </w:r>
            <w:r w:rsidRPr="00F12F15">
              <w:rPr>
                <w:rFonts w:ascii="Verdana" w:hAnsi="Verdana"/>
              </w:rPr>
              <w:t xml:space="preserve"> as a primary data source to prepare for inspection, and during inspection.</w:t>
            </w:r>
          </w:p>
          <w:p w14:paraId="1C3F91E9" w14:textId="4DCD45A6" w:rsidR="00F12F15" w:rsidRDefault="00F12F15" w:rsidP="00F12F15">
            <w:pPr>
              <w:rPr>
                <w:rFonts w:ascii="Verdana" w:hAnsi="Verdana"/>
              </w:rPr>
            </w:pPr>
          </w:p>
          <w:p w14:paraId="2BAA0C68" w14:textId="0D91DEC0" w:rsidR="00F12F15" w:rsidRDefault="00F12F15" w:rsidP="00F12F15">
            <w:pPr>
              <w:rPr>
                <w:rFonts w:ascii="Verdana" w:hAnsi="Verdana"/>
              </w:rPr>
            </w:pPr>
            <w:r w:rsidRPr="00F12F15">
              <w:rPr>
                <w:rFonts w:ascii="Verdana" w:hAnsi="Verdana"/>
              </w:rPr>
              <w:t xml:space="preserve">The majority of </w:t>
            </w:r>
            <w:r>
              <w:rPr>
                <w:rFonts w:ascii="Verdana" w:hAnsi="Verdana"/>
              </w:rPr>
              <w:t xml:space="preserve">the College’s </w:t>
            </w:r>
            <w:r w:rsidRPr="00F12F15">
              <w:rPr>
                <w:rFonts w:ascii="Verdana" w:hAnsi="Verdana"/>
              </w:rPr>
              <w:t xml:space="preserve">students are studying L3 vocational qualifications on the older QCF </w:t>
            </w:r>
            <w:r w:rsidRPr="009057EE">
              <w:rPr>
                <w:rFonts w:ascii="Verdana" w:hAnsi="Verdana"/>
              </w:rPr>
              <w:t xml:space="preserve">framework, </w:t>
            </w:r>
            <w:r w:rsidR="009057EE" w:rsidRPr="009057EE">
              <w:rPr>
                <w:rFonts w:ascii="Verdana" w:hAnsi="Verdana"/>
              </w:rPr>
              <w:t>none of which</w:t>
            </w:r>
            <w:r w:rsidRPr="009057EE">
              <w:rPr>
                <w:rFonts w:ascii="Verdana" w:hAnsi="Verdana"/>
              </w:rPr>
              <w:t xml:space="preserve"> appear in performance tables, which measure only the newer RQF framework.   This year, for the first time, </w:t>
            </w:r>
            <w:r w:rsidR="009057EE">
              <w:rPr>
                <w:rFonts w:ascii="Verdana" w:hAnsi="Verdana"/>
              </w:rPr>
              <w:t>the College’s</w:t>
            </w:r>
            <w:r w:rsidRPr="009057EE">
              <w:rPr>
                <w:rFonts w:ascii="Verdana" w:hAnsi="Verdana"/>
              </w:rPr>
              <w:t xml:space="preserve"> Level 2 vocational courses also do not appear, as the government will now only report on technical certificates</w:t>
            </w:r>
            <w:r w:rsidR="009057EE" w:rsidRPr="009057EE">
              <w:rPr>
                <w:rFonts w:ascii="Verdana" w:hAnsi="Verdana"/>
              </w:rPr>
              <w:t xml:space="preserve"> </w:t>
            </w:r>
            <w:r w:rsidR="009057EE">
              <w:rPr>
                <w:rFonts w:ascii="Verdana" w:hAnsi="Verdana"/>
              </w:rPr>
              <w:t>(</w:t>
            </w:r>
            <w:r w:rsidR="009057EE" w:rsidRPr="009057EE">
              <w:rPr>
                <w:rFonts w:ascii="Verdana" w:hAnsi="Verdana"/>
              </w:rPr>
              <w:t>qualifications deemed particularly appropriate</w:t>
            </w:r>
            <w:r w:rsidR="009057EE" w:rsidRPr="00F12F15">
              <w:rPr>
                <w:rFonts w:ascii="Verdana" w:hAnsi="Verdana"/>
              </w:rPr>
              <w:t xml:space="preserve"> to prepare students for employment or further technical study</w:t>
            </w:r>
            <w:r w:rsidRPr="009057EE">
              <w:rPr>
                <w:rFonts w:ascii="Verdana" w:hAnsi="Verdana"/>
              </w:rPr>
              <w:t xml:space="preserve"> at Level 2</w:t>
            </w:r>
            <w:r w:rsidR="009057EE">
              <w:rPr>
                <w:rFonts w:ascii="Verdana" w:hAnsi="Verdana"/>
              </w:rPr>
              <w:t>)</w:t>
            </w:r>
            <w:r w:rsidRPr="009057EE">
              <w:rPr>
                <w:rFonts w:ascii="Verdana" w:hAnsi="Verdana"/>
              </w:rPr>
              <w:t xml:space="preserve">. </w:t>
            </w:r>
          </w:p>
          <w:p w14:paraId="301B1B1B" w14:textId="1AEBACDC" w:rsidR="009057EE" w:rsidRDefault="009057EE" w:rsidP="00F12F15">
            <w:pPr>
              <w:rPr>
                <w:rFonts w:ascii="Verdana" w:hAnsi="Verdana"/>
              </w:rPr>
            </w:pPr>
          </w:p>
          <w:p w14:paraId="7F4E8486" w14:textId="32C1A7AF" w:rsidR="00F12F15" w:rsidRPr="009057EE" w:rsidRDefault="009057EE" w:rsidP="0012773D">
            <w:pPr>
              <w:rPr>
                <w:rFonts w:ascii="Verdana" w:hAnsi="Verdana"/>
              </w:rPr>
            </w:pPr>
            <w:r w:rsidRPr="009057EE">
              <w:rPr>
                <w:rFonts w:ascii="Verdana" w:hAnsi="Verdana"/>
              </w:rPr>
              <w:t xml:space="preserve">In </w:t>
            </w:r>
            <w:r w:rsidR="00210586">
              <w:rPr>
                <w:rFonts w:ascii="Verdana" w:hAnsi="Verdana"/>
              </w:rPr>
              <w:t>determining</w:t>
            </w:r>
            <w:r w:rsidRPr="009057EE">
              <w:rPr>
                <w:rFonts w:ascii="Verdana" w:hAnsi="Verdana"/>
              </w:rPr>
              <w:t xml:space="preserve"> which students appear in the 16-18 data tables, there are three criteria, any of which can apply</w:t>
            </w:r>
            <w:r>
              <w:rPr>
                <w:rFonts w:ascii="Verdana" w:hAnsi="Verdana"/>
              </w:rPr>
              <w:t>, namely</w:t>
            </w:r>
            <w:r w:rsidRPr="009057EE">
              <w:rPr>
                <w:rFonts w:ascii="Verdana" w:hAnsi="Verdana"/>
              </w:rPr>
              <w:t>:</w:t>
            </w:r>
          </w:p>
        </w:tc>
      </w:tr>
    </w:tbl>
    <w:p w14:paraId="1B765BAC" w14:textId="26A79C38" w:rsidR="00896BAE" w:rsidRDefault="00896BAE"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9057EE" w14:paraId="355CE237" w14:textId="77777777" w:rsidTr="00A43B17">
        <w:tc>
          <w:tcPr>
            <w:tcW w:w="521" w:type="dxa"/>
          </w:tcPr>
          <w:p w14:paraId="2E128C75" w14:textId="77777777" w:rsidR="009057EE" w:rsidRPr="00802F69" w:rsidRDefault="009057EE" w:rsidP="00EE645F">
            <w:pPr>
              <w:pStyle w:val="NoSpacing"/>
              <w:rPr>
                <w:b/>
              </w:rPr>
            </w:pPr>
          </w:p>
        </w:tc>
        <w:tc>
          <w:tcPr>
            <w:tcW w:w="296" w:type="dxa"/>
          </w:tcPr>
          <w:p w14:paraId="18A32060" w14:textId="77777777" w:rsidR="009057EE" w:rsidRPr="00802F69" w:rsidRDefault="009057EE" w:rsidP="00EE645F">
            <w:pPr>
              <w:pStyle w:val="NoSpacing"/>
              <w:rPr>
                <w:b/>
              </w:rPr>
            </w:pPr>
            <w:r>
              <w:rPr>
                <w:b/>
              </w:rPr>
              <w:t>.</w:t>
            </w:r>
          </w:p>
        </w:tc>
        <w:tc>
          <w:tcPr>
            <w:tcW w:w="8930" w:type="dxa"/>
          </w:tcPr>
          <w:p w14:paraId="6EB176DD" w14:textId="720C0D2C" w:rsidR="009057EE" w:rsidRDefault="009057EE" w:rsidP="00EE645F">
            <w:pPr>
              <w:pStyle w:val="NoSpacing"/>
              <w:rPr>
                <w:i/>
                <w:iCs/>
              </w:rPr>
            </w:pPr>
            <w:r>
              <w:t xml:space="preserve">the student has entered for at least </w:t>
            </w:r>
            <w:r w:rsidR="00210586">
              <w:t>two</w:t>
            </w:r>
            <w:r>
              <w:t xml:space="preserve"> qualifications, each of which is at least the size of an A level</w:t>
            </w:r>
            <w:r w:rsidR="00210586">
              <w:t>,</w:t>
            </w:r>
            <w:r>
              <w:t xml:space="preserve"> or they have entered for at least </w:t>
            </w:r>
            <w:r w:rsidR="00210586">
              <w:t>one</w:t>
            </w:r>
            <w:r>
              <w:t xml:space="preserve"> qualification the size of at least 2 A levels, in the reporting year; </w:t>
            </w:r>
            <w:r>
              <w:rPr>
                <w:i/>
                <w:iCs/>
              </w:rPr>
              <w:t>or</w:t>
            </w:r>
          </w:p>
          <w:p w14:paraId="20AA03B4" w14:textId="4A60628C" w:rsidR="009057EE" w:rsidRPr="009057EE" w:rsidRDefault="009057EE" w:rsidP="00EE645F">
            <w:pPr>
              <w:pStyle w:val="NoSpacing"/>
              <w:rPr>
                <w:i/>
                <w:iCs/>
              </w:rPr>
            </w:pPr>
          </w:p>
        </w:tc>
      </w:tr>
      <w:tr w:rsidR="009057EE" w14:paraId="6CC02AA2" w14:textId="77777777" w:rsidTr="00A43B17">
        <w:tc>
          <w:tcPr>
            <w:tcW w:w="521" w:type="dxa"/>
          </w:tcPr>
          <w:p w14:paraId="475F18F1" w14:textId="77777777" w:rsidR="009057EE" w:rsidRPr="00802F69" w:rsidRDefault="009057EE" w:rsidP="00EE645F">
            <w:pPr>
              <w:pStyle w:val="NoSpacing"/>
              <w:rPr>
                <w:b/>
              </w:rPr>
            </w:pPr>
          </w:p>
        </w:tc>
        <w:tc>
          <w:tcPr>
            <w:tcW w:w="296" w:type="dxa"/>
          </w:tcPr>
          <w:p w14:paraId="264CC1E6" w14:textId="77777777" w:rsidR="009057EE" w:rsidRPr="00802F69" w:rsidRDefault="009057EE" w:rsidP="00EE645F">
            <w:pPr>
              <w:pStyle w:val="NoSpacing"/>
              <w:rPr>
                <w:b/>
              </w:rPr>
            </w:pPr>
            <w:r>
              <w:rPr>
                <w:b/>
              </w:rPr>
              <w:t>.</w:t>
            </w:r>
          </w:p>
        </w:tc>
        <w:tc>
          <w:tcPr>
            <w:tcW w:w="8930" w:type="dxa"/>
          </w:tcPr>
          <w:p w14:paraId="7A5B022B" w14:textId="77777777" w:rsidR="009057EE" w:rsidRDefault="009057EE" w:rsidP="00EE645F">
            <w:pPr>
              <w:pStyle w:val="NoSpacing"/>
              <w:rPr>
                <w:i/>
                <w:iCs/>
              </w:rPr>
            </w:pPr>
            <w:r>
              <w:t xml:space="preserve">the student has been allocated to the same school or college for the last two years; </w:t>
            </w:r>
            <w:r>
              <w:rPr>
                <w:i/>
                <w:iCs/>
              </w:rPr>
              <w:t>or</w:t>
            </w:r>
          </w:p>
          <w:p w14:paraId="3B134162" w14:textId="28024698" w:rsidR="009057EE" w:rsidRPr="009057EE" w:rsidRDefault="009057EE" w:rsidP="00EE645F">
            <w:pPr>
              <w:pStyle w:val="NoSpacing"/>
              <w:rPr>
                <w:i/>
                <w:iCs/>
              </w:rPr>
            </w:pPr>
          </w:p>
        </w:tc>
      </w:tr>
      <w:tr w:rsidR="009057EE" w14:paraId="563FCAC8" w14:textId="77777777" w:rsidTr="00A43B17">
        <w:tc>
          <w:tcPr>
            <w:tcW w:w="521" w:type="dxa"/>
          </w:tcPr>
          <w:p w14:paraId="2330877C" w14:textId="77777777" w:rsidR="009057EE" w:rsidRPr="00802F69" w:rsidRDefault="009057EE" w:rsidP="00EE645F">
            <w:pPr>
              <w:pStyle w:val="NoSpacing"/>
              <w:rPr>
                <w:b/>
              </w:rPr>
            </w:pPr>
          </w:p>
        </w:tc>
        <w:tc>
          <w:tcPr>
            <w:tcW w:w="296" w:type="dxa"/>
          </w:tcPr>
          <w:p w14:paraId="17CA52A0" w14:textId="77777777" w:rsidR="009057EE" w:rsidRPr="00802F69" w:rsidRDefault="009057EE" w:rsidP="00EE645F">
            <w:pPr>
              <w:pStyle w:val="NoSpacing"/>
              <w:rPr>
                <w:b/>
              </w:rPr>
            </w:pPr>
            <w:r>
              <w:rPr>
                <w:b/>
              </w:rPr>
              <w:t>.</w:t>
            </w:r>
          </w:p>
        </w:tc>
        <w:tc>
          <w:tcPr>
            <w:tcW w:w="8930" w:type="dxa"/>
          </w:tcPr>
          <w:p w14:paraId="27071866" w14:textId="3D0F44E2" w:rsidR="009057EE" w:rsidRDefault="009057EE" w:rsidP="00EE645F">
            <w:pPr>
              <w:pStyle w:val="NoSpacing"/>
            </w:pPr>
            <w:r>
              <w:t>the student is 18 at the start of the reporting year and has not been reported in the performance tables at their current allocated school or college.</w:t>
            </w:r>
          </w:p>
        </w:tc>
      </w:tr>
    </w:tbl>
    <w:p w14:paraId="44A03C57" w14:textId="77777777" w:rsidR="00532D30" w:rsidRDefault="00532D30" w:rsidP="00402468"/>
    <w:tbl>
      <w:tblPr>
        <w:tblW w:w="9747" w:type="dxa"/>
        <w:tblLook w:val="04A0" w:firstRow="1" w:lastRow="0" w:firstColumn="1" w:lastColumn="0" w:noHBand="0" w:noVBand="1"/>
      </w:tblPr>
      <w:tblGrid>
        <w:gridCol w:w="529"/>
        <w:gridCol w:w="9218"/>
      </w:tblGrid>
      <w:tr w:rsidR="009057EE" w:rsidRPr="009057EE" w14:paraId="20F6D58F" w14:textId="77777777" w:rsidTr="00A43B17">
        <w:tc>
          <w:tcPr>
            <w:tcW w:w="529" w:type="dxa"/>
          </w:tcPr>
          <w:p w14:paraId="4AFFBC1F" w14:textId="1559C8DD" w:rsidR="009057EE" w:rsidRPr="009057EE" w:rsidRDefault="009057EE" w:rsidP="00EE645F">
            <w:pPr>
              <w:rPr>
                <w:rFonts w:ascii="Verdana" w:hAnsi="Verdana"/>
                <w:b/>
              </w:rPr>
            </w:pPr>
          </w:p>
        </w:tc>
        <w:tc>
          <w:tcPr>
            <w:tcW w:w="9218" w:type="dxa"/>
          </w:tcPr>
          <w:p w14:paraId="0D98ECE4" w14:textId="6529CD81" w:rsidR="009057EE" w:rsidRPr="009057EE" w:rsidRDefault="009057EE" w:rsidP="009057EE">
            <w:pPr>
              <w:rPr>
                <w:rFonts w:ascii="Verdana" w:hAnsi="Verdana"/>
              </w:rPr>
            </w:pPr>
            <w:r>
              <w:rPr>
                <w:rFonts w:ascii="Verdana" w:hAnsi="Verdana"/>
              </w:rPr>
              <w:t>The College</w:t>
            </w:r>
            <w:r w:rsidRPr="009057EE">
              <w:rPr>
                <w:rFonts w:ascii="Verdana" w:hAnsi="Verdana"/>
              </w:rPr>
              <w:t xml:space="preserve"> can defer reporting on students who meet either or both of the first two criteria (provided they have not yet turned 18), but must report any student meeting the third criterion.  In effect, this means that a student </w:t>
            </w:r>
            <w:r>
              <w:rPr>
                <w:rFonts w:ascii="Verdana" w:hAnsi="Verdana"/>
              </w:rPr>
              <w:t>joining</w:t>
            </w:r>
            <w:r w:rsidRPr="009057EE">
              <w:rPr>
                <w:rFonts w:ascii="Verdana" w:hAnsi="Verdana"/>
              </w:rPr>
              <w:t xml:space="preserve"> for a term or two </w:t>
            </w:r>
            <w:r>
              <w:rPr>
                <w:rFonts w:ascii="Verdana" w:hAnsi="Verdana"/>
              </w:rPr>
              <w:t>who</w:t>
            </w:r>
            <w:r w:rsidRPr="009057EE">
              <w:rPr>
                <w:rFonts w:ascii="Verdana" w:hAnsi="Verdana"/>
              </w:rPr>
              <w:t xml:space="preserve"> leaves and does not re-enter education so as to appear in another college’s data return will </w:t>
            </w:r>
            <w:r>
              <w:rPr>
                <w:rFonts w:ascii="Verdana" w:hAnsi="Verdana"/>
              </w:rPr>
              <w:t>be recorded</w:t>
            </w:r>
            <w:r w:rsidRPr="009057EE">
              <w:rPr>
                <w:rFonts w:ascii="Verdana" w:hAnsi="Verdana"/>
              </w:rPr>
              <w:t xml:space="preserve"> as negative </w:t>
            </w:r>
            <w:r>
              <w:rPr>
                <w:rFonts w:ascii="Verdana" w:hAnsi="Verdana"/>
              </w:rPr>
              <w:t xml:space="preserve">College </w:t>
            </w:r>
            <w:r w:rsidRPr="009057EE">
              <w:rPr>
                <w:rFonts w:ascii="Verdana" w:hAnsi="Verdana"/>
              </w:rPr>
              <w:t xml:space="preserve">data </w:t>
            </w:r>
            <w:r>
              <w:rPr>
                <w:rFonts w:ascii="Verdana" w:hAnsi="Verdana"/>
              </w:rPr>
              <w:t xml:space="preserve">in </w:t>
            </w:r>
            <w:r w:rsidRPr="009057EE">
              <w:rPr>
                <w:rFonts w:ascii="Verdana" w:hAnsi="Verdana"/>
              </w:rPr>
              <w:t xml:space="preserve">the </w:t>
            </w:r>
            <w:proofErr w:type="gramStart"/>
            <w:r w:rsidRPr="009057EE">
              <w:rPr>
                <w:rFonts w:ascii="Verdana" w:hAnsi="Verdana"/>
              </w:rPr>
              <w:t>year</w:t>
            </w:r>
            <w:proofErr w:type="gramEnd"/>
            <w:r w:rsidRPr="009057EE">
              <w:rPr>
                <w:rFonts w:ascii="Verdana" w:hAnsi="Verdana"/>
              </w:rPr>
              <w:t xml:space="preserve"> they </w:t>
            </w:r>
            <w:r w:rsidR="00210586">
              <w:rPr>
                <w:rFonts w:ascii="Verdana" w:hAnsi="Verdana"/>
              </w:rPr>
              <w:t>become</w:t>
            </w:r>
            <w:r w:rsidRPr="009057EE">
              <w:rPr>
                <w:rFonts w:ascii="Verdana" w:hAnsi="Verdana"/>
              </w:rPr>
              <w:t xml:space="preserve"> 18.</w:t>
            </w:r>
          </w:p>
          <w:p w14:paraId="092C2EDF" w14:textId="622B99C2" w:rsidR="009057EE" w:rsidRDefault="009057EE" w:rsidP="00EE645F">
            <w:pPr>
              <w:rPr>
                <w:rFonts w:ascii="Verdana" w:hAnsi="Verdana"/>
              </w:rPr>
            </w:pPr>
          </w:p>
          <w:p w14:paraId="3DB69E63" w14:textId="21E71FEC" w:rsidR="00A43B17" w:rsidRDefault="00A43B17" w:rsidP="00EE645F">
            <w:pPr>
              <w:rPr>
                <w:rFonts w:ascii="Verdana" w:hAnsi="Verdana"/>
              </w:rPr>
            </w:pPr>
          </w:p>
          <w:p w14:paraId="3AC0600D" w14:textId="013198DC" w:rsidR="00A43B17" w:rsidRDefault="00A43B17" w:rsidP="00EE645F">
            <w:pPr>
              <w:rPr>
                <w:rFonts w:ascii="Verdana" w:hAnsi="Verdana"/>
              </w:rPr>
            </w:pPr>
          </w:p>
          <w:p w14:paraId="66C1E3FF" w14:textId="375490B2" w:rsidR="00A43B17" w:rsidRDefault="00A43B17" w:rsidP="00EE645F">
            <w:pPr>
              <w:rPr>
                <w:rFonts w:ascii="Verdana" w:hAnsi="Verdana"/>
              </w:rPr>
            </w:pPr>
          </w:p>
          <w:p w14:paraId="7849D5E5" w14:textId="77777777" w:rsidR="00A43B17" w:rsidRDefault="00A43B17" w:rsidP="00EE645F">
            <w:pPr>
              <w:rPr>
                <w:rFonts w:ascii="Verdana" w:hAnsi="Verdana"/>
              </w:rPr>
            </w:pPr>
            <w:bookmarkStart w:id="0" w:name="_GoBack"/>
            <w:bookmarkEnd w:id="0"/>
          </w:p>
          <w:p w14:paraId="15FCDEAA" w14:textId="10138A89" w:rsidR="009057EE" w:rsidRPr="009057EE" w:rsidRDefault="009057EE" w:rsidP="00EE645F">
            <w:pPr>
              <w:rPr>
                <w:rFonts w:ascii="Verdana" w:hAnsi="Verdana"/>
                <w:b/>
              </w:rPr>
            </w:pPr>
            <w:r w:rsidRPr="009057EE">
              <w:rPr>
                <w:rFonts w:ascii="Verdana" w:hAnsi="Verdana"/>
              </w:rPr>
              <w:lastRenderedPageBreak/>
              <w:t>There are five headline measures:</w:t>
            </w:r>
            <w:r w:rsidRPr="009057EE">
              <w:rPr>
                <w:rFonts w:ascii="Verdana" w:hAnsi="Verdana"/>
                <w:b/>
              </w:rPr>
              <w:t xml:space="preserve"> </w:t>
            </w:r>
            <w:r w:rsidRPr="009057EE">
              <w:rPr>
                <w:rFonts w:ascii="Verdana" w:hAnsi="Verdana"/>
              </w:rPr>
              <w:t>progress, attainment, English &amp; maths progress, retention, and destinations.</w:t>
            </w:r>
            <w:r>
              <w:rPr>
                <w:rFonts w:ascii="Verdana" w:hAnsi="Verdana"/>
              </w:rPr>
              <w:t xml:space="preserve">  Considering each in turn:</w:t>
            </w:r>
          </w:p>
        </w:tc>
      </w:tr>
    </w:tbl>
    <w:p w14:paraId="27D6D61F" w14:textId="77777777" w:rsidR="000919DD" w:rsidRPr="009057EE" w:rsidRDefault="000919DD" w:rsidP="00402468">
      <w:pPr>
        <w:rPr>
          <w:rFonts w:ascii="Verdana" w:hAnsi="Verdana"/>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6"/>
        <w:gridCol w:w="8930"/>
      </w:tblGrid>
      <w:tr w:rsidR="009057EE" w:rsidRPr="009057EE" w14:paraId="6F91E121" w14:textId="77777777" w:rsidTr="00A43B17">
        <w:tc>
          <w:tcPr>
            <w:tcW w:w="521" w:type="dxa"/>
          </w:tcPr>
          <w:p w14:paraId="244FF04E" w14:textId="77777777" w:rsidR="009057EE" w:rsidRPr="00802F69" w:rsidRDefault="009057EE" w:rsidP="00EE645F">
            <w:pPr>
              <w:pStyle w:val="NoSpacing"/>
              <w:rPr>
                <w:b/>
              </w:rPr>
            </w:pPr>
          </w:p>
        </w:tc>
        <w:tc>
          <w:tcPr>
            <w:tcW w:w="296" w:type="dxa"/>
          </w:tcPr>
          <w:p w14:paraId="29C2A08D" w14:textId="77777777" w:rsidR="009057EE" w:rsidRPr="00802F69" w:rsidRDefault="009057EE" w:rsidP="00EE645F">
            <w:pPr>
              <w:pStyle w:val="NoSpacing"/>
              <w:rPr>
                <w:b/>
              </w:rPr>
            </w:pPr>
            <w:r>
              <w:rPr>
                <w:b/>
              </w:rPr>
              <w:t>.</w:t>
            </w:r>
          </w:p>
        </w:tc>
        <w:tc>
          <w:tcPr>
            <w:tcW w:w="8930" w:type="dxa"/>
          </w:tcPr>
          <w:p w14:paraId="703C614D" w14:textId="2396E0A6" w:rsidR="009057EE" w:rsidRDefault="009057EE" w:rsidP="00EE645F">
            <w:pPr>
              <w:pStyle w:val="NoSpacing"/>
            </w:pPr>
            <w:r w:rsidRPr="009057EE">
              <w:rPr>
                <w:bCs/>
              </w:rPr>
              <w:t>Progress</w:t>
            </w:r>
            <w:r>
              <w:t xml:space="preserve"> - the main focus of the accountability system, and a very important measure.  It looks at how students perform at the end of their GCSEs, how they </w:t>
            </w:r>
            <w:r w:rsidR="00210586">
              <w:t>achieve</w:t>
            </w:r>
            <w:r>
              <w:t xml:space="preserve"> at the end of Level 3, and how the progress made compares with what happens nationally.  </w:t>
            </w:r>
            <w:r w:rsidRPr="008E0622">
              <w:t xml:space="preserve">Only </w:t>
            </w:r>
            <w:r>
              <w:t>the College’s</w:t>
            </w:r>
            <w:r w:rsidRPr="008E0622">
              <w:t xml:space="preserve"> A Level cohort </w:t>
            </w:r>
            <w:r w:rsidR="0013784F">
              <w:t>is recorded</w:t>
            </w:r>
            <w:r w:rsidRPr="008E0622">
              <w:t xml:space="preserve">, as other qualifications are </w:t>
            </w:r>
            <w:r>
              <w:t>discounted.</w:t>
            </w:r>
          </w:p>
          <w:p w14:paraId="59AD7C99" w14:textId="76D1F8A2" w:rsidR="009057EE" w:rsidRPr="009057EE" w:rsidRDefault="009057EE" w:rsidP="00EE645F">
            <w:pPr>
              <w:pStyle w:val="NoSpacing"/>
            </w:pPr>
          </w:p>
        </w:tc>
      </w:tr>
      <w:tr w:rsidR="009057EE" w:rsidRPr="009057EE" w14:paraId="0490520E" w14:textId="77777777" w:rsidTr="00A43B17">
        <w:tc>
          <w:tcPr>
            <w:tcW w:w="521" w:type="dxa"/>
          </w:tcPr>
          <w:p w14:paraId="7D08824A" w14:textId="77777777" w:rsidR="009057EE" w:rsidRPr="00802F69" w:rsidRDefault="009057EE" w:rsidP="00EE645F">
            <w:pPr>
              <w:pStyle w:val="NoSpacing"/>
              <w:rPr>
                <w:b/>
              </w:rPr>
            </w:pPr>
          </w:p>
        </w:tc>
        <w:tc>
          <w:tcPr>
            <w:tcW w:w="296" w:type="dxa"/>
          </w:tcPr>
          <w:p w14:paraId="4A7B3BBB" w14:textId="56EA9536" w:rsidR="009057EE" w:rsidRDefault="009057EE" w:rsidP="00EE645F">
            <w:pPr>
              <w:pStyle w:val="NoSpacing"/>
              <w:rPr>
                <w:b/>
              </w:rPr>
            </w:pPr>
            <w:r>
              <w:rPr>
                <w:b/>
              </w:rPr>
              <w:t>.</w:t>
            </w:r>
          </w:p>
        </w:tc>
        <w:tc>
          <w:tcPr>
            <w:tcW w:w="8930" w:type="dxa"/>
          </w:tcPr>
          <w:p w14:paraId="0ED018B1" w14:textId="6E350683" w:rsidR="009057EE" w:rsidRDefault="009057EE" w:rsidP="00EE645F">
            <w:pPr>
              <w:pStyle w:val="NoSpacing"/>
            </w:pPr>
            <w:r w:rsidRPr="0013784F">
              <w:rPr>
                <w:bCs/>
              </w:rPr>
              <w:t>Attainment –</w:t>
            </w:r>
            <w:r w:rsidR="00210586">
              <w:rPr>
                <w:bCs/>
              </w:rPr>
              <w:t xml:space="preserve"> </w:t>
            </w:r>
            <w:r>
              <w:t xml:space="preserve">the average grade attained by students on their main qualifications, expressed both as a grade and as an average point score.  Again, only A Level data </w:t>
            </w:r>
            <w:r w:rsidR="0013784F">
              <w:t>is recorded</w:t>
            </w:r>
            <w:r>
              <w:t xml:space="preserve">.  There are additional A level attainment measures. The ‘best of three’ takes the overall A Level points from the best three A levels and divides them by three.  Students on mixed A Level/vocational programmes do not </w:t>
            </w:r>
            <w:r w:rsidR="0013784F">
              <w:t>show</w:t>
            </w:r>
            <w:r>
              <w:t xml:space="preserve"> well in this measure, as only A Levels are counted and the score is still divided by three, even where only one A Level has been taken. The ‘AAB’ measure looks at the proportion of students gaining AAB at A Level, with at least two ‘facilitating’ subjects</w:t>
            </w:r>
            <w:r w:rsidR="0013784F">
              <w:t>.</w:t>
            </w:r>
          </w:p>
          <w:p w14:paraId="74AF4FAB" w14:textId="3D33FF26" w:rsidR="0013784F" w:rsidRPr="009057EE" w:rsidRDefault="0013784F" w:rsidP="00EE645F">
            <w:pPr>
              <w:pStyle w:val="NoSpacing"/>
              <w:rPr>
                <w:bCs/>
              </w:rPr>
            </w:pPr>
          </w:p>
        </w:tc>
      </w:tr>
      <w:tr w:rsidR="009057EE" w:rsidRPr="009057EE" w14:paraId="3568F509" w14:textId="77777777" w:rsidTr="00A43B17">
        <w:tc>
          <w:tcPr>
            <w:tcW w:w="521" w:type="dxa"/>
          </w:tcPr>
          <w:p w14:paraId="5D790DAA" w14:textId="77777777" w:rsidR="009057EE" w:rsidRPr="00802F69" w:rsidRDefault="009057EE" w:rsidP="00EE645F">
            <w:pPr>
              <w:pStyle w:val="NoSpacing"/>
              <w:rPr>
                <w:b/>
              </w:rPr>
            </w:pPr>
          </w:p>
        </w:tc>
        <w:tc>
          <w:tcPr>
            <w:tcW w:w="296" w:type="dxa"/>
          </w:tcPr>
          <w:p w14:paraId="080E2A0C" w14:textId="006B0B91" w:rsidR="009057EE" w:rsidRDefault="009057EE" w:rsidP="00EE645F">
            <w:pPr>
              <w:pStyle w:val="NoSpacing"/>
              <w:rPr>
                <w:b/>
              </w:rPr>
            </w:pPr>
            <w:r>
              <w:rPr>
                <w:b/>
              </w:rPr>
              <w:t>.</w:t>
            </w:r>
          </w:p>
        </w:tc>
        <w:tc>
          <w:tcPr>
            <w:tcW w:w="8930" w:type="dxa"/>
          </w:tcPr>
          <w:p w14:paraId="0FC47369" w14:textId="5AF463B7" w:rsidR="009057EE" w:rsidRDefault="0013784F" w:rsidP="00EE645F">
            <w:pPr>
              <w:pStyle w:val="NoSpacing"/>
            </w:pPr>
            <w:r w:rsidRPr="0013784F">
              <w:rPr>
                <w:bCs/>
              </w:rPr>
              <w:t xml:space="preserve">English and </w:t>
            </w:r>
            <w:r>
              <w:rPr>
                <w:bCs/>
              </w:rPr>
              <w:t>M</w:t>
            </w:r>
            <w:r w:rsidRPr="0013784F">
              <w:rPr>
                <w:bCs/>
              </w:rPr>
              <w:t xml:space="preserve">aths </w:t>
            </w:r>
            <w:r>
              <w:rPr>
                <w:bCs/>
              </w:rPr>
              <w:t>P</w:t>
            </w:r>
            <w:r w:rsidRPr="0013784F">
              <w:rPr>
                <w:bCs/>
              </w:rPr>
              <w:t xml:space="preserve">rogress – </w:t>
            </w:r>
            <w:r>
              <w:rPr>
                <w:bCs/>
              </w:rPr>
              <w:t>i</w:t>
            </w:r>
            <w:r w:rsidRPr="0013784F">
              <w:rPr>
                <w:bCs/>
              </w:rPr>
              <w:t>f students</w:t>
            </w:r>
            <w:r>
              <w:t xml:space="preserve"> </w:t>
            </w:r>
            <w:r w:rsidR="00210586">
              <w:t>do</w:t>
            </w:r>
            <w:r>
              <w:t xml:space="preserve"> not gain a 4-9 grade by the age of 16, they are required to keep studying these qualifications at college. The measure shows the average change in grade separately for English and Maths. </w:t>
            </w:r>
            <w:r w:rsidR="00210586">
              <w:t xml:space="preserve"> </w:t>
            </w:r>
            <w:r>
              <w:t>If students do not sit examinations, are not entered, or achieve at a grade/level lower than at 16, it will be recorded as ‘negative progress’.</w:t>
            </w:r>
          </w:p>
          <w:p w14:paraId="226FC86E" w14:textId="530F5F36" w:rsidR="0013784F" w:rsidRPr="009057EE" w:rsidRDefault="0013784F" w:rsidP="00EE645F">
            <w:pPr>
              <w:pStyle w:val="NoSpacing"/>
              <w:rPr>
                <w:bCs/>
              </w:rPr>
            </w:pPr>
          </w:p>
        </w:tc>
      </w:tr>
      <w:tr w:rsidR="009057EE" w:rsidRPr="009057EE" w14:paraId="0F353A39" w14:textId="77777777" w:rsidTr="00A43B17">
        <w:tc>
          <w:tcPr>
            <w:tcW w:w="521" w:type="dxa"/>
          </w:tcPr>
          <w:p w14:paraId="49C68FE3" w14:textId="77777777" w:rsidR="009057EE" w:rsidRPr="00802F69" w:rsidRDefault="009057EE" w:rsidP="00EE645F">
            <w:pPr>
              <w:pStyle w:val="NoSpacing"/>
              <w:rPr>
                <w:b/>
              </w:rPr>
            </w:pPr>
          </w:p>
        </w:tc>
        <w:tc>
          <w:tcPr>
            <w:tcW w:w="296" w:type="dxa"/>
          </w:tcPr>
          <w:p w14:paraId="618AE3BC" w14:textId="25A77013" w:rsidR="009057EE" w:rsidRDefault="009057EE" w:rsidP="00EE645F">
            <w:pPr>
              <w:pStyle w:val="NoSpacing"/>
              <w:rPr>
                <w:b/>
              </w:rPr>
            </w:pPr>
            <w:r>
              <w:rPr>
                <w:b/>
              </w:rPr>
              <w:t>.</w:t>
            </w:r>
          </w:p>
        </w:tc>
        <w:tc>
          <w:tcPr>
            <w:tcW w:w="8930" w:type="dxa"/>
          </w:tcPr>
          <w:p w14:paraId="02B0A41D" w14:textId="27CF3C30" w:rsidR="0013784F" w:rsidRPr="0013784F" w:rsidRDefault="0013784F" w:rsidP="0013784F">
            <w:pPr>
              <w:rPr>
                <w:rFonts w:ascii="Verdana" w:hAnsi="Verdana"/>
                <w:i/>
                <w:iCs/>
              </w:rPr>
            </w:pPr>
            <w:r w:rsidRPr="0013784F">
              <w:rPr>
                <w:rFonts w:ascii="Verdana" w:hAnsi="Verdana"/>
                <w:bCs/>
              </w:rPr>
              <w:t>Retention</w:t>
            </w:r>
            <w:r w:rsidRPr="0013784F">
              <w:rPr>
                <w:rFonts w:ascii="Verdana" w:hAnsi="Verdana"/>
              </w:rPr>
              <w:t xml:space="preserve"> – the proportion of students retained to the end of their main programme of study.  </w:t>
            </w:r>
            <w:r>
              <w:rPr>
                <w:rFonts w:ascii="Verdana" w:hAnsi="Verdana"/>
              </w:rPr>
              <w:t>Because of</w:t>
            </w:r>
            <w:r w:rsidRPr="0013784F">
              <w:rPr>
                <w:rFonts w:ascii="Verdana" w:hAnsi="Verdana"/>
              </w:rPr>
              <w:t xml:space="preserve"> the discounting of vocational qualifications, this </w:t>
            </w:r>
            <w:r>
              <w:rPr>
                <w:rFonts w:ascii="Verdana" w:hAnsi="Verdana"/>
              </w:rPr>
              <w:t>records</w:t>
            </w:r>
            <w:r w:rsidRPr="0013784F">
              <w:rPr>
                <w:rFonts w:ascii="Verdana" w:hAnsi="Verdana"/>
              </w:rPr>
              <w:t xml:space="preserve"> A Level data only.  A student’s programme is defined by their core aim. </w:t>
            </w:r>
            <w:r>
              <w:rPr>
                <w:rFonts w:ascii="Verdana" w:hAnsi="Verdana"/>
              </w:rPr>
              <w:t xml:space="preserve"> </w:t>
            </w:r>
            <w:r w:rsidRPr="0013784F">
              <w:rPr>
                <w:rFonts w:ascii="Verdana" w:hAnsi="Verdana"/>
              </w:rPr>
              <w:t xml:space="preserve">As long as they complete at least one A Level, they will count as retained.  If they move from an A Level to a vocational programme, they will not count as retained.  There are additional measures for retention.  ‘Returned and retained’ </w:t>
            </w:r>
            <w:r>
              <w:rPr>
                <w:rFonts w:ascii="Verdana" w:hAnsi="Verdana"/>
              </w:rPr>
              <w:t>record</w:t>
            </w:r>
            <w:r w:rsidRPr="0013784F">
              <w:rPr>
                <w:rFonts w:ascii="Verdana" w:hAnsi="Verdana"/>
              </w:rPr>
              <w:t xml:space="preserve">s students who returned for a second year of A Level study. ‘Retained and assessed’ shows students who were retained to the end of their course and also assessed. </w:t>
            </w:r>
            <w:r w:rsidRPr="0013784F">
              <w:rPr>
                <w:rFonts w:ascii="Verdana" w:hAnsi="Verdana"/>
                <w:i/>
                <w:iCs/>
              </w:rPr>
              <w:t xml:space="preserve">It is important to note that retention data for </w:t>
            </w:r>
            <w:r w:rsidR="00210586">
              <w:rPr>
                <w:rFonts w:ascii="Verdana" w:hAnsi="Verdana"/>
                <w:i/>
                <w:iCs/>
              </w:rPr>
              <w:t>20</w:t>
            </w:r>
            <w:r w:rsidRPr="0013784F">
              <w:rPr>
                <w:rFonts w:ascii="Verdana" w:hAnsi="Verdana"/>
                <w:i/>
                <w:iCs/>
              </w:rPr>
              <w:t>18-19 is not expected until March 2020.</w:t>
            </w:r>
          </w:p>
          <w:p w14:paraId="371272BB" w14:textId="77777777" w:rsidR="0013784F" w:rsidRPr="0013784F" w:rsidRDefault="0013784F" w:rsidP="0013784F">
            <w:pPr>
              <w:rPr>
                <w:rFonts w:ascii="Verdana" w:hAnsi="Verdana"/>
                <w:u w:val="single"/>
              </w:rPr>
            </w:pPr>
          </w:p>
          <w:p w14:paraId="01F9A4B6" w14:textId="62DD337B" w:rsidR="009057EE" w:rsidRDefault="0013784F" w:rsidP="0013784F">
            <w:pPr>
              <w:pStyle w:val="NoSpacing"/>
            </w:pPr>
            <w:r>
              <w:t xml:space="preserve">The College’s </w:t>
            </w:r>
            <w:r w:rsidRPr="0013784F">
              <w:t xml:space="preserve">retention data for A Level is poor </w:t>
            </w:r>
            <w:r>
              <w:t>compared</w:t>
            </w:r>
            <w:r w:rsidRPr="0013784F">
              <w:t xml:space="preserve"> to local and national benchmarks. This is </w:t>
            </w:r>
            <w:r>
              <w:t>because of</w:t>
            </w:r>
            <w:r w:rsidRPr="0013784F">
              <w:t xml:space="preserve"> poor retention on A Level </w:t>
            </w:r>
            <w:r w:rsidR="00210586">
              <w:t xml:space="preserve">courses </w:t>
            </w:r>
            <w:r w:rsidRPr="0013784F">
              <w:t xml:space="preserve">over the period 2015-2018, partly </w:t>
            </w:r>
            <w:r>
              <w:t>resulting from</w:t>
            </w:r>
            <w:r w:rsidRPr="0013784F">
              <w:t xml:space="preserve"> a high proportion of students switch</w:t>
            </w:r>
            <w:r>
              <w:t>ing</w:t>
            </w:r>
            <w:r w:rsidRPr="0013784F">
              <w:t xml:space="preserve"> f</w:t>
            </w:r>
            <w:r>
              <w:t>ro</w:t>
            </w:r>
            <w:r w:rsidRPr="0013784F">
              <w:t>m A Level to BTEC</w:t>
            </w:r>
            <w:r>
              <w:t xml:space="preserve"> (e.g. </w:t>
            </w:r>
            <w:r w:rsidRPr="0013784F">
              <w:t xml:space="preserve">at the start of </w:t>
            </w:r>
            <w:r>
              <w:t>2016-17</w:t>
            </w:r>
            <w:r w:rsidRPr="0013784F">
              <w:t xml:space="preserve">, only 60% of A Level students progressed from their first to their second year, with 24% leaving the college altogether and the rest restarting a Level 3 </w:t>
            </w:r>
            <w:r>
              <w:t xml:space="preserve">vocational </w:t>
            </w:r>
            <w:r w:rsidRPr="0013784F">
              <w:t xml:space="preserve">programme. </w:t>
            </w:r>
            <w:r>
              <w:t>At the start of 2019-20</w:t>
            </w:r>
            <w:r w:rsidRPr="0013784F">
              <w:t xml:space="preserve">, 87% of A </w:t>
            </w:r>
            <w:r w:rsidR="00210586">
              <w:t>l</w:t>
            </w:r>
            <w:r w:rsidRPr="0013784F">
              <w:t xml:space="preserve">evel students </w:t>
            </w:r>
            <w:r>
              <w:t>progressed</w:t>
            </w:r>
            <w:r w:rsidRPr="0013784F">
              <w:t xml:space="preserve"> to their second year, and only 7% leaving the </w:t>
            </w:r>
            <w:r>
              <w:t>C</w:t>
            </w:r>
            <w:r w:rsidRPr="0013784F">
              <w:t>ollege</w:t>
            </w:r>
            <w:r>
              <w:t>).</w:t>
            </w:r>
          </w:p>
          <w:p w14:paraId="284F8F32" w14:textId="6B989989" w:rsidR="00210586" w:rsidRPr="0013784F" w:rsidRDefault="00210586" w:rsidP="0013784F">
            <w:pPr>
              <w:pStyle w:val="NoSpacing"/>
              <w:rPr>
                <w:bCs/>
              </w:rPr>
            </w:pPr>
          </w:p>
        </w:tc>
      </w:tr>
      <w:tr w:rsidR="009057EE" w:rsidRPr="009057EE" w14:paraId="073D54CB" w14:textId="77777777" w:rsidTr="00A43B17">
        <w:tc>
          <w:tcPr>
            <w:tcW w:w="521" w:type="dxa"/>
          </w:tcPr>
          <w:p w14:paraId="27E77EDC" w14:textId="77777777" w:rsidR="009057EE" w:rsidRPr="00802F69" w:rsidRDefault="009057EE" w:rsidP="00EE645F">
            <w:pPr>
              <w:pStyle w:val="NoSpacing"/>
              <w:rPr>
                <w:b/>
              </w:rPr>
            </w:pPr>
          </w:p>
        </w:tc>
        <w:tc>
          <w:tcPr>
            <w:tcW w:w="296" w:type="dxa"/>
          </w:tcPr>
          <w:p w14:paraId="76FA95E2" w14:textId="23835DCD" w:rsidR="009057EE" w:rsidRDefault="009057EE" w:rsidP="00EE645F">
            <w:pPr>
              <w:pStyle w:val="NoSpacing"/>
              <w:rPr>
                <w:b/>
              </w:rPr>
            </w:pPr>
            <w:r>
              <w:rPr>
                <w:b/>
              </w:rPr>
              <w:t>.</w:t>
            </w:r>
          </w:p>
        </w:tc>
        <w:tc>
          <w:tcPr>
            <w:tcW w:w="8930" w:type="dxa"/>
          </w:tcPr>
          <w:p w14:paraId="065508C0" w14:textId="6C479152" w:rsidR="006218C4" w:rsidRPr="006218C4" w:rsidRDefault="006218C4" w:rsidP="00EE645F">
            <w:pPr>
              <w:pStyle w:val="NoSpacing"/>
            </w:pPr>
            <w:r w:rsidRPr="006218C4">
              <w:rPr>
                <w:bCs/>
              </w:rPr>
              <w:t xml:space="preserve">Destinations </w:t>
            </w:r>
            <w:r>
              <w:t xml:space="preserve">– a very important measure under the new inspection framework, but the data provided in the Report is considered provisional, and inspectors will therefore ask for, and give greatest weight to, direct data from schools and colleges.  Destination measures record the percentage of students staying in education or employment for at least two terms in the year after they left.  For this measure only, students below 18 may be counted if they are considered to have left this phase of education.  The </w:t>
            </w:r>
            <w:r>
              <w:lastRenderedPageBreak/>
              <w:t>2018-19 data will report on students who were deemed to have reached the end of 16 to 18 study in the 2016-17 academic year and identifies their education and/or employment destinations in October to March of their destination year.</w:t>
            </w:r>
          </w:p>
        </w:tc>
      </w:tr>
    </w:tbl>
    <w:p w14:paraId="77E13E72" w14:textId="65C5025B" w:rsidR="000919DD" w:rsidRDefault="000919DD" w:rsidP="00402468">
      <w:pPr>
        <w:rPr>
          <w:rFonts w:ascii="Verdana" w:hAnsi="Verdana"/>
        </w:rPr>
      </w:pPr>
    </w:p>
    <w:tbl>
      <w:tblPr>
        <w:tblW w:w="9747" w:type="dxa"/>
        <w:tblLook w:val="04A0" w:firstRow="1" w:lastRow="0" w:firstColumn="1" w:lastColumn="0" w:noHBand="0" w:noVBand="1"/>
      </w:tblPr>
      <w:tblGrid>
        <w:gridCol w:w="529"/>
        <w:gridCol w:w="9218"/>
      </w:tblGrid>
      <w:tr w:rsidR="006218C4" w:rsidRPr="00773A1E" w14:paraId="7DF1B3D7" w14:textId="77777777" w:rsidTr="00A43B17">
        <w:tc>
          <w:tcPr>
            <w:tcW w:w="529" w:type="dxa"/>
          </w:tcPr>
          <w:p w14:paraId="11E71ADC" w14:textId="51840A21" w:rsidR="006218C4" w:rsidRDefault="006218C4" w:rsidP="00EE645F">
            <w:pPr>
              <w:rPr>
                <w:rFonts w:ascii="Verdana" w:hAnsi="Verdana"/>
                <w:b/>
              </w:rPr>
            </w:pPr>
          </w:p>
        </w:tc>
        <w:tc>
          <w:tcPr>
            <w:tcW w:w="9218" w:type="dxa"/>
          </w:tcPr>
          <w:p w14:paraId="37F99C66" w14:textId="3B1B1266" w:rsidR="006218C4" w:rsidRPr="00773A1E" w:rsidRDefault="006218C4" w:rsidP="00EE645F">
            <w:pPr>
              <w:rPr>
                <w:rFonts w:ascii="Verdana" w:hAnsi="Verdana"/>
              </w:rPr>
            </w:pPr>
            <w:r>
              <w:rPr>
                <w:rFonts w:ascii="Verdana" w:hAnsi="Verdana"/>
              </w:rPr>
              <w:t xml:space="preserve">Members tasked with meeting Ofsted inspectors are urged to familiarise themselves with this Report and the reasons why College </w:t>
            </w:r>
            <w:r w:rsidR="003447EC">
              <w:rPr>
                <w:rFonts w:ascii="Verdana" w:hAnsi="Verdana"/>
              </w:rPr>
              <w:t>outcomes</w:t>
            </w:r>
            <w:r>
              <w:rPr>
                <w:rFonts w:ascii="Verdana" w:hAnsi="Verdana"/>
              </w:rPr>
              <w:t xml:space="preserve"> may not always be </w:t>
            </w:r>
            <w:r w:rsidR="003447EC">
              <w:rPr>
                <w:rFonts w:ascii="Verdana" w:hAnsi="Verdana"/>
              </w:rPr>
              <w:t>appropriate</w:t>
            </w:r>
            <w:r>
              <w:rPr>
                <w:rFonts w:ascii="Verdana" w:hAnsi="Verdana"/>
              </w:rPr>
              <w:t xml:space="preserve">ly recorded therein.  In the event that inspectors rely too heavily on data recorded </w:t>
            </w:r>
            <w:r w:rsidR="003447EC">
              <w:rPr>
                <w:rFonts w:ascii="Verdana" w:hAnsi="Verdana"/>
              </w:rPr>
              <w:t>in the document</w:t>
            </w:r>
            <w:r>
              <w:rPr>
                <w:rFonts w:ascii="Verdana" w:hAnsi="Verdana"/>
              </w:rPr>
              <w:t xml:space="preserve"> as a basis for </w:t>
            </w:r>
            <w:r w:rsidR="003447EC">
              <w:rPr>
                <w:rFonts w:ascii="Verdana" w:hAnsi="Verdana"/>
              </w:rPr>
              <w:t>challenging comment</w:t>
            </w:r>
            <w:r>
              <w:rPr>
                <w:rFonts w:ascii="Verdana" w:hAnsi="Verdana"/>
              </w:rPr>
              <w:t xml:space="preserve">, they will need to be resolutely challenged </w:t>
            </w:r>
            <w:r w:rsidR="003447EC">
              <w:rPr>
                <w:rFonts w:ascii="Verdana" w:hAnsi="Verdana"/>
              </w:rPr>
              <w:t xml:space="preserve">in turn </w:t>
            </w:r>
            <w:r>
              <w:rPr>
                <w:rFonts w:ascii="Verdana" w:hAnsi="Verdana"/>
              </w:rPr>
              <w:t>by governors familiar with the Report and its limitations</w:t>
            </w:r>
            <w:r w:rsidR="003447EC">
              <w:rPr>
                <w:rFonts w:ascii="Verdana" w:hAnsi="Verdana"/>
              </w:rPr>
              <w:t>,</w:t>
            </w:r>
            <w:r>
              <w:rPr>
                <w:rFonts w:ascii="Verdana" w:hAnsi="Verdana"/>
              </w:rPr>
              <w:t xml:space="preserve"> who</w:t>
            </w:r>
            <w:r w:rsidR="003447EC">
              <w:rPr>
                <w:rFonts w:ascii="Verdana" w:hAnsi="Verdana"/>
              </w:rPr>
              <w:t xml:space="preserve"> by so doing</w:t>
            </w:r>
            <w:r>
              <w:rPr>
                <w:rFonts w:ascii="Verdana" w:hAnsi="Verdana"/>
              </w:rPr>
              <w:t xml:space="preserve"> will </w:t>
            </w:r>
            <w:r w:rsidR="003447EC">
              <w:rPr>
                <w:rFonts w:ascii="Verdana" w:hAnsi="Verdana"/>
              </w:rPr>
              <w:t xml:space="preserve">have thereby </w:t>
            </w:r>
            <w:r>
              <w:rPr>
                <w:rFonts w:ascii="Verdana" w:hAnsi="Verdana"/>
              </w:rPr>
              <w:t>demonstrate</w:t>
            </w:r>
            <w:r w:rsidR="003447EC">
              <w:rPr>
                <w:rFonts w:ascii="Verdana" w:hAnsi="Verdana"/>
              </w:rPr>
              <w:t>d</w:t>
            </w:r>
            <w:r>
              <w:rPr>
                <w:rFonts w:ascii="Verdana" w:hAnsi="Verdana"/>
              </w:rPr>
              <w:t xml:space="preserve"> their firm grip on College performance and its rationale.</w:t>
            </w:r>
          </w:p>
        </w:tc>
      </w:tr>
    </w:tbl>
    <w:p w14:paraId="51F851A5" w14:textId="77777777" w:rsidR="006218C4" w:rsidRPr="009057EE" w:rsidRDefault="006218C4" w:rsidP="00402468">
      <w:pPr>
        <w:rPr>
          <w:rFonts w:ascii="Verdana" w:hAnsi="Verdana"/>
        </w:rPr>
      </w:pPr>
    </w:p>
    <w:p w14:paraId="17259DCB" w14:textId="77777777" w:rsidR="000919DD" w:rsidRPr="009057EE" w:rsidRDefault="000919DD" w:rsidP="00402468">
      <w:pPr>
        <w:rPr>
          <w:rFonts w:ascii="Verdana" w:hAnsi="Verdana"/>
        </w:rPr>
      </w:pPr>
    </w:p>
    <w:p w14:paraId="19232A53" w14:textId="77777777" w:rsidR="000919DD" w:rsidRPr="009057EE" w:rsidRDefault="000919DD" w:rsidP="00402468">
      <w:pPr>
        <w:rPr>
          <w:rFonts w:ascii="Verdana" w:hAnsi="Verdana"/>
        </w:rPr>
      </w:pPr>
    </w:p>
    <w:sectPr w:rsidR="000919DD" w:rsidRPr="009057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6AA0" w14:textId="77777777" w:rsidR="0012773D" w:rsidRDefault="0012773D" w:rsidP="00877089">
      <w:r>
        <w:separator/>
      </w:r>
    </w:p>
  </w:endnote>
  <w:endnote w:type="continuationSeparator" w:id="0">
    <w:p w14:paraId="68DD0AAC" w14:textId="77777777" w:rsidR="0012773D" w:rsidRDefault="0012773D" w:rsidP="008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6006" w14:textId="77777777" w:rsidR="0012773D" w:rsidRDefault="0012773D" w:rsidP="00877089">
      <w:r>
        <w:separator/>
      </w:r>
    </w:p>
  </w:footnote>
  <w:footnote w:type="continuationSeparator" w:id="0">
    <w:p w14:paraId="25B098A9" w14:textId="77777777" w:rsidR="0012773D" w:rsidRDefault="0012773D" w:rsidP="0087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248"/>
    <w:multiLevelType w:val="hybridMultilevel"/>
    <w:tmpl w:val="1A2C8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9C1"/>
    <w:multiLevelType w:val="multilevel"/>
    <w:tmpl w:val="DE867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2A040338"/>
    <w:multiLevelType w:val="hybridMultilevel"/>
    <w:tmpl w:val="361E7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641D6"/>
    <w:multiLevelType w:val="hybridMultilevel"/>
    <w:tmpl w:val="BD3E82F2"/>
    <w:lvl w:ilvl="0" w:tplc="E1C6E460">
      <w:start w:val="4"/>
      <w:numFmt w:val="decimal"/>
      <w:lvlText w:val="%1."/>
      <w:lvlJc w:val="left"/>
      <w:pPr>
        <w:ind w:left="794" w:hanging="562"/>
      </w:pPr>
      <w:rPr>
        <w:rFonts w:ascii="Arial" w:eastAsia="Arial" w:hAnsi="Arial" w:hint="default"/>
        <w:w w:val="99"/>
        <w:sz w:val="22"/>
        <w:szCs w:val="22"/>
      </w:rPr>
    </w:lvl>
    <w:lvl w:ilvl="1" w:tplc="EB6C2114">
      <w:start w:val="1"/>
      <w:numFmt w:val="bullet"/>
      <w:lvlText w:val="•"/>
      <w:lvlJc w:val="left"/>
      <w:pPr>
        <w:ind w:left="2284" w:hanging="562"/>
      </w:pPr>
      <w:rPr>
        <w:rFonts w:hint="default"/>
      </w:rPr>
    </w:lvl>
    <w:lvl w:ilvl="2" w:tplc="6F2C6A56">
      <w:start w:val="1"/>
      <w:numFmt w:val="bullet"/>
      <w:lvlText w:val="•"/>
      <w:lvlJc w:val="left"/>
      <w:pPr>
        <w:ind w:left="3768" w:hanging="562"/>
      </w:pPr>
      <w:rPr>
        <w:rFonts w:hint="default"/>
      </w:rPr>
    </w:lvl>
    <w:lvl w:ilvl="3" w:tplc="EB64DE86">
      <w:start w:val="1"/>
      <w:numFmt w:val="bullet"/>
      <w:lvlText w:val="•"/>
      <w:lvlJc w:val="left"/>
      <w:pPr>
        <w:ind w:left="5252" w:hanging="562"/>
      </w:pPr>
      <w:rPr>
        <w:rFonts w:hint="default"/>
      </w:rPr>
    </w:lvl>
    <w:lvl w:ilvl="4" w:tplc="6A081BFC">
      <w:start w:val="1"/>
      <w:numFmt w:val="bullet"/>
      <w:lvlText w:val="•"/>
      <w:lvlJc w:val="left"/>
      <w:pPr>
        <w:ind w:left="6736" w:hanging="562"/>
      </w:pPr>
      <w:rPr>
        <w:rFonts w:hint="default"/>
      </w:rPr>
    </w:lvl>
    <w:lvl w:ilvl="5" w:tplc="1A46732A">
      <w:start w:val="1"/>
      <w:numFmt w:val="bullet"/>
      <w:lvlText w:val="•"/>
      <w:lvlJc w:val="left"/>
      <w:pPr>
        <w:ind w:left="8220" w:hanging="562"/>
      </w:pPr>
      <w:rPr>
        <w:rFonts w:hint="default"/>
      </w:rPr>
    </w:lvl>
    <w:lvl w:ilvl="6" w:tplc="85244E60">
      <w:start w:val="1"/>
      <w:numFmt w:val="bullet"/>
      <w:lvlText w:val="•"/>
      <w:lvlJc w:val="left"/>
      <w:pPr>
        <w:ind w:left="9704" w:hanging="562"/>
      </w:pPr>
      <w:rPr>
        <w:rFonts w:hint="default"/>
      </w:rPr>
    </w:lvl>
    <w:lvl w:ilvl="7" w:tplc="3E6641D8">
      <w:start w:val="1"/>
      <w:numFmt w:val="bullet"/>
      <w:lvlText w:val="•"/>
      <w:lvlJc w:val="left"/>
      <w:pPr>
        <w:ind w:left="11188" w:hanging="562"/>
      </w:pPr>
      <w:rPr>
        <w:rFonts w:hint="default"/>
      </w:rPr>
    </w:lvl>
    <w:lvl w:ilvl="8" w:tplc="5094CAD4">
      <w:start w:val="1"/>
      <w:numFmt w:val="bullet"/>
      <w:lvlText w:val="•"/>
      <w:lvlJc w:val="left"/>
      <w:pPr>
        <w:ind w:left="12672" w:hanging="562"/>
      </w:pPr>
      <w:rPr>
        <w:rFonts w:hint="default"/>
      </w:rPr>
    </w:lvl>
  </w:abstractNum>
  <w:abstractNum w:abstractNumId="4" w15:restartNumberingAfterBreak="0">
    <w:nsid w:val="3A1452F2"/>
    <w:multiLevelType w:val="hybridMultilevel"/>
    <w:tmpl w:val="8D06AEB6"/>
    <w:lvl w:ilvl="0" w:tplc="029437B2">
      <w:start w:val="1"/>
      <w:numFmt w:val="decimal"/>
      <w:lvlText w:val="%1."/>
      <w:lvlJc w:val="left"/>
      <w:pPr>
        <w:ind w:left="777" w:hanging="539"/>
      </w:pPr>
      <w:rPr>
        <w:rFonts w:ascii="Arial" w:eastAsia="Arial" w:hAnsi="Arial" w:hint="default"/>
        <w:w w:val="99"/>
        <w:sz w:val="22"/>
        <w:szCs w:val="22"/>
      </w:rPr>
    </w:lvl>
    <w:lvl w:ilvl="1" w:tplc="2FC611FE">
      <w:start w:val="1"/>
      <w:numFmt w:val="bullet"/>
      <w:lvlText w:val="•"/>
      <w:lvlJc w:val="left"/>
      <w:pPr>
        <w:ind w:left="2266" w:hanging="539"/>
      </w:pPr>
      <w:rPr>
        <w:rFonts w:hint="default"/>
      </w:rPr>
    </w:lvl>
    <w:lvl w:ilvl="2" w:tplc="A20C31AC">
      <w:start w:val="1"/>
      <w:numFmt w:val="bullet"/>
      <w:lvlText w:val="•"/>
      <w:lvlJc w:val="left"/>
      <w:pPr>
        <w:ind w:left="3752" w:hanging="539"/>
      </w:pPr>
      <w:rPr>
        <w:rFonts w:hint="default"/>
      </w:rPr>
    </w:lvl>
    <w:lvl w:ilvl="3" w:tplc="05FE5B52">
      <w:start w:val="1"/>
      <w:numFmt w:val="bullet"/>
      <w:lvlText w:val="•"/>
      <w:lvlJc w:val="left"/>
      <w:pPr>
        <w:ind w:left="5238" w:hanging="539"/>
      </w:pPr>
      <w:rPr>
        <w:rFonts w:hint="default"/>
      </w:rPr>
    </w:lvl>
    <w:lvl w:ilvl="4" w:tplc="BA1EC646">
      <w:start w:val="1"/>
      <w:numFmt w:val="bullet"/>
      <w:lvlText w:val="•"/>
      <w:lvlJc w:val="left"/>
      <w:pPr>
        <w:ind w:left="6724" w:hanging="539"/>
      </w:pPr>
      <w:rPr>
        <w:rFonts w:hint="default"/>
      </w:rPr>
    </w:lvl>
    <w:lvl w:ilvl="5" w:tplc="171A824E">
      <w:start w:val="1"/>
      <w:numFmt w:val="bullet"/>
      <w:lvlText w:val="•"/>
      <w:lvlJc w:val="left"/>
      <w:pPr>
        <w:ind w:left="8210" w:hanging="539"/>
      </w:pPr>
      <w:rPr>
        <w:rFonts w:hint="default"/>
      </w:rPr>
    </w:lvl>
    <w:lvl w:ilvl="6" w:tplc="879A91F8">
      <w:start w:val="1"/>
      <w:numFmt w:val="bullet"/>
      <w:lvlText w:val="•"/>
      <w:lvlJc w:val="left"/>
      <w:pPr>
        <w:ind w:left="9696" w:hanging="539"/>
      </w:pPr>
      <w:rPr>
        <w:rFonts w:hint="default"/>
      </w:rPr>
    </w:lvl>
    <w:lvl w:ilvl="7" w:tplc="44C0F6EE">
      <w:start w:val="1"/>
      <w:numFmt w:val="bullet"/>
      <w:lvlText w:val="•"/>
      <w:lvlJc w:val="left"/>
      <w:pPr>
        <w:ind w:left="11182" w:hanging="539"/>
      </w:pPr>
      <w:rPr>
        <w:rFonts w:hint="default"/>
      </w:rPr>
    </w:lvl>
    <w:lvl w:ilvl="8" w:tplc="AEA6C7FC">
      <w:start w:val="1"/>
      <w:numFmt w:val="bullet"/>
      <w:lvlText w:val="•"/>
      <w:lvlJc w:val="left"/>
      <w:pPr>
        <w:ind w:left="12668" w:hanging="539"/>
      </w:pPr>
      <w:rPr>
        <w:rFonts w:hint="default"/>
      </w:rPr>
    </w:lvl>
  </w:abstractNum>
  <w:abstractNum w:abstractNumId="5" w15:restartNumberingAfterBreak="0">
    <w:nsid w:val="3A4D69BA"/>
    <w:multiLevelType w:val="multilevel"/>
    <w:tmpl w:val="A2DC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512650"/>
    <w:multiLevelType w:val="hybridMultilevel"/>
    <w:tmpl w:val="E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0EF6"/>
    <w:multiLevelType w:val="hybridMultilevel"/>
    <w:tmpl w:val="5F1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0734F"/>
    <w:multiLevelType w:val="hybridMultilevel"/>
    <w:tmpl w:val="F09AC45C"/>
    <w:lvl w:ilvl="0" w:tplc="A492DD34">
      <w:start w:val="2"/>
      <w:numFmt w:val="upperLetter"/>
      <w:lvlText w:val="%1."/>
      <w:lvlJc w:val="left"/>
      <w:pPr>
        <w:ind w:left="779" w:hanging="660"/>
      </w:pPr>
      <w:rPr>
        <w:rFonts w:ascii="Arial" w:eastAsia="Arial" w:hAnsi="Arial" w:hint="default"/>
        <w:spacing w:val="-1"/>
        <w:w w:val="100"/>
        <w:sz w:val="24"/>
        <w:szCs w:val="24"/>
      </w:rPr>
    </w:lvl>
    <w:lvl w:ilvl="1" w:tplc="9D2E6BCE">
      <w:start w:val="1"/>
      <w:numFmt w:val="bullet"/>
      <w:lvlText w:val=""/>
      <w:lvlJc w:val="left"/>
      <w:pPr>
        <w:ind w:left="800" w:hanging="427"/>
      </w:pPr>
      <w:rPr>
        <w:rFonts w:ascii="Symbol" w:eastAsia="Symbol" w:hAnsi="Symbol" w:hint="default"/>
        <w:w w:val="99"/>
        <w:sz w:val="22"/>
        <w:szCs w:val="22"/>
      </w:rPr>
    </w:lvl>
    <w:lvl w:ilvl="2" w:tplc="47FAABBC">
      <w:start w:val="1"/>
      <w:numFmt w:val="bullet"/>
      <w:lvlText w:val=""/>
      <w:lvlJc w:val="left"/>
      <w:pPr>
        <w:ind w:left="952" w:hanging="361"/>
      </w:pPr>
      <w:rPr>
        <w:rFonts w:ascii="Symbol" w:eastAsia="Symbol" w:hAnsi="Symbol" w:hint="default"/>
        <w:w w:val="99"/>
        <w:sz w:val="22"/>
        <w:szCs w:val="22"/>
      </w:rPr>
    </w:lvl>
    <w:lvl w:ilvl="3" w:tplc="F794B0E0">
      <w:start w:val="1"/>
      <w:numFmt w:val="bullet"/>
      <w:lvlText w:val="•"/>
      <w:lvlJc w:val="left"/>
      <w:pPr>
        <w:ind w:left="2792" w:hanging="361"/>
      </w:pPr>
      <w:rPr>
        <w:rFonts w:hint="default"/>
      </w:rPr>
    </w:lvl>
    <w:lvl w:ilvl="4" w:tplc="30160714">
      <w:start w:val="1"/>
      <w:numFmt w:val="bullet"/>
      <w:lvlText w:val="•"/>
      <w:lvlJc w:val="left"/>
      <w:pPr>
        <w:ind w:left="4625" w:hanging="361"/>
      </w:pPr>
      <w:rPr>
        <w:rFonts w:hint="default"/>
      </w:rPr>
    </w:lvl>
    <w:lvl w:ilvl="5" w:tplc="D1A2A950">
      <w:start w:val="1"/>
      <w:numFmt w:val="bullet"/>
      <w:lvlText w:val="•"/>
      <w:lvlJc w:val="left"/>
      <w:pPr>
        <w:ind w:left="6457" w:hanging="361"/>
      </w:pPr>
      <w:rPr>
        <w:rFonts w:hint="default"/>
      </w:rPr>
    </w:lvl>
    <w:lvl w:ilvl="6" w:tplc="0A4EB652">
      <w:start w:val="1"/>
      <w:numFmt w:val="bullet"/>
      <w:lvlText w:val="•"/>
      <w:lvlJc w:val="left"/>
      <w:pPr>
        <w:ind w:left="8290" w:hanging="361"/>
      </w:pPr>
      <w:rPr>
        <w:rFonts w:hint="default"/>
      </w:rPr>
    </w:lvl>
    <w:lvl w:ilvl="7" w:tplc="00C867BC">
      <w:start w:val="1"/>
      <w:numFmt w:val="bullet"/>
      <w:lvlText w:val="•"/>
      <w:lvlJc w:val="left"/>
      <w:pPr>
        <w:ind w:left="10122" w:hanging="361"/>
      </w:pPr>
      <w:rPr>
        <w:rFonts w:hint="default"/>
      </w:rPr>
    </w:lvl>
    <w:lvl w:ilvl="8" w:tplc="14EE3382">
      <w:start w:val="1"/>
      <w:numFmt w:val="bullet"/>
      <w:lvlText w:val="•"/>
      <w:lvlJc w:val="left"/>
      <w:pPr>
        <w:ind w:left="11955" w:hanging="361"/>
      </w:pPr>
      <w:rPr>
        <w:rFonts w:hint="default"/>
      </w:rPr>
    </w:lvl>
  </w:abstractNum>
  <w:abstractNum w:abstractNumId="9" w15:restartNumberingAfterBreak="0">
    <w:nsid w:val="4F2C1018"/>
    <w:multiLevelType w:val="hybridMultilevel"/>
    <w:tmpl w:val="5FEAF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160FF"/>
    <w:multiLevelType w:val="hybridMultilevel"/>
    <w:tmpl w:val="E5F0A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6C5A82"/>
    <w:multiLevelType w:val="hybridMultilevel"/>
    <w:tmpl w:val="DDB0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372FB3"/>
    <w:multiLevelType w:val="hybridMultilevel"/>
    <w:tmpl w:val="F55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B1CC6"/>
    <w:multiLevelType w:val="hybridMultilevel"/>
    <w:tmpl w:val="99A4C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0F3194"/>
    <w:multiLevelType w:val="hybridMultilevel"/>
    <w:tmpl w:val="4CDAD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E461E"/>
    <w:multiLevelType w:val="hybridMultilevel"/>
    <w:tmpl w:val="492CA9F4"/>
    <w:lvl w:ilvl="0" w:tplc="7960EFBE">
      <w:start w:val="1"/>
      <w:numFmt w:val="decimal"/>
      <w:lvlText w:val="%1."/>
      <w:lvlJc w:val="left"/>
      <w:pPr>
        <w:ind w:left="800" w:hanging="565"/>
      </w:pPr>
      <w:rPr>
        <w:rFonts w:ascii="Arial" w:eastAsia="Arial" w:hAnsi="Arial" w:hint="default"/>
        <w:w w:val="99"/>
        <w:sz w:val="22"/>
        <w:szCs w:val="22"/>
      </w:rPr>
    </w:lvl>
    <w:lvl w:ilvl="1" w:tplc="FACCFD62">
      <w:start w:val="1"/>
      <w:numFmt w:val="bullet"/>
      <w:lvlText w:val="•"/>
      <w:lvlJc w:val="left"/>
      <w:pPr>
        <w:ind w:left="2282" w:hanging="565"/>
      </w:pPr>
      <w:rPr>
        <w:rFonts w:hint="default"/>
      </w:rPr>
    </w:lvl>
    <w:lvl w:ilvl="2" w:tplc="578C0584">
      <w:start w:val="1"/>
      <w:numFmt w:val="bullet"/>
      <w:lvlText w:val="•"/>
      <w:lvlJc w:val="left"/>
      <w:pPr>
        <w:ind w:left="3764" w:hanging="565"/>
      </w:pPr>
      <w:rPr>
        <w:rFonts w:hint="default"/>
      </w:rPr>
    </w:lvl>
    <w:lvl w:ilvl="3" w:tplc="E4DED248">
      <w:start w:val="1"/>
      <w:numFmt w:val="bullet"/>
      <w:lvlText w:val="•"/>
      <w:lvlJc w:val="left"/>
      <w:pPr>
        <w:ind w:left="5246" w:hanging="565"/>
      </w:pPr>
      <w:rPr>
        <w:rFonts w:hint="default"/>
      </w:rPr>
    </w:lvl>
    <w:lvl w:ilvl="4" w:tplc="ADFC3A60">
      <w:start w:val="1"/>
      <w:numFmt w:val="bullet"/>
      <w:lvlText w:val="•"/>
      <w:lvlJc w:val="left"/>
      <w:pPr>
        <w:ind w:left="6728" w:hanging="565"/>
      </w:pPr>
      <w:rPr>
        <w:rFonts w:hint="default"/>
      </w:rPr>
    </w:lvl>
    <w:lvl w:ilvl="5" w:tplc="F3CA3A2A">
      <w:start w:val="1"/>
      <w:numFmt w:val="bullet"/>
      <w:lvlText w:val="•"/>
      <w:lvlJc w:val="left"/>
      <w:pPr>
        <w:ind w:left="8210" w:hanging="565"/>
      </w:pPr>
      <w:rPr>
        <w:rFonts w:hint="default"/>
      </w:rPr>
    </w:lvl>
    <w:lvl w:ilvl="6" w:tplc="B19AD348">
      <w:start w:val="1"/>
      <w:numFmt w:val="bullet"/>
      <w:lvlText w:val="•"/>
      <w:lvlJc w:val="left"/>
      <w:pPr>
        <w:ind w:left="9692" w:hanging="565"/>
      </w:pPr>
      <w:rPr>
        <w:rFonts w:hint="default"/>
      </w:rPr>
    </w:lvl>
    <w:lvl w:ilvl="7" w:tplc="14F44BAA">
      <w:start w:val="1"/>
      <w:numFmt w:val="bullet"/>
      <w:lvlText w:val="•"/>
      <w:lvlJc w:val="left"/>
      <w:pPr>
        <w:ind w:left="11174" w:hanging="565"/>
      </w:pPr>
      <w:rPr>
        <w:rFonts w:hint="default"/>
      </w:rPr>
    </w:lvl>
    <w:lvl w:ilvl="8" w:tplc="24BA3D3C">
      <w:start w:val="1"/>
      <w:numFmt w:val="bullet"/>
      <w:lvlText w:val="•"/>
      <w:lvlJc w:val="left"/>
      <w:pPr>
        <w:ind w:left="12656" w:hanging="565"/>
      </w:pPr>
      <w:rPr>
        <w:rFonts w:hint="default"/>
      </w:rPr>
    </w:lvl>
  </w:abstractNum>
  <w:abstractNum w:abstractNumId="16" w15:restartNumberingAfterBreak="0">
    <w:nsid w:val="672833FF"/>
    <w:multiLevelType w:val="hybridMultilevel"/>
    <w:tmpl w:val="19B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5FE2"/>
    <w:multiLevelType w:val="hybridMultilevel"/>
    <w:tmpl w:val="9FE45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DC335C"/>
    <w:multiLevelType w:val="hybridMultilevel"/>
    <w:tmpl w:val="34F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00042"/>
    <w:multiLevelType w:val="hybridMultilevel"/>
    <w:tmpl w:val="94589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5"/>
  </w:num>
  <w:num w:numId="3">
    <w:abstractNumId w:val="4"/>
  </w:num>
  <w:num w:numId="4">
    <w:abstractNumId w:val="3"/>
  </w:num>
  <w:num w:numId="5">
    <w:abstractNumId w:val="6"/>
  </w:num>
  <w:num w:numId="6">
    <w:abstractNumId w:val="9"/>
  </w:num>
  <w:num w:numId="7">
    <w:abstractNumId w:val="5"/>
  </w:num>
  <w:num w:numId="8">
    <w:abstractNumId w:val="16"/>
  </w:num>
  <w:num w:numId="9">
    <w:abstractNumId w:val="14"/>
  </w:num>
  <w:num w:numId="10">
    <w:abstractNumId w:val="0"/>
  </w:num>
  <w:num w:numId="11">
    <w:abstractNumId w:val="18"/>
  </w:num>
  <w:num w:numId="12">
    <w:abstractNumId w:val="7"/>
  </w:num>
  <w:num w:numId="13">
    <w:abstractNumId w:val="2"/>
  </w:num>
  <w:num w:numId="14">
    <w:abstractNumId w:val="10"/>
  </w:num>
  <w:num w:numId="15">
    <w:abstractNumId w:val="1"/>
  </w:num>
  <w:num w:numId="16">
    <w:abstractNumId w:val="17"/>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0E"/>
    <w:rsid w:val="0000016E"/>
    <w:rsid w:val="00003274"/>
    <w:rsid w:val="00003627"/>
    <w:rsid w:val="00007BE9"/>
    <w:rsid w:val="00012C20"/>
    <w:rsid w:val="000169B2"/>
    <w:rsid w:val="000310D1"/>
    <w:rsid w:val="00031364"/>
    <w:rsid w:val="00033115"/>
    <w:rsid w:val="00035AA0"/>
    <w:rsid w:val="00037AEC"/>
    <w:rsid w:val="00042F51"/>
    <w:rsid w:val="00044233"/>
    <w:rsid w:val="00044EF9"/>
    <w:rsid w:val="000463E9"/>
    <w:rsid w:val="000504F8"/>
    <w:rsid w:val="000534D5"/>
    <w:rsid w:val="00056BF4"/>
    <w:rsid w:val="0005771B"/>
    <w:rsid w:val="00061246"/>
    <w:rsid w:val="0006325D"/>
    <w:rsid w:val="000675F0"/>
    <w:rsid w:val="00067AF5"/>
    <w:rsid w:val="00071269"/>
    <w:rsid w:val="00077003"/>
    <w:rsid w:val="00077032"/>
    <w:rsid w:val="00083974"/>
    <w:rsid w:val="000919DD"/>
    <w:rsid w:val="000A3473"/>
    <w:rsid w:val="000A4669"/>
    <w:rsid w:val="000A5624"/>
    <w:rsid w:val="000A6202"/>
    <w:rsid w:val="000B1C93"/>
    <w:rsid w:val="000B2F77"/>
    <w:rsid w:val="000B36AD"/>
    <w:rsid w:val="000B4217"/>
    <w:rsid w:val="000B4EE5"/>
    <w:rsid w:val="000C1429"/>
    <w:rsid w:val="000C294A"/>
    <w:rsid w:val="000C64D0"/>
    <w:rsid w:val="000C7D48"/>
    <w:rsid w:val="000C7D50"/>
    <w:rsid w:val="000D0204"/>
    <w:rsid w:val="000D6493"/>
    <w:rsid w:val="000E1FBF"/>
    <w:rsid w:val="000E5877"/>
    <w:rsid w:val="000E6449"/>
    <w:rsid w:val="000E6D01"/>
    <w:rsid w:val="000F105F"/>
    <w:rsid w:val="000F24D7"/>
    <w:rsid w:val="000F346F"/>
    <w:rsid w:val="000F7075"/>
    <w:rsid w:val="00100027"/>
    <w:rsid w:val="00103330"/>
    <w:rsid w:val="001067F7"/>
    <w:rsid w:val="00106F99"/>
    <w:rsid w:val="00111EC2"/>
    <w:rsid w:val="001142DA"/>
    <w:rsid w:val="00116A63"/>
    <w:rsid w:val="00120617"/>
    <w:rsid w:val="00122193"/>
    <w:rsid w:val="001248E9"/>
    <w:rsid w:val="00124F17"/>
    <w:rsid w:val="0012773D"/>
    <w:rsid w:val="00130FE9"/>
    <w:rsid w:val="00131381"/>
    <w:rsid w:val="00131691"/>
    <w:rsid w:val="00132457"/>
    <w:rsid w:val="00132675"/>
    <w:rsid w:val="00135F9F"/>
    <w:rsid w:val="00136A5C"/>
    <w:rsid w:val="0013784F"/>
    <w:rsid w:val="00137876"/>
    <w:rsid w:val="00137A87"/>
    <w:rsid w:val="001403D5"/>
    <w:rsid w:val="00140BF9"/>
    <w:rsid w:val="00143E78"/>
    <w:rsid w:val="00144E96"/>
    <w:rsid w:val="001451D7"/>
    <w:rsid w:val="001478A4"/>
    <w:rsid w:val="00147D27"/>
    <w:rsid w:val="0015125C"/>
    <w:rsid w:val="00152753"/>
    <w:rsid w:val="00156091"/>
    <w:rsid w:val="00157884"/>
    <w:rsid w:val="0016247C"/>
    <w:rsid w:val="00162AE9"/>
    <w:rsid w:val="0016461B"/>
    <w:rsid w:val="00165BD4"/>
    <w:rsid w:val="00171685"/>
    <w:rsid w:val="001726B0"/>
    <w:rsid w:val="001745E0"/>
    <w:rsid w:val="00180F08"/>
    <w:rsid w:val="00183723"/>
    <w:rsid w:val="00184901"/>
    <w:rsid w:val="00185EAC"/>
    <w:rsid w:val="001912A8"/>
    <w:rsid w:val="00193FAB"/>
    <w:rsid w:val="00196A3D"/>
    <w:rsid w:val="001A0984"/>
    <w:rsid w:val="001A2F8C"/>
    <w:rsid w:val="001A37AD"/>
    <w:rsid w:val="001A73E4"/>
    <w:rsid w:val="001B061C"/>
    <w:rsid w:val="001B3C08"/>
    <w:rsid w:val="001B54C1"/>
    <w:rsid w:val="001C2828"/>
    <w:rsid w:val="001C6B99"/>
    <w:rsid w:val="001C6BFA"/>
    <w:rsid w:val="001C746E"/>
    <w:rsid w:val="001C78F4"/>
    <w:rsid w:val="001D267E"/>
    <w:rsid w:val="001D470D"/>
    <w:rsid w:val="001D6953"/>
    <w:rsid w:val="001D7974"/>
    <w:rsid w:val="001E5489"/>
    <w:rsid w:val="001E7190"/>
    <w:rsid w:val="001F258A"/>
    <w:rsid w:val="001F3B9F"/>
    <w:rsid w:val="001F487D"/>
    <w:rsid w:val="001F77A7"/>
    <w:rsid w:val="002019ED"/>
    <w:rsid w:val="00204921"/>
    <w:rsid w:val="002052B1"/>
    <w:rsid w:val="00206D43"/>
    <w:rsid w:val="00210586"/>
    <w:rsid w:val="002126E8"/>
    <w:rsid w:val="00213A88"/>
    <w:rsid w:val="00213CB3"/>
    <w:rsid w:val="002176C6"/>
    <w:rsid w:val="00217F9D"/>
    <w:rsid w:val="00220845"/>
    <w:rsid w:val="0022305B"/>
    <w:rsid w:val="002240BA"/>
    <w:rsid w:val="00225659"/>
    <w:rsid w:val="0023308E"/>
    <w:rsid w:val="00236D00"/>
    <w:rsid w:val="00241E6A"/>
    <w:rsid w:val="002430A0"/>
    <w:rsid w:val="00245D73"/>
    <w:rsid w:val="002460FD"/>
    <w:rsid w:val="00247E16"/>
    <w:rsid w:val="00250429"/>
    <w:rsid w:val="00251E82"/>
    <w:rsid w:val="00254CF7"/>
    <w:rsid w:val="00256FEE"/>
    <w:rsid w:val="00257AC8"/>
    <w:rsid w:val="00260CD3"/>
    <w:rsid w:val="00263045"/>
    <w:rsid w:val="00266897"/>
    <w:rsid w:val="002728C5"/>
    <w:rsid w:val="002744D4"/>
    <w:rsid w:val="00274C24"/>
    <w:rsid w:val="002763A4"/>
    <w:rsid w:val="00276A34"/>
    <w:rsid w:val="00277260"/>
    <w:rsid w:val="002803F7"/>
    <w:rsid w:val="00282BC9"/>
    <w:rsid w:val="00282C8B"/>
    <w:rsid w:val="002841F4"/>
    <w:rsid w:val="0028504D"/>
    <w:rsid w:val="00285A13"/>
    <w:rsid w:val="00287EB5"/>
    <w:rsid w:val="002954BA"/>
    <w:rsid w:val="002958AA"/>
    <w:rsid w:val="00297477"/>
    <w:rsid w:val="00297648"/>
    <w:rsid w:val="002A1B58"/>
    <w:rsid w:val="002A61E1"/>
    <w:rsid w:val="002B083D"/>
    <w:rsid w:val="002B0F71"/>
    <w:rsid w:val="002C3254"/>
    <w:rsid w:val="002C4528"/>
    <w:rsid w:val="002C4949"/>
    <w:rsid w:val="002D0B56"/>
    <w:rsid w:val="002D44A5"/>
    <w:rsid w:val="002D6D2E"/>
    <w:rsid w:val="002E14B5"/>
    <w:rsid w:val="002E169F"/>
    <w:rsid w:val="002E41C7"/>
    <w:rsid w:val="002E4295"/>
    <w:rsid w:val="002E564C"/>
    <w:rsid w:val="002E5895"/>
    <w:rsid w:val="002F010B"/>
    <w:rsid w:val="002F11BB"/>
    <w:rsid w:val="002F2C65"/>
    <w:rsid w:val="002F6490"/>
    <w:rsid w:val="002F6772"/>
    <w:rsid w:val="002F6E7A"/>
    <w:rsid w:val="00302284"/>
    <w:rsid w:val="00307167"/>
    <w:rsid w:val="0030778D"/>
    <w:rsid w:val="00310C78"/>
    <w:rsid w:val="003111CA"/>
    <w:rsid w:val="003175EA"/>
    <w:rsid w:val="00320E87"/>
    <w:rsid w:val="00323705"/>
    <w:rsid w:val="00330C13"/>
    <w:rsid w:val="0033199E"/>
    <w:rsid w:val="00332474"/>
    <w:rsid w:val="00332AF0"/>
    <w:rsid w:val="00332C00"/>
    <w:rsid w:val="00333A7F"/>
    <w:rsid w:val="00334031"/>
    <w:rsid w:val="003447EC"/>
    <w:rsid w:val="0035116D"/>
    <w:rsid w:val="003545EB"/>
    <w:rsid w:val="00355589"/>
    <w:rsid w:val="00357040"/>
    <w:rsid w:val="00357916"/>
    <w:rsid w:val="00360F75"/>
    <w:rsid w:val="00364E1E"/>
    <w:rsid w:val="00366CFA"/>
    <w:rsid w:val="00371AF0"/>
    <w:rsid w:val="00372D3F"/>
    <w:rsid w:val="00375687"/>
    <w:rsid w:val="00376B7D"/>
    <w:rsid w:val="003807F9"/>
    <w:rsid w:val="00380983"/>
    <w:rsid w:val="003836F5"/>
    <w:rsid w:val="00384B27"/>
    <w:rsid w:val="00386C15"/>
    <w:rsid w:val="00390544"/>
    <w:rsid w:val="003928D4"/>
    <w:rsid w:val="0039626E"/>
    <w:rsid w:val="0039734A"/>
    <w:rsid w:val="003A252E"/>
    <w:rsid w:val="003A7BE2"/>
    <w:rsid w:val="003A7EFE"/>
    <w:rsid w:val="003B20BD"/>
    <w:rsid w:val="003B6BBE"/>
    <w:rsid w:val="003C0545"/>
    <w:rsid w:val="003C0C77"/>
    <w:rsid w:val="003C12CB"/>
    <w:rsid w:val="003C3050"/>
    <w:rsid w:val="003C56B5"/>
    <w:rsid w:val="003C5F10"/>
    <w:rsid w:val="003C67B9"/>
    <w:rsid w:val="003D2B35"/>
    <w:rsid w:val="003D2D49"/>
    <w:rsid w:val="003D3466"/>
    <w:rsid w:val="003D51A7"/>
    <w:rsid w:val="003D5798"/>
    <w:rsid w:val="003D7BFA"/>
    <w:rsid w:val="003D7F5D"/>
    <w:rsid w:val="003E05B2"/>
    <w:rsid w:val="003E1381"/>
    <w:rsid w:val="003E3025"/>
    <w:rsid w:val="003E53CD"/>
    <w:rsid w:val="003F0148"/>
    <w:rsid w:val="003F091D"/>
    <w:rsid w:val="003F1D9A"/>
    <w:rsid w:val="003F2875"/>
    <w:rsid w:val="003F5197"/>
    <w:rsid w:val="003F7AC9"/>
    <w:rsid w:val="003F7AE4"/>
    <w:rsid w:val="00401EF6"/>
    <w:rsid w:val="00402468"/>
    <w:rsid w:val="0041356C"/>
    <w:rsid w:val="00420810"/>
    <w:rsid w:val="00421141"/>
    <w:rsid w:val="00421F98"/>
    <w:rsid w:val="00424F2E"/>
    <w:rsid w:val="00425DF5"/>
    <w:rsid w:val="004302CD"/>
    <w:rsid w:val="00441EF1"/>
    <w:rsid w:val="00443EF8"/>
    <w:rsid w:val="0044650B"/>
    <w:rsid w:val="00453C21"/>
    <w:rsid w:val="00455797"/>
    <w:rsid w:val="00461D08"/>
    <w:rsid w:val="00462901"/>
    <w:rsid w:val="004650F2"/>
    <w:rsid w:val="004651BB"/>
    <w:rsid w:val="004663EF"/>
    <w:rsid w:val="004676BD"/>
    <w:rsid w:val="00470D22"/>
    <w:rsid w:val="004822D4"/>
    <w:rsid w:val="004856E0"/>
    <w:rsid w:val="004975FD"/>
    <w:rsid w:val="004A0291"/>
    <w:rsid w:val="004A08B7"/>
    <w:rsid w:val="004A18DA"/>
    <w:rsid w:val="004A51B4"/>
    <w:rsid w:val="004A5786"/>
    <w:rsid w:val="004B2881"/>
    <w:rsid w:val="004B2A5B"/>
    <w:rsid w:val="004B5E2C"/>
    <w:rsid w:val="004B7EBD"/>
    <w:rsid w:val="004C1F2C"/>
    <w:rsid w:val="004C3121"/>
    <w:rsid w:val="004C3AEA"/>
    <w:rsid w:val="004C5268"/>
    <w:rsid w:val="004C66DF"/>
    <w:rsid w:val="004D0B40"/>
    <w:rsid w:val="004D0FB0"/>
    <w:rsid w:val="004D1346"/>
    <w:rsid w:val="004D201D"/>
    <w:rsid w:val="004D5E44"/>
    <w:rsid w:val="004D6690"/>
    <w:rsid w:val="004D6E0C"/>
    <w:rsid w:val="004E0E52"/>
    <w:rsid w:val="004E6265"/>
    <w:rsid w:val="004F2686"/>
    <w:rsid w:val="004F3740"/>
    <w:rsid w:val="004F44BE"/>
    <w:rsid w:val="004F7A39"/>
    <w:rsid w:val="005038BB"/>
    <w:rsid w:val="00505D01"/>
    <w:rsid w:val="005073F7"/>
    <w:rsid w:val="005103E3"/>
    <w:rsid w:val="00510B6A"/>
    <w:rsid w:val="00513CEF"/>
    <w:rsid w:val="005141B3"/>
    <w:rsid w:val="00515F06"/>
    <w:rsid w:val="00520C4C"/>
    <w:rsid w:val="00523418"/>
    <w:rsid w:val="00525CA4"/>
    <w:rsid w:val="00525EAA"/>
    <w:rsid w:val="0053175D"/>
    <w:rsid w:val="005322C4"/>
    <w:rsid w:val="00532D30"/>
    <w:rsid w:val="00534421"/>
    <w:rsid w:val="00540D2D"/>
    <w:rsid w:val="00541F2A"/>
    <w:rsid w:val="00543EDE"/>
    <w:rsid w:val="00543F04"/>
    <w:rsid w:val="00545BC2"/>
    <w:rsid w:val="005566FC"/>
    <w:rsid w:val="00560787"/>
    <w:rsid w:val="0056088C"/>
    <w:rsid w:val="005619CD"/>
    <w:rsid w:val="0056601A"/>
    <w:rsid w:val="005734BA"/>
    <w:rsid w:val="00573632"/>
    <w:rsid w:val="005821DE"/>
    <w:rsid w:val="0058790B"/>
    <w:rsid w:val="005900B0"/>
    <w:rsid w:val="0059331F"/>
    <w:rsid w:val="00594140"/>
    <w:rsid w:val="00595A98"/>
    <w:rsid w:val="00595F78"/>
    <w:rsid w:val="005A669C"/>
    <w:rsid w:val="005B0532"/>
    <w:rsid w:val="005B3ED2"/>
    <w:rsid w:val="005B4CB8"/>
    <w:rsid w:val="005B524F"/>
    <w:rsid w:val="005B5B36"/>
    <w:rsid w:val="005B6494"/>
    <w:rsid w:val="005C2719"/>
    <w:rsid w:val="005C6817"/>
    <w:rsid w:val="005C74CB"/>
    <w:rsid w:val="005D4B0C"/>
    <w:rsid w:val="005D7872"/>
    <w:rsid w:val="005E02A8"/>
    <w:rsid w:val="005E49FE"/>
    <w:rsid w:val="005E7B2F"/>
    <w:rsid w:val="005F1C91"/>
    <w:rsid w:val="005F4045"/>
    <w:rsid w:val="005F4781"/>
    <w:rsid w:val="005F47B6"/>
    <w:rsid w:val="005F58F6"/>
    <w:rsid w:val="005F628F"/>
    <w:rsid w:val="005F7A98"/>
    <w:rsid w:val="00603CDA"/>
    <w:rsid w:val="006055C1"/>
    <w:rsid w:val="0060682B"/>
    <w:rsid w:val="00606F17"/>
    <w:rsid w:val="00610A47"/>
    <w:rsid w:val="0061630A"/>
    <w:rsid w:val="006218C4"/>
    <w:rsid w:val="006236B0"/>
    <w:rsid w:val="00624978"/>
    <w:rsid w:val="00625310"/>
    <w:rsid w:val="00630C1C"/>
    <w:rsid w:val="00633189"/>
    <w:rsid w:val="00635D69"/>
    <w:rsid w:val="00635F77"/>
    <w:rsid w:val="006371BF"/>
    <w:rsid w:val="00640B9C"/>
    <w:rsid w:val="006427E0"/>
    <w:rsid w:val="006431F5"/>
    <w:rsid w:val="0064399F"/>
    <w:rsid w:val="006529F5"/>
    <w:rsid w:val="00652C29"/>
    <w:rsid w:val="006551EF"/>
    <w:rsid w:val="00671315"/>
    <w:rsid w:val="00671C7D"/>
    <w:rsid w:val="0067224F"/>
    <w:rsid w:val="00672971"/>
    <w:rsid w:val="006731E3"/>
    <w:rsid w:val="006739C9"/>
    <w:rsid w:val="00674F6F"/>
    <w:rsid w:val="00677C47"/>
    <w:rsid w:val="006861C0"/>
    <w:rsid w:val="00687BB7"/>
    <w:rsid w:val="006905A1"/>
    <w:rsid w:val="00690A8F"/>
    <w:rsid w:val="006921B3"/>
    <w:rsid w:val="00693C28"/>
    <w:rsid w:val="00695696"/>
    <w:rsid w:val="006A13A4"/>
    <w:rsid w:val="006A1869"/>
    <w:rsid w:val="006A301F"/>
    <w:rsid w:val="006A38D0"/>
    <w:rsid w:val="006A795C"/>
    <w:rsid w:val="006B20B8"/>
    <w:rsid w:val="006B6756"/>
    <w:rsid w:val="006B6EBC"/>
    <w:rsid w:val="006C343D"/>
    <w:rsid w:val="006C4F34"/>
    <w:rsid w:val="006C5421"/>
    <w:rsid w:val="006C5BB1"/>
    <w:rsid w:val="006D1214"/>
    <w:rsid w:val="006E2EA8"/>
    <w:rsid w:val="006F28B9"/>
    <w:rsid w:val="006F2CD6"/>
    <w:rsid w:val="006F373B"/>
    <w:rsid w:val="006F4AD2"/>
    <w:rsid w:val="006F5400"/>
    <w:rsid w:val="006F6370"/>
    <w:rsid w:val="00700A05"/>
    <w:rsid w:val="00701BFA"/>
    <w:rsid w:val="00703835"/>
    <w:rsid w:val="0071680D"/>
    <w:rsid w:val="00720A91"/>
    <w:rsid w:val="00722324"/>
    <w:rsid w:val="00723447"/>
    <w:rsid w:val="007246CD"/>
    <w:rsid w:val="00724E90"/>
    <w:rsid w:val="00725D3F"/>
    <w:rsid w:val="00731D71"/>
    <w:rsid w:val="007322FA"/>
    <w:rsid w:val="007448E2"/>
    <w:rsid w:val="00745AA7"/>
    <w:rsid w:val="007523DD"/>
    <w:rsid w:val="007535DD"/>
    <w:rsid w:val="007560D6"/>
    <w:rsid w:val="00760786"/>
    <w:rsid w:val="00761EFE"/>
    <w:rsid w:val="007644BF"/>
    <w:rsid w:val="007656A7"/>
    <w:rsid w:val="007662CD"/>
    <w:rsid w:val="00772EEB"/>
    <w:rsid w:val="00773A1E"/>
    <w:rsid w:val="00775D12"/>
    <w:rsid w:val="00783D30"/>
    <w:rsid w:val="0079201B"/>
    <w:rsid w:val="007934E8"/>
    <w:rsid w:val="0079461E"/>
    <w:rsid w:val="007961BE"/>
    <w:rsid w:val="007A002E"/>
    <w:rsid w:val="007A2AC9"/>
    <w:rsid w:val="007A42EB"/>
    <w:rsid w:val="007A5209"/>
    <w:rsid w:val="007A52EA"/>
    <w:rsid w:val="007B01B6"/>
    <w:rsid w:val="007B13D7"/>
    <w:rsid w:val="007B1895"/>
    <w:rsid w:val="007B3CDA"/>
    <w:rsid w:val="007B7ABC"/>
    <w:rsid w:val="007C0A22"/>
    <w:rsid w:val="007C3FB3"/>
    <w:rsid w:val="007C4842"/>
    <w:rsid w:val="007C58ED"/>
    <w:rsid w:val="007C59D3"/>
    <w:rsid w:val="007D4634"/>
    <w:rsid w:val="007D52AA"/>
    <w:rsid w:val="007D5C59"/>
    <w:rsid w:val="007E2075"/>
    <w:rsid w:val="007E23BA"/>
    <w:rsid w:val="007E532B"/>
    <w:rsid w:val="007E6565"/>
    <w:rsid w:val="007F07EE"/>
    <w:rsid w:val="007F0ABA"/>
    <w:rsid w:val="007F21C3"/>
    <w:rsid w:val="007F3A4F"/>
    <w:rsid w:val="007F459A"/>
    <w:rsid w:val="007F7B01"/>
    <w:rsid w:val="007F7D61"/>
    <w:rsid w:val="0080077F"/>
    <w:rsid w:val="00802F69"/>
    <w:rsid w:val="0080510E"/>
    <w:rsid w:val="0080583D"/>
    <w:rsid w:val="008059AC"/>
    <w:rsid w:val="0081045E"/>
    <w:rsid w:val="008130D4"/>
    <w:rsid w:val="008176B1"/>
    <w:rsid w:val="008203FE"/>
    <w:rsid w:val="00820D7A"/>
    <w:rsid w:val="00823EE4"/>
    <w:rsid w:val="008264E9"/>
    <w:rsid w:val="00827ADA"/>
    <w:rsid w:val="00830A3C"/>
    <w:rsid w:val="0083168D"/>
    <w:rsid w:val="0083298A"/>
    <w:rsid w:val="00833A20"/>
    <w:rsid w:val="00837E13"/>
    <w:rsid w:val="008401CA"/>
    <w:rsid w:val="0084029C"/>
    <w:rsid w:val="008404F1"/>
    <w:rsid w:val="0084221A"/>
    <w:rsid w:val="0084389B"/>
    <w:rsid w:val="008453B1"/>
    <w:rsid w:val="00846B2E"/>
    <w:rsid w:val="0085002A"/>
    <w:rsid w:val="0085337B"/>
    <w:rsid w:val="00853903"/>
    <w:rsid w:val="00853EAE"/>
    <w:rsid w:val="008572CA"/>
    <w:rsid w:val="0085765B"/>
    <w:rsid w:val="008578A5"/>
    <w:rsid w:val="008602AC"/>
    <w:rsid w:val="00861892"/>
    <w:rsid w:val="00862BCD"/>
    <w:rsid w:val="008700EC"/>
    <w:rsid w:val="00873047"/>
    <w:rsid w:val="00873C6F"/>
    <w:rsid w:val="00875685"/>
    <w:rsid w:val="00877089"/>
    <w:rsid w:val="00883E3D"/>
    <w:rsid w:val="00886175"/>
    <w:rsid w:val="008910D6"/>
    <w:rsid w:val="00896BAE"/>
    <w:rsid w:val="008974F5"/>
    <w:rsid w:val="008A1688"/>
    <w:rsid w:val="008A3948"/>
    <w:rsid w:val="008A6E93"/>
    <w:rsid w:val="008A7E0C"/>
    <w:rsid w:val="008B19F6"/>
    <w:rsid w:val="008B3264"/>
    <w:rsid w:val="008B32DD"/>
    <w:rsid w:val="008C1098"/>
    <w:rsid w:val="008C294D"/>
    <w:rsid w:val="008D49E2"/>
    <w:rsid w:val="008E01CD"/>
    <w:rsid w:val="008E3F17"/>
    <w:rsid w:val="008E515B"/>
    <w:rsid w:val="008E60C9"/>
    <w:rsid w:val="008E74DC"/>
    <w:rsid w:val="008F5135"/>
    <w:rsid w:val="00901410"/>
    <w:rsid w:val="009057EE"/>
    <w:rsid w:val="00905ACF"/>
    <w:rsid w:val="00906953"/>
    <w:rsid w:val="00907324"/>
    <w:rsid w:val="009153BD"/>
    <w:rsid w:val="00915FDB"/>
    <w:rsid w:val="0092013A"/>
    <w:rsid w:val="00921C11"/>
    <w:rsid w:val="00922C7C"/>
    <w:rsid w:val="00923330"/>
    <w:rsid w:val="009246C1"/>
    <w:rsid w:val="00933B63"/>
    <w:rsid w:val="0093439D"/>
    <w:rsid w:val="009411F4"/>
    <w:rsid w:val="0094183C"/>
    <w:rsid w:val="0094212E"/>
    <w:rsid w:val="00942CB1"/>
    <w:rsid w:val="009449DE"/>
    <w:rsid w:val="0094567F"/>
    <w:rsid w:val="00946055"/>
    <w:rsid w:val="00953C03"/>
    <w:rsid w:val="00954852"/>
    <w:rsid w:val="00961001"/>
    <w:rsid w:val="009627CB"/>
    <w:rsid w:val="009805B8"/>
    <w:rsid w:val="00982ED6"/>
    <w:rsid w:val="009851FC"/>
    <w:rsid w:val="009932AE"/>
    <w:rsid w:val="009936BD"/>
    <w:rsid w:val="009939CF"/>
    <w:rsid w:val="00994F55"/>
    <w:rsid w:val="00995162"/>
    <w:rsid w:val="00996386"/>
    <w:rsid w:val="009967F8"/>
    <w:rsid w:val="00997BFB"/>
    <w:rsid w:val="009A0072"/>
    <w:rsid w:val="009A0580"/>
    <w:rsid w:val="009A7437"/>
    <w:rsid w:val="009B52F5"/>
    <w:rsid w:val="009B5D48"/>
    <w:rsid w:val="009C29BB"/>
    <w:rsid w:val="009C2B69"/>
    <w:rsid w:val="009C3E50"/>
    <w:rsid w:val="009C3F5E"/>
    <w:rsid w:val="009C7148"/>
    <w:rsid w:val="009D4719"/>
    <w:rsid w:val="009D7760"/>
    <w:rsid w:val="009D77A2"/>
    <w:rsid w:val="009E0B7E"/>
    <w:rsid w:val="009E18D3"/>
    <w:rsid w:val="009E3421"/>
    <w:rsid w:val="009E5206"/>
    <w:rsid w:val="009E5C1E"/>
    <w:rsid w:val="009F2410"/>
    <w:rsid w:val="009F2B72"/>
    <w:rsid w:val="009F302A"/>
    <w:rsid w:val="009F5EBE"/>
    <w:rsid w:val="009F612A"/>
    <w:rsid w:val="009F7BA2"/>
    <w:rsid w:val="00A007DE"/>
    <w:rsid w:val="00A03E5B"/>
    <w:rsid w:val="00A0673F"/>
    <w:rsid w:val="00A06E54"/>
    <w:rsid w:val="00A071D2"/>
    <w:rsid w:val="00A15FCD"/>
    <w:rsid w:val="00A16BE5"/>
    <w:rsid w:val="00A1740E"/>
    <w:rsid w:val="00A24A18"/>
    <w:rsid w:val="00A253BD"/>
    <w:rsid w:val="00A259B1"/>
    <w:rsid w:val="00A261AC"/>
    <w:rsid w:val="00A26B0B"/>
    <w:rsid w:val="00A35F38"/>
    <w:rsid w:val="00A42120"/>
    <w:rsid w:val="00A424C2"/>
    <w:rsid w:val="00A43B17"/>
    <w:rsid w:val="00A506B4"/>
    <w:rsid w:val="00A52745"/>
    <w:rsid w:val="00A57C94"/>
    <w:rsid w:val="00A605FC"/>
    <w:rsid w:val="00A61A5C"/>
    <w:rsid w:val="00A628D7"/>
    <w:rsid w:val="00A679D9"/>
    <w:rsid w:val="00A70492"/>
    <w:rsid w:val="00A708D4"/>
    <w:rsid w:val="00A721C7"/>
    <w:rsid w:val="00A81AEB"/>
    <w:rsid w:val="00A86108"/>
    <w:rsid w:val="00A90C37"/>
    <w:rsid w:val="00A942D3"/>
    <w:rsid w:val="00A9432E"/>
    <w:rsid w:val="00AA5323"/>
    <w:rsid w:val="00AC0CF3"/>
    <w:rsid w:val="00AC10FF"/>
    <w:rsid w:val="00AC1211"/>
    <w:rsid w:val="00AC2A24"/>
    <w:rsid w:val="00AC2B1F"/>
    <w:rsid w:val="00AC6718"/>
    <w:rsid w:val="00AD70FA"/>
    <w:rsid w:val="00AD7F72"/>
    <w:rsid w:val="00AE3367"/>
    <w:rsid w:val="00AE409C"/>
    <w:rsid w:val="00AE4C39"/>
    <w:rsid w:val="00AE6AB5"/>
    <w:rsid w:val="00AE6ED5"/>
    <w:rsid w:val="00AE7169"/>
    <w:rsid w:val="00AF1B2C"/>
    <w:rsid w:val="00AF2767"/>
    <w:rsid w:val="00AF6EBD"/>
    <w:rsid w:val="00B0236C"/>
    <w:rsid w:val="00B03F2D"/>
    <w:rsid w:val="00B05077"/>
    <w:rsid w:val="00B0598A"/>
    <w:rsid w:val="00B115DF"/>
    <w:rsid w:val="00B1175B"/>
    <w:rsid w:val="00B16738"/>
    <w:rsid w:val="00B22684"/>
    <w:rsid w:val="00B22FDC"/>
    <w:rsid w:val="00B244F3"/>
    <w:rsid w:val="00B2672F"/>
    <w:rsid w:val="00B32615"/>
    <w:rsid w:val="00B347CE"/>
    <w:rsid w:val="00B35630"/>
    <w:rsid w:val="00B35CB7"/>
    <w:rsid w:val="00B3764E"/>
    <w:rsid w:val="00B3787E"/>
    <w:rsid w:val="00B40991"/>
    <w:rsid w:val="00B45829"/>
    <w:rsid w:val="00B50AD3"/>
    <w:rsid w:val="00B522B0"/>
    <w:rsid w:val="00B52394"/>
    <w:rsid w:val="00B5494F"/>
    <w:rsid w:val="00B631EB"/>
    <w:rsid w:val="00B65DC0"/>
    <w:rsid w:val="00B72BB9"/>
    <w:rsid w:val="00B72CE4"/>
    <w:rsid w:val="00B76C81"/>
    <w:rsid w:val="00B81EAC"/>
    <w:rsid w:val="00B87881"/>
    <w:rsid w:val="00B92D8F"/>
    <w:rsid w:val="00B9465D"/>
    <w:rsid w:val="00B9576A"/>
    <w:rsid w:val="00BA28EC"/>
    <w:rsid w:val="00BA461A"/>
    <w:rsid w:val="00BA4DDB"/>
    <w:rsid w:val="00BA59D0"/>
    <w:rsid w:val="00BA7D3E"/>
    <w:rsid w:val="00BA7EAA"/>
    <w:rsid w:val="00BB2994"/>
    <w:rsid w:val="00BB4A62"/>
    <w:rsid w:val="00BB7651"/>
    <w:rsid w:val="00BC2578"/>
    <w:rsid w:val="00BC3CE6"/>
    <w:rsid w:val="00BD1B91"/>
    <w:rsid w:val="00BD2A2E"/>
    <w:rsid w:val="00BD67D8"/>
    <w:rsid w:val="00BE07FF"/>
    <w:rsid w:val="00BF069E"/>
    <w:rsid w:val="00BF209C"/>
    <w:rsid w:val="00BF2B6D"/>
    <w:rsid w:val="00BF35EE"/>
    <w:rsid w:val="00BF4D36"/>
    <w:rsid w:val="00BF5A5E"/>
    <w:rsid w:val="00BF6B6D"/>
    <w:rsid w:val="00BF76BC"/>
    <w:rsid w:val="00C01ECC"/>
    <w:rsid w:val="00C02F50"/>
    <w:rsid w:val="00C044DA"/>
    <w:rsid w:val="00C10994"/>
    <w:rsid w:val="00C12344"/>
    <w:rsid w:val="00C12F96"/>
    <w:rsid w:val="00C1414A"/>
    <w:rsid w:val="00C17C2B"/>
    <w:rsid w:val="00C21D26"/>
    <w:rsid w:val="00C238FC"/>
    <w:rsid w:val="00C27608"/>
    <w:rsid w:val="00C311DF"/>
    <w:rsid w:val="00C322A9"/>
    <w:rsid w:val="00C32B95"/>
    <w:rsid w:val="00C34710"/>
    <w:rsid w:val="00C3715F"/>
    <w:rsid w:val="00C40EDE"/>
    <w:rsid w:val="00C41E14"/>
    <w:rsid w:val="00C4247B"/>
    <w:rsid w:val="00C42BD2"/>
    <w:rsid w:val="00C463F0"/>
    <w:rsid w:val="00C51375"/>
    <w:rsid w:val="00C551B3"/>
    <w:rsid w:val="00C623DA"/>
    <w:rsid w:val="00C624AF"/>
    <w:rsid w:val="00C63636"/>
    <w:rsid w:val="00C666FA"/>
    <w:rsid w:val="00C674B3"/>
    <w:rsid w:val="00C701A4"/>
    <w:rsid w:val="00C74862"/>
    <w:rsid w:val="00C80B1B"/>
    <w:rsid w:val="00C82C88"/>
    <w:rsid w:val="00C85643"/>
    <w:rsid w:val="00C90075"/>
    <w:rsid w:val="00C911A3"/>
    <w:rsid w:val="00C914E5"/>
    <w:rsid w:val="00C94ECD"/>
    <w:rsid w:val="00CA0A7B"/>
    <w:rsid w:val="00CA1239"/>
    <w:rsid w:val="00CA1765"/>
    <w:rsid w:val="00CA3C16"/>
    <w:rsid w:val="00CA4D79"/>
    <w:rsid w:val="00CA61E3"/>
    <w:rsid w:val="00CA6AEE"/>
    <w:rsid w:val="00CB1BA3"/>
    <w:rsid w:val="00CB2797"/>
    <w:rsid w:val="00CB5CE7"/>
    <w:rsid w:val="00CC1A9E"/>
    <w:rsid w:val="00CC1F2E"/>
    <w:rsid w:val="00CC5AB8"/>
    <w:rsid w:val="00CC6D73"/>
    <w:rsid w:val="00CD5053"/>
    <w:rsid w:val="00CE1D1A"/>
    <w:rsid w:val="00CE4A27"/>
    <w:rsid w:val="00CE4F8D"/>
    <w:rsid w:val="00CE584A"/>
    <w:rsid w:val="00CE71D3"/>
    <w:rsid w:val="00CE7975"/>
    <w:rsid w:val="00CF1F60"/>
    <w:rsid w:val="00CF22FC"/>
    <w:rsid w:val="00CF2D63"/>
    <w:rsid w:val="00CF5C88"/>
    <w:rsid w:val="00CF6DCF"/>
    <w:rsid w:val="00D00A94"/>
    <w:rsid w:val="00D0151C"/>
    <w:rsid w:val="00D05379"/>
    <w:rsid w:val="00D05B5D"/>
    <w:rsid w:val="00D06FF2"/>
    <w:rsid w:val="00D11C18"/>
    <w:rsid w:val="00D11ED4"/>
    <w:rsid w:val="00D1730F"/>
    <w:rsid w:val="00D248BE"/>
    <w:rsid w:val="00D24ADD"/>
    <w:rsid w:val="00D2584F"/>
    <w:rsid w:val="00D26385"/>
    <w:rsid w:val="00D3016C"/>
    <w:rsid w:val="00D336DB"/>
    <w:rsid w:val="00D34044"/>
    <w:rsid w:val="00D40392"/>
    <w:rsid w:val="00D41BDD"/>
    <w:rsid w:val="00D42332"/>
    <w:rsid w:val="00D447D8"/>
    <w:rsid w:val="00D47350"/>
    <w:rsid w:val="00D47DE5"/>
    <w:rsid w:val="00D54609"/>
    <w:rsid w:val="00D5507E"/>
    <w:rsid w:val="00D5696A"/>
    <w:rsid w:val="00D60BA4"/>
    <w:rsid w:val="00D63CD2"/>
    <w:rsid w:val="00D64333"/>
    <w:rsid w:val="00D644A4"/>
    <w:rsid w:val="00D7249E"/>
    <w:rsid w:val="00D73DAD"/>
    <w:rsid w:val="00D753CE"/>
    <w:rsid w:val="00D7796B"/>
    <w:rsid w:val="00D77984"/>
    <w:rsid w:val="00D90755"/>
    <w:rsid w:val="00D91F00"/>
    <w:rsid w:val="00D92189"/>
    <w:rsid w:val="00D94FF6"/>
    <w:rsid w:val="00D9746B"/>
    <w:rsid w:val="00DA0226"/>
    <w:rsid w:val="00DA32A3"/>
    <w:rsid w:val="00DA65B8"/>
    <w:rsid w:val="00DB297F"/>
    <w:rsid w:val="00DC2436"/>
    <w:rsid w:val="00DC2CC6"/>
    <w:rsid w:val="00DC383D"/>
    <w:rsid w:val="00DD556F"/>
    <w:rsid w:val="00DD5B8E"/>
    <w:rsid w:val="00DD7DA6"/>
    <w:rsid w:val="00DE03F3"/>
    <w:rsid w:val="00DE451C"/>
    <w:rsid w:val="00DE54F1"/>
    <w:rsid w:val="00DF013B"/>
    <w:rsid w:val="00DF1186"/>
    <w:rsid w:val="00DF1E33"/>
    <w:rsid w:val="00DF2C70"/>
    <w:rsid w:val="00DF4467"/>
    <w:rsid w:val="00DF5EFA"/>
    <w:rsid w:val="00E04011"/>
    <w:rsid w:val="00E068BB"/>
    <w:rsid w:val="00E100D5"/>
    <w:rsid w:val="00E13676"/>
    <w:rsid w:val="00E13959"/>
    <w:rsid w:val="00E1714C"/>
    <w:rsid w:val="00E17DAE"/>
    <w:rsid w:val="00E22313"/>
    <w:rsid w:val="00E22D19"/>
    <w:rsid w:val="00E23CE6"/>
    <w:rsid w:val="00E25501"/>
    <w:rsid w:val="00E356C4"/>
    <w:rsid w:val="00E37684"/>
    <w:rsid w:val="00E37B47"/>
    <w:rsid w:val="00E41EA6"/>
    <w:rsid w:val="00E422B6"/>
    <w:rsid w:val="00E425CF"/>
    <w:rsid w:val="00E43076"/>
    <w:rsid w:val="00E43622"/>
    <w:rsid w:val="00E45DAE"/>
    <w:rsid w:val="00E50CF4"/>
    <w:rsid w:val="00E51A6F"/>
    <w:rsid w:val="00E51FD3"/>
    <w:rsid w:val="00E53882"/>
    <w:rsid w:val="00E53C77"/>
    <w:rsid w:val="00E5723C"/>
    <w:rsid w:val="00E574EB"/>
    <w:rsid w:val="00E575CF"/>
    <w:rsid w:val="00E61E58"/>
    <w:rsid w:val="00E6433A"/>
    <w:rsid w:val="00E64882"/>
    <w:rsid w:val="00E6651B"/>
    <w:rsid w:val="00E6683B"/>
    <w:rsid w:val="00E703FE"/>
    <w:rsid w:val="00E70922"/>
    <w:rsid w:val="00E73391"/>
    <w:rsid w:val="00E74397"/>
    <w:rsid w:val="00E76362"/>
    <w:rsid w:val="00E800D6"/>
    <w:rsid w:val="00E82FDF"/>
    <w:rsid w:val="00E84008"/>
    <w:rsid w:val="00E864F0"/>
    <w:rsid w:val="00E870C7"/>
    <w:rsid w:val="00E907C4"/>
    <w:rsid w:val="00E94579"/>
    <w:rsid w:val="00E95856"/>
    <w:rsid w:val="00E9679C"/>
    <w:rsid w:val="00E96A25"/>
    <w:rsid w:val="00E96E62"/>
    <w:rsid w:val="00EA0751"/>
    <w:rsid w:val="00EA2D49"/>
    <w:rsid w:val="00EB1FCB"/>
    <w:rsid w:val="00EB2072"/>
    <w:rsid w:val="00EB2F8A"/>
    <w:rsid w:val="00EB62FC"/>
    <w:rsid w:val="00EB772B"/>
    <w:rsid w:val="00EC1B9C"/>
    <w:rsid w:val="00EC7FE6"/>
    <w:rsid w:val="00ED1C23"/>
    <w:rsid w:val="00ED1FD5"/>
    <w:rsid w:val="00ED70BF"/>
    <w:rsid w:val="00EE44B2"/>
    <w:rsid w:val="00EF2E0E"/>
    <w:rsid w:val="00EF3827"/>
    <w:rsid w:val="00F02E95"/>
    <w:rsid w:val="00F03178"/>
    <w:rsid w:val="00F0475C"/>
    <w:rsid w:val="00F06A04"/>
    <w:rsid w:val="00F11029"/>
    <w:rsid w:val="00F12F15"/>
    <w:rsid w:val="00F17EE7"/>
    <w:rsid w:val="00F20849"/>
    <w:rsid w:val="00F22FCB"/>
    <w:rsid w:val="00F26AB4"/>
    <w:rsid w:val="00F323FD"/>
    <w:rsid w:val="00F35F2F"/>
    <w:rsid w:val="00F40A0C"/>
    <w:rsid w:val="00F41AB4"/>
    <w:rsid w:val="00F4580C"/>
    <w:rsid w:val="00F45A41"/>
    <w:rsid w:val="00F552EB"/>
    <w:rsid w:val="00F64CF5"/>
    <w:rsid w:val="00F66F64"/>
    <w:rsid w:val="00F71F3C"/>
    <w:rsid w:val="00F71F64"/>
    <w:rsid w:val="00F723B9"/>
    <w:rsid w:val="00F73885"/>
    <w:rsid w:val="00F74246"/>
    <w:rsid w:val="00F82411"/>
    <w:rsid w:val="00F84566"/>
    <w:rsid w:val="00F9110C"/>
    <w:rsid w:val="00F9477F"/>
    <w:rsid w:val="00F970F0"/>
    <w:rsid w:val="00F97837"/>
    <w:rsid w:val="00FA2352"/>
    <w:rsid w:val="00FA25C5"/>
    <w:rsid w:val="00FA73ED"/>
    <w:rsid w:val="00FB0480"/>
    <w:rsid w:val="00FB0F43"/>
    <w:rsid w:val="00FB2020"/>
    <w:rsid w:val="00FB341D"/>
    <w:rsid w:val="00FB587D"/>
    <w:rsid w:val="00FB75BB"/>
    <w:rsid w:val="00FC064B"/>
    <w:rsid w:val="00FC12A2"/>
    <w:rsid w:val="00FC225A"/>
    <w:rsid w:val="00FE0E10"/>
    <w:rsid w:val="00FE2425"/>
    <w:rsid w:val="00FF07C8"/>
    <w:rsid w:val="00FF136F"/>
    <w:rsid w:val="00FF1F06"/>
    <w:rsid w:val="00FF2A0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B76F"/>
  <w15:docId w15:val="{CE5429F4-2DE7-4B54-BE2D-1E7E384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0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32675"/>
    <w:pPr>
      <w:keepNext/>
      <w:keepLines/>
      <w:spacing w:before="40" w:line="276" w:lineRule="auto"/>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C08"/>
    <w:pPr>
      <w:spacing w:after="0" w:line="240" w:lineRule="auto"/>
    </w:pPr>
  </w:style>
  <w:style w:type="table" w:styleId="TableGrid">
    <w:name w:val="Table Grid"/>
    <w:basedOn w:val="TableNormal"/>
    <w:uiPriority w:val="59"/>
    <w:rsid w:val="001B3C08"/>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49"/>
    <w:pPr>
      <w:widowControl w:val="0"/>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A65B8"/>
    <w:rPr>
      <w:rFonts w:ascii="Tahoma" w:hAnsi="Tahoma" w:cs="Tahoma"/>
      <w:sz w:val="16"/>
      <w:szCs w:val="16"/>
    </w:rPr>
  </w:style>
  <w:style w:type="character" w:customStyle="1" w:styleId="BalloonTextChar">
    <w:name w:val="Balloon Text Char"/>
    <w:basedOn w:val="DefaultParagraphFont"/>
    <w:link w:val="BalloonText"/>
    <w:uiPriority w:val="99"/>
    <w:semiHidden/>
    <w:rsid w:val="00DA65B8"/>
    <w:rPr>
      <w:rFonts w:ascii="Tahoma" w:eastAsia="Calibri" w:hAnsi="Tahoma" w:cs="Tahoma"/>
      <w:sz w:val="16"/>
      <w:szCs w:val="16"/>
    </w:rPr>
  </w:style>
  <w:style w:type="paragraph" w:customStyle="1" w:styleId="Default">
    <w:name w:val="Default"/>
    <w:rsid w:val="007A42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19DD"/>
    <w:rPr>
      <w:rFonts w:ascii="Times New Roman" w:eastAsiaTheme="minorHAnsi" w:hAnsi="Times New Roman"/>
      <w:sz w:val="24"/>
      <w:szCs w:val="24"/>
      <w:lang w:eastAsia="en-GB"/>
    </w:rPr>
  </w:style>
  <w:style w:type="paragraph" w:styleId="FootnoteText">
    <w:name w:val="footnote text"/>
    <w:basedOn w:val="Normal"/>
    <w:link w:val="FootnoteTextChar"/>
    <w:uiPriority w:val="99"/>
    <w:semiHidden/>
    <w:unhideWhenUsed/>
    <w:rsid w:val="008770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089"/>
    <w:rPr>
      <w:sz w:val="20"/>
      <w:szCs w:val="20"/>
    </w:rPr>
  </w:style>
  <w:style w:type="character" w:styleId="FootnoteReference">
    <w:name w:val="footnote reference"/>
    <w:basedOn w:val="DefaultParagraphFont"/>
    <w:uiPriority w:val="99"/>
    <w:semiHidden/>
    <w:unhideWhenUsed/>
    <w:rsid w:val="00877089"/>
    <w:rPr>
      <w:vertAlign w:val="superscript"/>
    </w:rPr>
  </w:style>
  <w:style w:type="paragraph" w:styleId="CommentText">
    <w:name w:val="annotation text"/>
    <w:basedOn w:val="Normal"/>
    <w:link w:val="CommentTextChar"/>
    <w:uiPriority w:val="99"/>
    <w:unhideWhenUsed/>
    <w:rsid w:val="00861892"/>
    <w:rPr>
      <w:sz w:val="20"/>
      <w:szCs w:val="20"/>
    </w:rPr>
  </w:style>
  <w:style w:type="character" w:customStyle="1" w:styleId="CommentTextChar">
    <w:name w:val="Comment Text Char"/>
    <w:basedOn w:val="DefaultParagraphFont"/>
    <w:link w:val="CommentText"/>
    <w:uiPriority w:val="99"/>
    <w:rsid w:val="0086189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0598A"/>
    <w:rPr>
      <w:sz w:val="16"/>
      <w:szCs w:val="16"/>
    </w:rPr>
  </w:style>
  <w:style w:type="character" w:styleId="Hyperlink">
    <w:name w:val="Hyperlink"/>
    <w:basedOn w:val="DefaultParagraphFont"/>
    <w:uiPriority w:val="99"/>
    <w:semiHidden/>
    <w:unhideWhenUsed/>
    <w:rsid w:val="009805B8"/>
    <w:rPr>
      <w:rFonts w:cs="Times New Roman"/>
      <w:color w:val="0000FF"/>
      <w:u w:val="single"/>
    </w:rPr>
  </w:style>
  <w:style w:type="character" w:customStyle="1" w:styleId="Heading2Char">
    <w:name w:val="Heading 2 Char"/>
    <w:basedOn w:val="DefaultParagraphFont"/>
    <w:link w:val="Heading2"/>
    <w:uiPriority w:val="9"/>
    <w:rsid w:val="00132675"/>
    <w:rPr>
      <w:rFonts w:ascii="Cambria" w:eastAsia="SimSu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066">
      <w:bodyDiv w:val="1"/>
      <w:marLeft w:val="0"/>
      <w:marRight w:val="0"/>
      <w:marTop w:val="0"/>
      <w:marBottom w:val="0"/>
      <w:divBdr>
        <w:top w:val="none" w:sz="0" w:space="0" w:color="auto"/>
        <w:left w:val="none" w:sz="0" w:space="0" w:color="auto"/>
        <w:bottom w:val="none" w:sz="0" w:space="0" w:color="auto"/>
        <w:right w:val="none" w:sz="0" w:space="0" w:color="auto"/>
      </w:divBdr>
    </w:div>
    <w:div w:id="660738395">
      <w:bodyDiv w:val="1"/>
      <w:marLeft w:val="0"/>
      <w:marRight w:val="0"/>
      <w:marTop w:val="0"/>
      <w:marBottom w:val="0"/>
      <w:divBdr>
        <w:top w:val="none" w:sz="0" w:space="0" w:color="auto"/>
        <w:left w:val="none" w:sz="0" w:space="0" w:color="auto"/>
        <w:bottom w:val="none" w:sz="0" w:space="0" w:color="auto"/>
        <w:right w:val="none" w:sz="0" w:space="0" w:color="auto"/>
      </w:divBdr>
    </w:div>
    <w:div w:id="950018708">
      <w:bodyDiv w:val="1"/>
      <w:marLeft w:val="0"/>
      <w:marRight w:val="0"/>
      <w:marTop w:val="0"/>
      <w:marBottom w:val="0"/>
      <w:divBdr>
        <w:top w:val="none" w:sz="0" w:space="0" w:color="auto"/>
        <w:left w:val="none" w:sz="0" w:space="0" w:color="auto"/>
        <w:bottom w:val="none" w:sz="0" w:space="0" w:color="auto"/>
        <w:right w:val="none" w:sz="0" w:space="0" w:color="auto"/>
      </w:divBdr>
    </w:div>
    <w:div w:id="970019462">
      <w:bodyDiv w:val="1"/>
      <w:marLeft w:val="0"/>
      <w:marRight w:val="0"/>
      <w:marTop w:val="0"/>
      <w:marBottom w:val="0"/>
      <w:divBdr>
        <w:top w:val="none" w:sz="0" w:space="0" w:color="auto"/>
        <w:left w:val="none" w:sz="0" w:space="0" w:color="auto"/>
        <w:bottom w:val="none" w:sz="0" w:space="0" w:color="auto"/>
        <w:right w:val="none" w:sz="0" w:space="0" w:color="auto"/>
      </w:divBdr>
    </w:div>
    <w:div w:id="1041128656">
      <w:bodyDiv w:val="1"/>
      <w:marLeft w:val="0"/>
      <w:marRight w:val="0"/>
      <w:marTop w:val="0"/>
      <w:marBottom w:val="0"/>
      <w:divBdr>
        <w:top w:val="none" w:sz="0" w:space="0" w:color="auto"/>
        <w:left w:val="none" w:sz="0" w:space="0" w:color="auto"/>
        <w:bottom w:val="none" w:sz="0" w:space="0" w:color="auto"/>
        <w:right w:val="none" w:sz="0" w:space="0" w:color="auto"/>
      </w:divBdr>
    </w:div>
    <w:div w:id="1268662300">
      <w:bodyDiv w:val="1"/>
      <w:marLeft w:val="0"/>
      <w:marRight w:val="0"/>
      <w:marTop w:val="0"/>
      <w:marBottom w:val="0"/>
      <w:divBdr>
        <w:top w:val="none" w:sz="0" w:space="0" w:color="auto"/>
        <w:left w:val="none" w:sz="0" w:space="0" w:color="auto"/>
        <w:bottom w:val="none" w:sz="0" w:space="0" w:color="auto"/>
        <w:right w:val="none" w:sz="0" w:space="0" w:color="auto"/>
      </w:divBdr>
    </w:div>
    <w:div w:id="130392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re-school-performance.service.gov.uk/schools-by-type?step=default&amp;table=schools&amp;region=all-england&amp;for=16to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08FB-3D04-44E6-A709-F2E8ED38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3563</TotalTime>
  <Pages>8</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379</cp:revision>
  <cp:lastPrinted>2017-09-26T10:51:00Z</cp:lastPrinted>
  <dcterms:created xsi:type="dcterms:W3CDTF">2016-06-27T16:41:00Z</dcterms:created>
  <dcterms:modified xsi:type="dcterms:W3CDTF">2020-03-05T10:21:00Z</dcterms:modified>
</cp:coreProperties>
</file>