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15D29" w14:textId="17A01F2A" w:rsidR="004F4C55" w:rsidRPr="00AE293C" w:rsidRDefault="004F4C55" w:rsidP="00AE293C">
      <w:pPr>
        <w:jc w:val="center"/>
        <w:rPr>
          <w:rFonts w:ascii="Verdana" w:hAnsi="Verdana"/>
        </w:rPr>
      </w:pPr>
      <w:r>
        <w:rPr>
          <w:rFonts w:ascii="Verdana" w:hAnsi="Verdana"/>
          <w:b/>
        </w:rPr>
        <w:t xml:space="preserve">CORPORATION OF </w:t>
      </w:r>
      <w:r w:rsidRPr="00F97EF9">
        <w:rPr>
          <w:rFonts w:ascii="Verdana" w:hAnsi="Verdana"/>
          <w:b/>
        </w:rPr>
        <w:t>SIR GEORGE MONOUX COLLEGE</w:t>
      </w:r>
    </w:p>
    <w:p w14:paraId="38715D2A" w14:textId="77777777" w:rsidR="004F4C55" w:rsidRPr="00F97EF9" w:rsidRDefault="004F4C55" w:rsidP="004F4C55">
      <w:pPr>
        <w:jc w:val="center"/>
        <w:rPr>
          <w:rFonts w:ascii="Verdana" w:hAnsi="Verdana"/>
          <w:b/>
        </w:rPr>
      </w:pPr>
    </w:p>
    <w:p w14:paraId="010842CE" w14:textId="77777777" w:rsidR="005511E8" w:rsidRDefault="004F4C55" w:rsidP="000D4683">
      <w:pPr>
        <w:jc w:val="center"/>
        <w:rPr>
          <w:rFonts w:ascii="Verdana" w:hAnsi="Verdana"/>
          <w:b/>
        </w:rPr>
      </w:pPr>
      <w:r w:rsidRPr="003475F7">
        <w:rPr>
          <w:rFonts w:ascii="Verdana" w:hAnsi="Verdana"/>
          <w:b/>
        </w:rPr>
        <w:t xml:space="preserve">Minutes of the Meeting of the </w:t>
      </w:r>
      <w:r>
        <w:rPr>
          <w:rFonts w:ascii="Verdana" w:hAnsi="Verdana"/>
          <w:b/>
        </w:rPr>
        <w:t>Resources</w:t>
      </w:r>
      <w:r w:rsidRPr="003475F7">
        <w:rPr>
          <w:rFonts w:ascii="Verdana" w:hAnsi="Verdana"/>
          <w:b/>
        </w:rPr>
        <w:t xml:space="preserve"> Committee held on </w:t>
      </w:r>
    </w:p>
    <w:p w14:paraId="38715D2B" w14:textId="3EA5FDD9" w:rsidR="004F4C55" w:rsidRDefault="00FB3FEE" w:rsidP="000D4683">
      <w:pPr>
        <w:jc w:val="center"/>
        <w:rPr>
          <w:rFonts w:ascii="Verdana" w:hAnsi="Verdana"/>
          <w:b/>
        </w:rPr>
      </w:pPr>
      <w:r>
        <w:rPr>
          <w:rFonts w:ascii="Verdana" w:hAnsi="Verdana"/>
          <w:b/>
        </w:rPr>
        <w:t>6 February</w:t>
      </w:r>
      <w:r w:rsidR="005D0C11">
        <w:rPr>
          <w:rFonts w:ascii="Verdana" w:hAnsi="Verdana"/>
          <w:b/>
        </w:rPr>
        <w:t xml:space="preserve"> 20</w:t>
      </w:r>
      <w:r>
        <w:rPr>
          <w:rFonts w:ascii="Verdana" w:hAnsi="Verdana"/>
          <w:b/>
        </w:rPr>
        <w:t>20</w:t>
      </w:r>
    </w:p>
    <w:p w14:paraId="38715D2C" w14:textId="77777777" w:rsidR="0022757D" w:rsidRDefault="0022757D" w:rsidP="004F4C55">
      <w:pPr>
        <w:jc w:val="center"/>
        <w:rPr>
          <w:rFonts w:ascii="Verdana" w:hAnsi="Verdana"/>
          <w:b/>
        </w:rPr>
      </w:pPr>
    </w:p>
    <w:tbl>
      <w:tblPr>
        <w:tblW w:w="9322" w:type="dxa"/>
        <w:tblLook w:val="04A0" w:firstRow="1" w:lastRow="0" w:firstColumn="1" w:lastColumn="0" w:noHBand="0" w:noVBand="1"/>
      </w:tblPr>
      <w:tblGrid>
        <w:gridCol w:w="2376"/>
        <w:gridCol w:w="6946"/>
      </w:tblGrid>
      <w:tr w:rsidR="004F4C55" w:rsidRPr="003D3002" w14:paraId="38715D31" w14:textId="77777777" w:rsidTr="00303773">
        <w:tc>
          <w:tcPr>
            <w:tcW w:w="2376" w:type="dxa"/>
          </w:tcPr>
          <w:p w14:paraId="38715D2D" w14:textId="77777777" w:rsidR="004F4C55" w:rsidRPr="00485D81" w:rsidRDefault="004F4C55" w:rsidP="00721161">
            <w:pPr>
              <w:rPr>
                <w:rFonts w:ascii="Verdana" w:hAnsi="Verdana"/>
                <w:b/>
              </w:rPr>
            </w:pPr>
            <w:r w:rsidRPr="00485D81">
              <w:rPr>
                <w:rFonts w:ascii="Verdana" w:hAnsi="Verdana"/>
                <w:b/>
              </w:rPr>
              <w:t>Present</w:t>
            </w:r>
          </w:p>
          <w:p w14:paraId="38715D2E" w14:textId="77777777" w:rsidR="004F4C55" w:rsidRPr="00485D81" w:rsidRDefault="004F4C55" w:rsidP="00721161">
            <w:pPr>
              <w:rPr>
                <w:rFonts w:ascii="Verdana" w:hAnsi="Verdana"/>
                <w:b/>
              </w:rPr>
            </w:pPr>
          </w:p>
        </w:tc>
        <w:tc>
          <w:tcPr>
            <w:tcW w:w="6946" w:type="dxa"/>
          </w:tcPr>
          <w:p w14:paraId="1FA561A4" w14:textId="1557CB00" w:rsidR="004F4C55" w:rsidRDefault="004F4C55" w:rsidP="00260D64">
            <w:pPr>
              <w:rPr>
                <w:rFonts w:ascii="Verdana" w:hAnsi="Verdana"/>
              </w:rPr>
            </w:pPr>
            <w:r w:rsidRPr="00485D81">
              <w:rPr>
                <w:rFonts w:ascii="Verdana" w:hAnsi="Verdana"/>
              </w:rPr>
              <w:t>Jon</w:t>
            </w:r>
            <w:r w:rsidR="003377CD" w:rsidRPr="00485D81">
              <w:rPr>
                <w:rFonts w:ascii="Verdana" w:hAnsi="Verdana"/>
              </w:rPr>
              <w:t xml:space="preserve">athan Bush (Chair), </w:t>
            </w:r>
            <w:r w:rsidR="00485D81" w:rsidRPr="00485D81">
              <w:rPr>
                <w:rFonts w:ascii="Verdana" w:hAnsi="Verdana"/>
              </w:rPr>
              <w:t xml:space="preserve">Jagdev Kenth, </w:t>
            </w:r>
            <w:r w:rsidR="00FF4C1A">
              <w:rPr>
                <w:rFonts w:ascii="Verdana" w:hAnsi="Verdana"/>
              </w:rPr>
              <w:t xml:space="preserve">Nazia Shah, David </w:t>
            </w:r>
            <w:proofErr w:type="spellStart"/>
            <w:r w:rsidR="00FF4C1A">
              <w:rPr>
                <w:rFonts w:ascii="Verdana" w:hAnsi="Verdana"/>
              </w:rPr>
              <w:t>Vasse</w:t>
            </w:r>
            <w:proofErr w:type="spellEnd"/>
            <w:r w:rsidR="00FF4C1A">
              <w:rPr>
                <w:rFonts w:ascii="Verdana" w:hAnsi="Verdana"/>
              </w:rPr>
              <w:t xml:space="preserve">, Brian Westbury, </w:t>
            </w:r>
            <w:r w:rsidR="00485D81" w:rsidRPr="00485D81">
              <w:rPr>
                <w:rFonts w:ascii="Verdana" w:hAnsi="Verdana"/>
              </w:rPr>
              <w:t>Sara Whittaker</w:t>
            </w:r>
            <w:r w:rsidR="00260D64">
              <w:rPr>
                <w:rFonts w:ascii="Verdana" w:hAnsi="Verdana"/>
              </w:rPr>
              <w:t>.</w:t>
            </w:r>
          </w:p>
          <w:p w14:paraId="38715D30" w14:textId="5EB34D32" w:rsidR="00E1189F" w:rsidRPr="00485D81" w:rsidRDefault="00E1189F" w:rsidP="00260D64">
            <w:pPr>
              <w:rPr>
                <w:rFonts w:ascii="Verdana" w:hAnsi="Verdana"/>
              </w:rPr>
            </w:pPr>
          </w:p>
        </w:tc>
      </w:tr>
      <w:tr w:rsidR="004F4C55" w:rsidRPr="003D3002" w14:paraId="38715D38" w14:textId="77777777" w:rsidTr="00303773">
        <w:tc>
          <w:tcPr>
            <w:tcW w:w="2376" w:type="dxa"/>
          </w:tcPr>
          <w:p w14:paraId="38715D36" w14:textId="3B025867" w:rsidR="004F4C55" w:rsidRPr="003D3002" w:rsidRDefault="00585941" w:rsidP="00721161">
            <w:pPr>
              <w:rPr>
                <w:rFonts w:ascii="Verdana" w:hAnsi="Verdana"/>
                <w:b/>
              </w:rPr>
            </w:pPr>
            <w:r>
              <w:rPr>
                <w:rFonts w:ascii="Verdana" w:hAnsi="Verdana"/>
                <w:b/>
              </w:rPr>
              <w:t>In Attendance</w:t>
            </w:r>
          </w:p>
        </w:tc>
        <w:tc>
          <w:tcPr>
            <w:tcW w:w="6946" w:type="dxa"/>
          </w:tcPr>
          <w:p w14:paraId="38715D37" w14:textId="57718823" w:rsidR="004F4C55" w:rsidRPr="003D3002" w:rsidRDefault="00FF4C1A" w:rsidP="00E95EA4">
            <w:pPr>
              <w:rPr>
                <w:rFonts w:ascii="Verdana" w:hAnsi="Verdana"/>
              </w:rPr>
            </w:pPr>
            <w:r>
              <w:rPr>
                <w:rFonts w:ascii="Verdana" w:hAnsi="Verdana"/>
              </w:rPr>
              <w:t xml:space="preserve">David Ball (Vice-Principal: Corporate Services), </w:t>
            </w:r>
            <w:r w:rsidR="00585941" w:rsidRPr="003D3002">
              <w:rPr>
                <w:rFonts w:ascii="Verdana" w:hAnsi="Verdana"/>
              </w:rPr>
              <w:t>Robert Smith (Clerk to the Corporation)</w:t>
            </w:r>
            <w:r w:rsidR="00585941">
              <w:rPr>
                <w:rFonts w:ascii="Verdana" w:hAnsi="Verdana"/>
              </w:rPr>
              <w:t>.</w:t>
            </w:r>
          </w:p>
        </w:tc>
      </w:tr>
    </w:tbl>
    <w:p w14:paraId="38715D39" w14:textId="77777777" w:rsidR="004F4C55" w:rsidRPr="00F97EF9" w:rsidRDefault="004F4C55" w:rsidP="004F4C55">
      <w:pPr>
        <w:rPr>
          <w:rFonts w:ascii="Verdana" w:hAnsi="Verdana"/>
          <w:b/>
        </w:rPr>
      </w:pPr>
    </w:p>
    <w:tbl>
      <w:tblPr>
        <w:tblW w:w="9322" w:type="dxa"/>
        <w:tblLook w:val="04A0" w:firstRow="1" w:lastRow="0" w:firstColumn="1" w:lastColumn="0" w:noHBand="0" w:noVBand="1"/>
      </w:tblPr>
      <w:tblGrid>
        <w:gridCol w:w="534"/>
        <w:gridCol w:w="8788"/>
      </w:tblGrid>
      <w:tr w:rsidR="004F4C55" w:rsidRPr="00F97EF9" w14:paraId="38715D41" w14:textId="77777777" w:rsidTr="00303773">
        <w:tc>
          <w:tcPr>
            <w:tcW w:w="534" w:type="dxa"/>
          </w:tcPr>
          <w:p w14:paraId="38715D3A" w14:textId="77777777" w:rsidR="004F4C55" w:rsidRPr="00580B68" w:rsidRDefault="004F4C55" w:rsidP="00721161">
            <w:pPr>
              <w:rPr>
                <w:rFonts w:ascii="Verdana" w:hAnsi="Verdana"/>
                <w:b/>
              </w:rPr>
            </w:pPr>
            <w:r w:rsidRPr="00580B68">
              <w:rPr>
                <w:rFonts w:ascii="Verdana" w:hAnsi="Verdana"/>
                <w:b/>
              </w:rPr>
              <w:t>1</w:t>
            </w:r>
          </w:p>
        </w:tc>
        <w:tc>
          <w:tcPr>
            <w:tcW w:w="8788" w:type="dxa"/>
          </w:tcPr>
          <w:p w14:paraId="38715D3B" w14:textId="02547F9C" w:rsidR="004F4C55" w:rsidRDefault="004F4C55" w:rsidP="00721161">
            <w:pPr>
              <w:rPr>
                <w:rFonts w:ascii="Verdana" w:hAnsi="Verdana"/>
                <w:b/>
              </w:rPr>
            </w:pPr>
            <w:r w:rsidRPr="00F97EF9">
              <w:rPr>
                <w:rFonts w:ascii="Verdana" w:hAnsi="Verdana"/>
                <w:b/>
              </w:rPr>
              <w:t>Apologies for Absence</w:t>
            </w:r>
            <w:r>
              <w:rPr>
                <w:rFonts w:ascii="Verdana" w:hAnsi="Verdana"/>
                <w:b/>
              </w:rPr>
              <w:t xml:space="preserve"> and Quoracy</w:t>
            </w:r>
          </w:p>
          <w:p w14:paraId="38715D3C" w14:textId="77777777" w:rsidR="004F4C55" w:rsidRDefault="004F4C55" w:rsidP="00721161">
            <w:pPr>
              <w:rPr>
                <w:rFonts w:ascii="Verdana" w:hAnsi="Verdana"/>
                <w:b/>
              </w:rPr>
            </w:pPr>
          </w:p>
          <w:p w14:paraId="38715D3D" w14:textId="02ACE4BE" w:rsidR="003D45B8" w:rsidRDefault="00485D81" w:rsidP="004F4C55">
            <w:pPr>
              <w:rPr>
                <w:rFonts w:ascii="Verdana" w:hAnsi="Verdana"/>
              </w:rPr>
            </w:pPr>
            <w:r>
              <w:rPr>
                <w:rFonts w:ascii="Verdana" w:hAnsi="Verdana"/>
              </w:rPr>
              <w:t>A</w:t>
            </w:r>
            <w:r w:rsidR="004F4C55">
              <w:rPr>
                <w:rFonts w:ascii="Verdana" w:hAnsi="Verdana"/>
              </w:rPr>
              <w:t xml:space="preserve">pologies had been received from the following </w:t>
            </w:r>
            <w:r>
              <w:rPr>
                <w:rFonts w:ascii="Verdana" w:hAnsi="Verdana"/>
              </w:rPr>
              <w:t xml:space="preserve">external </w:t>
            </w:r>
            <w:r w:rsidR="004F4C55">
              <w:rPr>
                <w:rFonts w:ascii="Verdana" w:hAnsi="Verdana"/>
              </w:rPr>
              <w:t xml:space="preserve">member of the </w:t>
            </w:r>
            <w:r>
              <w:rPr>
                <w:rFonts w:ascii="Verdana" w:hAnsi="Verdana"/>
              </w:rPr>
              <w:t>Committee</w:t>
            </w:r>
            <w:r w:rsidR="004F4C55">
              <w:rPr>
                <w:rFonts w:ascii="Verdana" w:hAnsi="Verdana"/>
              </w:rPr>
              <w:t>:</w:t>
            </w:r>
            <w:r w:rsidR="00FB3FEE">
              <w:rPr>
                <w:rFonts w:ascii="Verdana" w:hAnsi="Verdana"/>
              </w:rPr>
              <w:t xml:space="preserve"> Ian Clay</w:t>
            </w:r>
          </w:p>
          <w:p w14:paraId="704B32FA" w14:textId="0FEF976F" w:rsidR="00485D81" w:rsidRDefault="00485D81" w:rsidP="004F4C55">
            <w:pPr>
              <w:rPr>
                <w:rFonts w:ascii="Verdana" w:hAnsi="Verdana"/>
              </w:rPr>
            </w:pPr>
          </w:p>
          <w:p w14:paraId="52C9FB58" w14:textId="365CF5C4" w:rsidR="002D189E" w:rsidRDefault="002D189E" w:rsidP="004F4C55">
            <w:pPr>
              <w:rPr>
                <w:rFonts w:ascii="Verdana" w:hAnsi="Verdana"/>
              </w:rPr>
            </w:pPr>
            <w:r>
              <w:rPr>
                <w:rFonts w:ascii="Verdana" w:hAnsi="Verdana"/>
              </w:rPr>
              <w:t>The meeting was quorate.</w:t>
            </w:r>
          </w:p>
          <w:p w14:paraId="38715D40" w14:textId="0D43803B" w:rsidR="004F4C55" w:rsidRPr="00F97EF9" w:rsidRDefault="004F4C55" w:rsidP="00173C78">
            <w:pPr>
              <w:rPr>
                <w:rFonts w:ascii="Verdana" w:hAnsi="Verdana"/>
              </w:rPr>
            </w:pPr>
          </w:p>
        </w:tc>
      </w:tr>
      <w:tr w:rsidR="004F4C55" w:rsidRPr="00F97EF9" w14:paraId="38715D47" w14:textId="77777777" w:rsidTr="00303773">
        <w:tc>
          <w:tcPr>
            <w:tcW w:w="534" w:type="dxa"/>
          </w:tcPr>
          <w:p w14:paraId="38715D42" w14:textId="77777777" w:rsidR="004F4C55" w:rsidRPr="00580B68" w:rsidRDefault="004F4C55" w:rsidP="00721161">
            <w:pPr>
              <w:rPr>
                <w:rFonts w:ascii="Verdana" w:hAnsi="Verdana"/>
                <w:b/>
              </w:rPr>
            </w:pPr>
            <w:r w:rsidRPr="00580B68">
              <w:rPr>
                <w:rFonts w:ascii="Verdana" w:hAnsi="Verdana"/>
                <w:b/>
              </w:rPr>
              <w:t>2</w:t>
            </w:r>
          </w:p>
        </w:tc>
        <w:tc>
          <w:tcPr>
            <w:tcW w:w="8788" w:type="dxa"/>
          </w:tcPr>
          <w:p w14:paraId="38715D43" w14:textId="77777777" w:rsidR="004F4C55" w:rsidRPr="00F97EF9" w:rsidRDefault="004F4C55" w:rsidP="00721161">
            <w:pPr>
              <w:rPr>
                <w:rFonts w:ascii="Verdana" w:hAnsi="Verdana"/>
                <w:b/>
              </w:rPr>
            </w:pPr>
            <w:r w:rsidRPr="00F97EF9">
              <w:rPr>
                <w:rFonts w:ascii="Verdana" w:hAnsi="Verdana"/>
                <w:b/>
              </w:rPr>
              <w:t>Declarations of Interest</w:t>
            </w:r>
          </w:p>
          <w:p w14:paraId="38715D44" w14:textId="77777777" w:rsidR="004F4C55" w:rsidRPr="00F97EF9" w:rsidRDefault="004F4C55" w:rsidP="00721161">
            <w:pPr>
              <w:rPr>
                <w:rFonts w:ascii="Verdana" w:hAnsi="Verdana"/>
              </w:rPr>
            </w:pPr>
          </w:p>
          <w:p w14:paraId="38715D45" w14:textId="77777777" w:rsidR="004F4C55" w:rsidRPr="00580B68" w:rsidRDefault="004F4C55" w:rsidP="00721161">
            <w:pPr>
              <w:rPr>
                <w:rFonts w:ascii="Verdana" w:hAnsi="Verdana"/>
              </w:rPr>
            </w:pPr>
            <w:r>
              <w:rPr>
                <w:rFonts w:ascii="Verdana" w:hAnsi="Verdana"/>
              </w:rPr>
              <w:t>None.</w:t>
            </w:r>
          </w:p>
          <w:p w14:paraId="38715D46" w14:textId="77777777" w:rsidR="004F4C55" w:rsidRPr="00F97EF9" w:rsidRDefault="004F4C55" w:rsidP="00721161">
            <w:pPr>
              <w:rPr>
                <w:rFonts w:ascii="Verdana" w:hAnsi="Verdana"/>
              </w:rPr>
            </w:pPr>
          </w:p>
        </w:tc>
      </w:tr>
      <w:tr w:rsidR="004F4C55" w:rsidRPr="00F97EF9" w14:paraId="38715D4D" w14:textId="77777777" w:rsidTr="00303773">
        <w:tc>
          <w:tcPr>
            <w:tcW w:w="534" w:type="dxa"/>
          </w:tcPr>
          <w:p w14:paraId="38715D48" w14:textId="77777777" w:rsidR="004F4C55" w:rsidRPr="00580B68" w:rsidRDefault="004F4C55" w:rsidP="00721161">
            <w:pPr>
              <w:rPr>
                <w:rFonts w:ascii="Verdana" w:hAnsi="Verdana"/>
                <w:b/>
              </w:rPr>
            </w:pPr>
            <w:r>
              <w:rPr>
                <w:rFonts w:ascii="Verdana" w:hAnsi="Verdana"/>
                <w:b/>
              </w:rPr>
              <w:t>3</w:t>
            </w:r>
          </w:p>
        </w:tc>
        <w:tc>
          <w:tcPr>
            <w:tcW w:w="8788" w:type="dxa"/>
          </w:tcPr>
          <w:p w14:paraId="38715D49" w14:textId="7147BFC9" w:rsidR="004F4C55" w:rsidRPr="00F97EF9" w:rsidRDefault="004F4C55" w:rsidP="00721161">
            <w:pPr>
              <w:rPr>
                <w:rFonts w:ascii="Verdana" w:hAnsi="Verdana"/>
                <w:b/>
              </w:rPr>
            </w:pPr>
            <w:r w:rsidRPr="00F97EF9">
              <w:rPr>
                <w:rFonts w:ascii="Verdana" w:hAnsi="Verdana"/>
                <w:b/>
              </w:rPr>
              <w:t>Minutes of the Previous Meeting</w:t>
            </w:r>
            <w:r w:rsidRPr="00F97EF9">
              <w:rPr>
                <w:rFonts w:ascii="Verdana" w:hAnsi="Verdana"/>
              </w:rPr>
              <w:t xml:space="preserve"> </w:t>
            </w:r>
            <w:r w:rsidRPr="00F97EF9">
              <w:rPr>
                <w:rFonts w:ascii="Verdana" w:hAnsi="Verdana"/>
                <w:b/>
              </w:rPr>
              <w:t>(</w:t>
            </w:r>
            <w:r w:rsidR="00181A4F">
              <w:rPr>
                <w:rFonts w:ascii="Verdana" w:hAnsi="Verdana"/>
                <w:b/>
              </w:rPr>
              <w:t>26 November 2019</w:t>
            </w:r>
            <w:r w:rsidRPr="00F97EF9">
              <w:rPr>
                <w:rFonts w:ascii="Verdana" w:hAnsi="Verdana"/>
                <w:b/>
              </w:rPr>
              <w:t>)</w:t>
            </w:r>
          </w:p>
          <w:p w14:paraId="38715D4A" w14:textId="77777777" w:rsidR="004F4C55" w:rsidRDefault="004F4C55" w:rsidP="00721161">
            <w:pPr>
              <w:rPr>
                <w:rFonts w:ascii="Verdana" w:hAnsi="Verdana"/>
              </w:rPr>
            </w:pPr>
          </w:p>
          <w:p w14:paraId="57A72569" w14:textId="77777777" w:rsidR="00B75056" w:rsidRPr="00CA1B35" w:rsidRDefault="00B75056" w:rsidP="00B75056">
            <w:pPr>
              <w:rPr>
                <w:rFonts w:ascii="Verdana" w:hAnsi="Verdana"/>
              </w:rPr>
            </w:pPr>
            <w:r>
              <w:rPr>
                <w:rFonts w:ascii="Verdana" w:hAnsi="Verdana"/>
              </w:rPr>
              <w:t>It was</w:t>
            </w:r>
            <w:r w:rsidRPr="00CA1B35">
              <w:rPr>
                <w:rFonts w:ascii="Verdana" w:hAnsi="Verdana"/>
              </w:rPr>
              <w:t xml:space="preserve"> note</w:t>
            </w:r>
            <w:r>
              <w:rPr>
                <w:rFonts w:ascii="Verdana" w:hAnsi="Verdana"/>
              </w:rPr>
              <w:t>d that the draft minutes had been approved</w:t>
            </w:r>
            <w:r w:rsidRPr="00CA1B35">
              <w:rPr>
                <w:rFonts w:ascii="Verdana" w:hAnsi="Verdana"/>
              </w:rPr>
              <w:t xml:space="preserve"> by the Chair of the Co</w:t>
            </w:r>
            <w:r>
              <w:rPr>
                <w:rFonts w:ascii="Verdana" w:hAnsi="Verdana"/>
              </w:rPr>
              <w:t>mmittee</w:t>
            </w:r>
            <w:r w:rsidRPr="00CA1B35">
              <w:rPr>
                <w:rFonts w:ascii="Verdana" w:hAnsi="Verdana"/>
              </w:rPr>
              <w:t xml:space="preserve"> for circulation.</w:t>
            </w:r>
          </w:p>
          <w:p w14:paraId="42531140" w14:textId="77777777" w:rsidR="00B75056" w:rsidRDefault="00B75056" w:rsidP="00B75056">
            <w:pPr>
              <w:pStyle w:val="NoSpacing"/>
              <w:rPr>
                <w:rFonts w:ascii="Verdana" w:hAnsi="Verdana"/>
              </w:rPr>
            </w:pPr>
          </w:p>
          <w:p w14:paraId="07C99181" w14:textId="77777777" w:rsidR="00B75056" w:rsidRDefault="00B75056" w:rsidP="00B75056">
            <w:pPr>
              <w:pStyle w:val="NoSpacing"/>
              <w:rPr>
                <w:rFonts w:ascii="Verdana" w:hAnsi="Verdana"/>
              </w:rPr>
            </w:pPr>
            <w:r w:rsidRPr="008D40C1">
              <w:rPr>
                <w:rFonts w:ascii="Verdana" w:hAnsi="Verdana"/>
              </w:rPr>
              <w:t xml:space="preserve">The minutes were approved as a correct record of the business transacted, and </w:t>
            </w:r>
            <w:r w:rsidRPr="00B152B1">
              <w:rPr>
                <w:rFonts w:ascii="Verdana" w:hAnsi="Verdana"/>
                <w:i/>
              </w:rPr>
              <w:t>prima facie</w:t>
            </w:r>
            <w:r w:rsidRPr="008D40C1">
              <w:rPr>
                <w:rFonts w:ascii="Verdana" w:hAnsi="Verdana"/>
              </w:rPr>
              <w:t xml:space="preserve"> evidence of the proceedings to which they relate.</w:t>
            </w:r>
          </w:p>
          <w:p w14:paraId="38715D4C" w14:textId="77777777" w:rsidR="004F4C55" w:rsidRPr="00F97EF9" w:rsidRDefault="004F4C55" w:rsidP="00721161">
            <w:pPr>
              <w:rPr>
                <w:rFonts w:ascii="Verdana" w:hAnsi="Verdana"/>
              </w:rPr>
            </w:pPr>
          </w:p>
        </w:tc>
      </w:tr>
      <w:tr w:rsidR="004F4C55" w:rsidRPr="00F97EF9" w14:paraId="38715D52" w14:textId="77777777" w:rsidTr="00303773">
        <w:tc>
          <w:tcPr>
            <w:tcW w:w="534" w:type="dxa"/>
          </w:tcPr>
          <w:p w14:paraId="38715D4E" w14:textId="77777777" w:rsidR="004F4C55" w:rsidRPr="00580B68" w:rsidRDefault="004F4C55" w:rsidP="00721161">
            <w:pPr>
              <w:rPr>
                <w:rFonts w:ascii="Verdana" w:hAnsi="Verdana"/>
                <w:b/>
              </w:rPr>
            </w:pPr>
            <w:r>
              <w:rPr>
                <w:rFonts w:ascii="Verdana" w:hAnsi="Verdana"/>
                <w:b/>
              </w:rPr>
              <w:t>4</w:t>
            </w:r>
          </w:p>
        </w:tc>
        <w:tc>
          <w:tcPr>
            <w:tcW w:w="8788" w:type="dxa"/>
          </w:tcPr>
          <w:p w14:paraId="38715D4F" w14:textId="7D3EF068" w:rsidR="004F4C55" w:rsidRPr="00F97EF9" w:rsidRDefault="004F4C55" w:rsidP="00721161">
            <w:pPr>
              <w:rPr>
                <w:rFonts w:ascii="Verdana" w:hAnsi="Verdana"/>
                <w:b/>
              </w:rPr>
            </w:pPr>
            <w:r w:rsidRPr="00F97EF9">
              <w:rPr>
                <w:rFonts w:ascii="Verdana" w:hAnsi="Verdana"/>
                <w:b/>
              </w:rPr>
              <w:t>Matters Arising from the Minutes</w:t>
            </w:r>
            <w:r w:rsidR="005D0C11">
              <w:rPr>
                <w:rFonts w:ascii="Verdana" w:hAnsi="Verdana"/>
                <w:b/>
              </w:rPr>
              <w:t xml:space="preserve"> </w:t>
            </w:r>
            <w:r w:rsidR="005D0C11" w:rsidRPr="00F97EF9">
              <w:rPr>
                <w:rFonts w:ascii="Verdana" w:hAnsi="Verdana"/>
                <w:b/>
              </w:rPr>
              <w:t>(</w:t>
            </w:r>
            <w:r w:rsidR="00181A4F">
              <w:rPr>
                <w:rFonts w:ascii="Verdana" w:hAnsi="Verdana"/>
                <w:b/>
              </w:rPr>
              <w:t>26 November 2019</w:t>
            </w:r>
            <w:r w:rsidR="005D0C11" w:rsidRPr="00F97EF9">
              <w:rPr>
                <w:rFonts w:ascii="Verdana" w:hAnsi="Verdana"/>
                <w:b/>
              </w:rPr>
              <w:t>)</w:t>
            </w:r>
          </w:p>
          <w:p w14:paraId="38715D50" w14:textId="77777777" w:rsidR="004F4C55" w:rsidRPr="00F97EF9" w:rsidRDefault="004F4C55" w:rsidP="00721161">
            <w:pPr>
              <w:rPr>
                <w:rFonts w:ascii="Verdana" w:hAnsi="Verdana"/>
              </w:rPr>
            </w:pPr>
          </w:p>
          <w:p w14:paraId="1AD3F3E3" w14:textId="581600E4" w:rsidR="0020744E" w:rsidRDefault="00AA02CF" w:rsidP="00A1087A">
            <w:pPr>
              <w:rPr>
                <w:rFonts w:ascii="Verdana" w:hAnsi="Verdana"/>
              </w:rPr>
            </w:pPr>
            <w:r>
              <w:rPr>
                <w:rFonts w:ascii="Verdana" w:hAnsi="Verdana"/>
              </w:rPr>
              <w:t>None.</w:t>
            </w:r>
          </w:p>
          <w:p w14:paraId="38715D51" w14:textId="65A8E131" w:rsidR="00734ABA" w:rsidRPr="00F97EF9" w:rsidRDefault="00734ABA" w:rsidP="00A1087A">
            <w:pPr>
              <w:rPr>
                <w:rFonts w:ascii="Verdana" w:hAnsi="Verdana"/>
              </w:rPr>
            </w:pPr>
          </w:p>
        </w:tc>
      </w:tr>
      <w:tr w:rsidR="00485D81" w:rsidRPr="00F97EF9" w14:paraId="2E5DB226" w14:textId="77777777" w:rsidTr="00303773">
        <w:tc>
          <w:tcPr>
            <w:tcW w:w="534" w:type="dxa"/>
          </w:tcPr>
          <w:p w14:paraId="684B0AB6" w14:textId="5D43181A" w:rsidR="00485D81" w:rsidRDefault="00B90F6E" w:rsidP="00734ABA">
            <w:pPr>
              <w:rPr>
                <w:rFonts w:ascii="Verdana" w:hAnsi="Verdana"/>
                <w:b/>
              </w:rPr>
            </w:pPr>
            <w:r>
              <w:rPr>
                <w:rFonts w:ascii="Verdana" w:hAnsi="Verdana"/>
                <w:b/>
              </w:rPr>
              <w:t>5</w:t>
            </w:r>
          </w:p>
        </w:tc>
        <w:tc>
          <w:tcPr>
            <w:tcW w:w="8788" w:type="dxa"/>
          </w:tcPr>
          <w:p w14:paraId="01A96789" w14:textId="77777777" w:rsidR="00485D81" w:rsidRDefault="00485D81" w:rsidP="00485D81">
            <w:pPr>
              <w:rPr>
                <w:rFonts w:ascii="Verdana" w:hAnsi="Verdana"/>
                <w:b/>
              </w:rPr>
            </w:pPr>
            <w:r>
              <w:rPr>
                <w:rFonts w:ascii="Verdana" w:hAnsi="Verdana"/>
                <w:b/>
              </w:rPr>
              <w:t>Risk Management Report</w:t>
            </w:r>
          </w:p>
          <w:p w14:paraId="19F81318" w14:textId="77777777" w:rsidR="00485D81" w:rsidRDefault="00485D81" w:rsidP="00F1530F">
            <w:pPr>
              <w:pStyle w:val="NoSpacing"/>
              <w:rPr>
                <w:rFonts w:ascii="Verdana" w:hAnsi="Verdana"/>
                <w:b/>
              </w:rPr>
            </w:pPr>
          </w:p>
          <w:p w14:paraId="313F5A57" w14:textId="186A3EC6" w:rsidR="00485D81" w:rsidRDefault="00485D81" w:rsidP="00485D81">
            <w:pPr>
              <w:rPr>
                <w:rFonts w:ascii="Verdana" w:hAnsi="Verdana"/>
                <w:bCs/>
              </w:rPr>
            </w:pPr>
            <w:r>
              <w:rPr>
                <w:rFonts w:ascii="Verdana" w:hAnsi="Verdana"/>
                <w:bCs/>
              </w:rPr>
              <w:t>It was noted</w:t>
            </w:r>
            <w:r w:rsidRPr="00B57A06">
              <w:rPr>
                <w:rFonts w:ascii="Verdana" w:hAnsi="Verdana"/>
                <w:bCs/>
              </w:rPr>
              <w:t xml:space="preserve"> </w:t>
            </w:r>
            <w:r>
              <w:rPr>
                <w:rFonts w:ascii="Verdana" w:hAnsi="Verdana"/>
                <w:bCs/>
              </w:rPr>
              <w:t>that the Board level</w:t>
            </w:r>
            <w:r w:rsidRPr="00B57A06">
              <w:rPr>
                <w:rFonts w:ascii="Verdana" w:hAnsi="Verdana"/>
                <w:bCs/>
              </w:rPr>
              <w:t xml:space="preserve"> risk falling within the remit of the Committee</w:t>
            </w:r>
            <w:r>
              <w:rPr>
                <w:rFonts w:ascii="Verdana" w:hAnsi="Verdana"/>
                <w:bCs/>
              </w:rPr>
              <w:t xml:space="preserve"> is considered under Agend</w:t>
            </w:r>
            <w:r w:rsidR="00B90F6E">
              <w:rPr>
                <w:rFonts w:ascii="Verdana" w:hAnsi="Verdana"/>
                <w:bCs/>
              </w:rPr>
              <w:t xml:space="preserve">a 6 </w:t>
            </w:r>
            <w:r w:rsidR="00D877EE">
              <w:rPr>
                <w:rFonts w:ascii="Verdana" w:hAnsi="Verdana"/>
                <w:bCs/>
              </w:rPr>
              <w:t>to</w:t>
            </w:r>
            <w:r w:rsidR="00B90F6E">
              <w:rPr>
                <w:rFonts w:ascii="Verdana" w:hAnsi="Verdana"/>
                <w:bCs/>
              </w:rPr>
              <w:t xml:space="preserve"> </w:t>
            </w:r>
            <w:r w:rsidR="00D877EE">
              <w:rPr>
                <w:rFonts w:ascii="Verdana" w:hAnsi="Verdana"/>
                <w:bCs/>
              </w:rPr>
              <w:t>8</w:t>
            </w:r>
            <w:r>
              <w:rPr>
                <w:rFonts w:ascii="Verdana" w:hAnsi="Verdana"/>
                <w:bCs/>
              </w:rPr>
              <w:t xml:space="preserve"> below</w:t>
            </w:r>
            <w:r w:rsidRPr="00B57A06">
              <w:rPr>
                <w:rFonts w:ascii="Verdana" w:hAnsi="Verdana"/>
                <w:bCs/>
              </w:rPr>
              <w:t>.</w:t>
            </w:r>
          </w:p>
          <w:p w14:paraId="667993A5" w14:textId="77777777" w:rsidR="00485D81" w:rsidRDefault="00485D81" w:rsidP="00485D81">
            <w:pPr>
              <w:rPr>
                <w:rFonts w:ascii="Verdana" w:hAnsi="Verdana"/>
                <w:bCs/>
              </w:rPr>
            </w:pPr>
          </w:p>
          <w:p w14:paraId="21E6CD46" w14:textId="78CCCF84" w:rsidR="00B0018F" w:rsidRPr="00B90F6E" w:rsidRDefault="00AA02CF" w:rsidP="00AA02CF">
            <w:pPr>
              <w:rPr>
                <w:rFonts w:ascii="Verdana" w:hAnsi="Verdana"/>
                <w:bCs/>
              </w:rPr>
            </w:pPr>
            <w:r>
              <w:rPr>
                <w:rFonts w:ascii="Verdana" w:hAnsi="Verdana"/>
                <w:bCs/>
              </w:rPr>
              <w:t>No</w:t>
            </w:r>
            <w:r w:rsidR="00485D81">
              <w:rPr>
                <w:rFonts w:ascii="Verdana" w:hAnsi="Verdana"/>
                <w:bCs/>
              </w:rPr>
              <w:t xml:space="preserve"> other risks requiring the Audit Committee’s attention </w:t>
            </w:r>
            <w:r>
              <w:rPr>
                <w:rFonts w:ascii="Verdana" w:hAnsi="Verdana"/>
                <w:bCs/>
              </w:rPr>
              <w:t>were</w:t>
            </w:r>
            <w:r w:rsidR="00485D81">
              <w:rPr>
                <w:rFonts w:ascii="Verdana" w:hAnsi="Verdana"/>
                <w:bCs/>
              </w:rPr>
              <w:t xml:space="preserve"> identified in the course of the meeting</w:t>
            </w:r>
            <w:r>
              <w:rPr>
                <w:rFonts w:ascii="Verdana" w:hAnsi="Verdana"/>
                <w:bCs/>
              </w:rPr>
              <w:t>.</w:t>
            </w:r>
          </w:p>
        </w:tc>
      </w:tr>
    </w:tbl>
    <w:p w14:paraId="2FB3F2C6" w14:textId="7BDCD024" w:rsidR="00FB3FEE" w:rsidRDefault="00FB3FEE" w:rsidP="004F4C55"/>
    <w:p w14:paraId="6129ED56" w14:textId="2082EA9D" w:rsidR="002276CA" w:rsidRDefault="002276CA" w:rsidP="004F4C55"/>
    <w:p w14:paraId="596F51DD" w14:textId="1EA47A68" w:rsidR="002276CA" w:rsidRDefault="002276CA" w:rsidP="004F4C55"/>
    <w:p w14:paraId="26F8A992" w14:textId="2C8E0BF3" w:rsidR="002276CA" w:rsidRDefault="002276CA" w:rsidP="004F4C55"/>
    <w:p w14:paraId="606D2ECF" w14:textId="57A9AA9E" w:rsidR="002276CA" w:rsidRDefault="002276CA" w:rsidP="004F4C55"/>
    <w:p w14:paraId="23034D10" w14:textId="50B0143C" w:rsidR="002276CA" w:rsidRDefault="002276CA" w:rsidP="004F4C55"/>
    <w:p w14:paraId="0E052F32" w14:textId="77F04C21" w:rsidR="002276CA" w:rsidRDefault="002276CA" w:rsidP="004F4C55"/>
    <w:p w14:paraId="58A58C51" w14:textId="6204E2DB" w:rsidR="002276CA" w:rsidRDefault="002276CA" w:rsidP="004F4C55"/>
    <w:p w14:paraId="707FC6D2" w14:textId="70FB4944" w:rsidR="002276CA" w:rsidRDefault="002276CA" w:rsidP="004F4C55"/>
    <w:p w14:paraId="7336B3F4" w14:textId="3FACFAB6" w:rsidR="002276CA" w:rsidRDefault="002276CA" w:rsidP="004F4C55"/>
    <w:p w14:paraId="6A1AF626" w14:textId="77777777" w:rsidR="00303773" w:rsidRDefault="00303773" w:rsidP="004F4C55"/>
    <w:tbl>
      <w:tblPr>
        <w:tblW w:w="9351" w:type="dxa"/>
        <w:tblLook w:val="04A0" w:firstRow="1" w:lastRow="0" w:firstColumn="1" w:lastColumn="0" w:noHBand="0" w:noVBand="1"/>
      </w:tblPr>
      <w:tblGrid>
        <w:gridCol w:w="534"/>
        <w:gridCol w:w="8817"/>
      </w:tblGrid>
      <w:tr w:rsidR="0009514A" w:rsidRPr="004241F0" w14:paraId="1042AC11" w14:textId="77777777" w:rsidTr="00303773">
        <w:tc>
          <w:tcPr>
            <w:tcW w:w="534" w:type="dxa"/>
          </w:tcPr>
          <w:p w14:paraId="4AEE54B5" w14:textId="4E8CEA79" w:rsidR="0009514A" w:rsidRPr="004241F0" w:rsidRDefault="00B90F6E" w:rsidP="00DE41DD">
            <w:pPr>
              <w:rPr>
                <w:rFonts w:ascii="Verdana" w:hAnsi="Verdana"/>
                <w:b/>
              </w:rPr>
            </w:pPr>
            <w:r>
              <w:rPr>
                <w:rFonts w:ascii="Verdana" w:hAnsi="Verdana"/>
                <w:b/>
              </w:rPr>
              <w:lastRenderedPageBreak/>
              <w:t>6</w:t>
            </w:r>
          </w:p>
        </w:tc>
        <w:tc>
          <w:tcPr>
            <w:tcW w:w="8817" w:type="dxa"/>
          </w:tcPr>
          <w:p w14:paraId="343482FD" w14:textId="4C61C805" w:rsidR="0009514A" w:rsidRDefault="0009514A" w:rsidP="00DE41DD">
            <w:pPr>
              <w:pStyle w:val="NoSpacing"/>
            </w:pPr>
            <w:r>
              <w:rPr>
                <w:rFonts w:ascii="Verdana" w:hAnsi="Verdana"/>
                <w:b/>
              </w:rPr>
              <w:t>Management Accounts 2019-20</w:t>
            </w:r>
            <w:r w:rsidRPr="00126685">
              <w:rPr>
                <w:rFonts w:ascii="Verdana" w:hAnsi="Verdana"/>
                <w:b/>
              </w:rPr>
              <w:t xml:space="preserve"> </w:t>
            </w:r>
            <w:r>
              <w:rPr>
                <w:rFonts w:ascii="Verdana" w:hAnsi="Verdana"/>
                <w:b/>
              </w:rPr>
              <w:t xml:space="preserve">to Period </w:t>
            </w:r>
            <w:r w:rsidR="00B90F6E">
              <w:rPr>
                <w:rFonts w:ascii="Verdana" w:hAnsi="Verdana"/>
                <w:b/>
              </w:rPr>
              <w:t>5</w:t>
            </w:r>
            <w:r w:rsidRPr="00CF3270">
              <w:rPr>
                <w:rFonts w:ascii="Verdana" w:hAnsi="Verdana"/>
                <w:b/>
              </w:rPr>
              <w:t xml:space="preserve">: </w:t>
            </w:r>
            <w:r>
              <w:rPr>
                <w:rFonts w:ascii="Verdana" w:hAnsi="Verdana"/>
                <w:b/>
              </w:rPr>
              <w:t xml:space="preserve">31 </w:t>
            </w:r>
            <w:r w:rsidR="00B90F6E">
              <w:rPr>
                <w:rFonts w:ascii="Verdana" w:hAnsi="Verdana"/>
                <w:b/>
              </w:rPr>
              <w:t>Decem</w:t>
            </w:r>
            <w:r>
              <w:rPr>
                <w:rFonts w:ascii="Verdana" w:hAnsi="Verdana"/>
                <w:b/>
              </w:rPr>
              <w:t>ber 2019</w:t>
            </w:r>
          </w:p>
          <w:p w14:paraId="5D91F894" w14:textId="77777777" w:rsidR="0009514A" w:rsidRDefault="0009514A" w:rsidP="00DE41DD">
            <w:pPr>
              <w:contextualSpacing/>
              <w:rPr>
                <w:rFonts w:ascii="Verdana" w:hAnsi="Verdana" w:cs="Arial"/>
              </w:rPr>
            </w:pPr>
          </w:p>
          <w:p w14:paraId="16F14D5E" w14:textId="145FBBFF" w:rsidR="009B0A8B" w:rsidRPr="00D877EE" w:rsidRDefault="0009514A" w:rsidP="009B0A8B">
            <w:pPr>
              <w:contextualSpacing/>
              <w:rPr>
                <w:rFonts w:ascii="Verdana" w:hAnsi="Verdana"/>
              </w:rPr>
            </w:pPr>
            <w:r w:rsidRPr="00D877EE">
              <w:rPr>
                <w:rFonts w:ascii="Verdana" w:hAnsi="Verdana"/>
              </w:rPr>
              <w:t>A draft report prepared by the Vice Principal: Corporate Services and the Finance Manager, together with supporting documents</w:t>
            </w:r>
            <w:r w:rsidR="00D877EE" w:rsidRPr="00D877EE">
              <w:rPr>
                <w:rFonts w:ascii="Verdana" w:hAnsi="Verdana"/>
              </w:rPr>
              <w:t xml:space="preserve"> (including the ESFA letter confirming the College’s financial health assessment</w:t>
            </w:r>
            <w:r w:rsidR="00D877EE">
              <w:rPr>
                <w:rFonts w:ascii="Verdana" w:hAnsi="Verdana"/>
              </w:rPr>
              <w:t>,</w:t>
            </w:r>
            <w:r w:rsidR="00D877EE" w:rsidRPr="00D877EE">
              <w:rPr>
                <w:rFonts w:ascii="Verdana" w:hAnsi="Verdana"/>
              </w:rPr>
              <w:t xml:space="preserve"> and the ESFA financial dashboard)</w:t>
            </w:r>
            <w:r w:rsidRPr="00D877EE">
              <w:rPr>
                <w:rFonts w:ascii="Verdana" w:hAnsi="Verdana"/>
              </w:rPr>
              <w:t>, w</w:t>
            </w:r>
            <w:r w:rsidR="008E5B99">
              <w:rPr>
                <w:rFonts w:ascii="Verdana" w:hAnsi="Verdana"/>
              </w:rPr>
              <w:t>ere</w:t>
            </w:r>
            <w:r w:rsidRPr="00D877EE">
              <w:rPr>
                <w:rFonts w:ascii="Verdana" w:hAnsi="Verdana"/>
              </w:rPr>
              <w:t xml:space="preserve"> received and considered.</w:t>
            </w:r>
            <w:r w:rsidR="009B0A8B" w:rsidRPr="00D877EE">
              <w:rPr>
                <w:rFonts w:ascii="Verdana" w:hAnsi="Verdana"/>
              </w:rPr>
              <w:t xml:space="preserve">  </w:t>
            </w:r>
          </w:p>
          <w:p w14:paraId="0D515FC7" w14:textId="77777777" w:rsidR="009B0A8B" w:rsidRDefault="009B0A8B" w:rsidP="009B0A8B">
            <w:pPr>
              <w:contextualSpacing/>
              <w:rPr>
                <w:rFonts w:ascii="Verdana" w:hAnsi="Verdana"/>
              </w:rPr>
            </w:pPr>
          </w:p>
          <w:p w14:paraId="7B66B067" w14:textId="51725F06" w:rsidR="009B0A8B" w:rsidRPr="00DE41DD" w:rsidRDefault="00B90F6E" w:rsidP="009B0A8B">
            <w:pPr>
              <w:contextualSpacing/>
              <w:rPr>
                <w:rFonts w:ascii="Verdana" w:hAnsi="Verdana"/>
              </w:rPr>
            </w:pPr>
            <w:r w:rsidRPr="009B0A8B">
              <w:rPr>
                <w:rFonts w:ascii="Verdana" w:hAnsi="Verdana"/>
              </w:rPr>
              <w:t>The College is predicted to return a deficit of £230,000 (budgeted deficit: £268,000) as at 31 July 2020</w:t>
            </w:r>
            <w:r w:rsidR="009B0A8B">
              <w:rPr>
                <w:rFonts w:ascii="Verdana" w:hAnsi="Verdana"/>
              </w:rPr>
              <w:t xml:space="preserve">, an anticipated net positive variance of £38,000 owing to </w:t>
            </w:r>
            <w:r w:rsidR="009B0A8B" w:rsidRPr="00DE41DD">
              <w:rPr>
                <w:rFonts w:ascii="Verdana" w:hAnsi="Verdana" w:cs="Arial"/>
              </w:rPr>
              <w:t xml:space="preserve">a range of factors, notably a number of newly recruited </w:t>
            </w:r>
            <w:r w:rsidR="009B0A8B" w:rsidRPr="00DE41DD">
              <w:rPr>
                <w:rFonts w:ascii="Verdana" w:hAnsi="Verdana"/>
              </w:rPr>
              <w:t xml:space="preserve">teachers opting </w:t>
            </w:r>
            <w:r w:rsidR="008E5B99">
              <w:rPr>
                <w:rFonts w:ascii="Verdana" w:hAnsi="Verdana"/>
              </w:rPr>
              <w:t>out of</w:t>
            </w:r>
            <w:r w:rsidR="009B0A8B" w:rsidRPr="00DE41DD">
              <w:rPr>
                <w:rFonts w:ascii="Verdana" w:hAnsi="Verdana"/>
              </w:rPr>
              <w:t xml:space="preserve"> the </w:t>
            </w:r>
            <w:r w:rsidR="008E5B99">
              <w:rPr>
                <w:rFonts w:ascii="Verdana" w:hAnsi="Verdana"/>
              </w:rPr>
              <w:t>Teachers</w:t>
            </w:r>
            <w:r w:rsidR="00FB3FEE">
              <w:rPr>
                <w:rFonts w:ascii="Verdana" w:hAnsi="Verdana"/>
              </w:rPr>
              <w:t>’</w:t>
            </w:r>
            <w:r w:rsidR="008E5B99">
              <w:rPr>
                <w:rFonts w:ascii="Verdana" w:hAnsi="Verdana"/>
              </w:rPr>
              <w:t xml:space="preserve"> P</w:t>
            </w:r>
            <w:r w:rsidR="009B0A8B" w:rsidRPr="00DE41DD">
              <w:rPr>
                <w:rFonts w:ascii="Verdana" w:hAnsi="Verdana"/>
              </w:rPr>
              <w:t xml:space="preserve">ension </w:t>
            </w:r>
            <w:r w:rsidR="008E5B99">
              <w:rPr>
                <w:rFonts w:ascii="Verdana" w:hAnsi="Verdana"/>
              </w:rPr>
              <w:t>S</w:t>
            </w:r>
            <w:r w:rsidR="009B0A8B" w:rsidRPr="00DE41DD">
              <w:rPr>
                <w:rFonts w:ascii="Verdana" w:hAnsi="Verdana"/>
              </w:rPr>
              <w:t>cheme.</w:t>
            </w:r>
          </w:p>
          <w:p w14:paraId="24A6F3C2" w14:textId="07C5B749" w:rsidR="00B90F6E" w:rsidRDefault="009B0A8B" w:rsidP="009B0A8B">
            <w:pPr>
              <w:pStyle w:val="NoSpacing"/>
              <w:rPr>
                <w:rFonts w:ascii="Verdana" w:hAnsi="Verdana"/>
              </w:rPr>
            </w:pPr>
            <w:r w:rsidRPr="009B0A8B">
              <w:rPr>
                <w:rFonts w:ascii="Verdana" w:hAnsi="Verdana"/>
              </w:rPr>
              <w:t xml:space="preserve">  </w:t>
            </w:r>
          </w:p>
          <w:p w14:paraId="50A65511" w14:textId="308E0758" w:rsidR="00B90F6E" w:rsidRDefault="00B90F6E" w:rsidP="00B90F6E">
            <w:pPr>
              <w:contextualSpacing/>
              <w:rPr>
                <w:rFonts w:ascii="Verdana" w:hAnsi="Verdana"/>
              </w:rPr>
            </w:pPr>
            <w:r w:rsidRPr="00B90F6E">
              <w:rPr>
                <w:rFonts w:ascii="Verdana" w:hAnsi="Verdana"/>
              </w:rPr>
              <w:t>The ESFA fundable student numbers for 2019</w:t>
            </w:r>
            <w:r>
              <w:rPr>
                <w:rFonts w:ascii="Verdana" w:hAnsi="Verdana"/>
              </w:rPr>
              <w:t>-</w:t>
            </w:r>
            <w:r w:rsidRPr="00B90F6E">
              <w:rPr>
                <w:rFonts w:ascii="Verdana" w:hAnsi="Verdana"/>
              </w:rPr>
              <w:t>20 are 1,704</w:t>
            </w:r>
            <w:r w:rsidR="008E5B99">
              <w:rPr>
                <w:rFonts w:ascii="Verdana" w:hAnsi="Verdana"/>
              </w:rPr>
              <w:t>, which number will determine core</w:t>
            </w:r>
            <w:r>
              <w:rPr>
                <w:rFonts w:ascii="Verdana" w:hAnsi="Verdana"/>
              </w:rPr>
              <w:t xml:space="preserve"> funding </w:t>
            </w:r>
            <w:r w:rsidR="008E5B99">
              <w:rPr>
                <w:rFonts w:ascii="Verdana" w:hAnsi="Verdana"/>
              </w:rPr>
              <w:t xml:space="preserve">for </w:t>
            </w:r>
            <w:r>
              <w:rPr>
                <w:rFonts w:ascii="Verdana" w:hAnsi="Verdana"/>
              </w:rPr>
              <w:t>2020-21. It was noted that in the course of the year, actual numbers may vary reflecting the effect of suspensions and reinstatements, and reduce if students are permanently excluded or otherwise leave the College.</w:t>
            </w:r>
          </w:p>
          <w:p w14:paraId="229E918C" w14:textId="19A25F7C" w:rsidR="00D641AC" w:rsidRDefault="00B90F6E" w:rsidP="00D641AC">
            <w:pPr>
              <w:rPr>
                <w:rFonts w:ascii="Verdana" w:hAnsi="Verdana"/>
              </w:rPr>
            </w:pPr>
            <w:r>
              <w:rPr>
                <w:rFonts w:ascii="Verdana" w:hAnsi="Verdana"/>
              </w:rPr>
              <w:t xml:space="preserve"> </w:t>
            </w:r>
            <w:r w:rsidR="00D641AC" w:rsidRPr="0009514A">
              <w:rPr>
                <w:rFonts w:ascii="Verdana" w:hAnsi="Verdana"/>
              </w:rPr>
              <w:t xml:space="preserve">  </w:t>
            </w:r>
          </w:p>
          <w:p w14:paraId="3C1C15C5" w14:textId="0A000DBD" w:rsidR="009B0A8B" w:rsidRPr="009B0A8B" w:rsidRDefault="00D641AC" w:rsidP="009B0A8B">
            <w:pPr>
              <w:rPr>
                <w:rFonts w:ascii="Verdana" w:hAnsi="Verdana"/>
              </w:rPr>
            </w:pPr>
            <w:r w:rsidRPr="009B0A8B">
              <w:rPr>
                <w:rFonts w:ascii="Verdana" w:hAnsi="Verdana"/>
              </w:rPr>
              <w:t xml:space="preserve">It was noted that the College is fully compliant with its bank loan covenants </w:t>
            </w:r>
            <w:r w:rsidR="009B0A8B">
              <w:rPr>
                <w:rFonts w:ascii="Verdana" w:hAnsi="Verdana"/>
              </w:rPr>
              <w:t>in the</w:t>
            </w:r>
            <w:r w:rsidRPr="009B0A8B">
              <w:rPr>
                <w:rFonts w:ascii="Verdana" w:hAnsi="Verdana"/>
              </w:rPr>
              <w:t xml:space="preserve"> year</w:t>
            </w:r>
            <w:r w:rsidR="009B0A8B">
              <w:rPr>
                <w:rFonts w:ascii="Verdana" w:hAnsi="Verdana"/>
              </w:rPr>
              <w:t xml:space="preserve">. </w:t>
            </w:r>
            <w:r w:rsidRPr="009B0A8B">
              <w:rPr>
                <w:rFonts w:ascii="Verdana" w:hAnsi="Verdana"/>
              </w:rPr>
              <w:t xml:space="preserve"> </w:t>
            </w:r>
            <w:r w:rsidR="009B0A8B" w:rsidRPr="009B0A8B">
              <w:rPr>
                <w:rFonts w:ascii="Verdana" w:hAnsi="Verdana"/>
              </w:rPr>
              <w:t>The loan was fully paid off at the start of January 2020.</w:t>
            </w:r>
          </w:p>
          <w:p w14:paraId="4872029A" w14:textId="669E33EA" w:rsidR="00DE41DD" w:rsidRDefault="00DE41DD" w:rsidP="00DE41DD">
            <w:pPr>
              <w:contextualSpacing/>
              <w:rPr>
                <w:rFonts w:ascii="Verdana" w:hAnsi="Verdana"/>
              </w:rPr>
            </w:pPr>
          </w:p>
          <w:p w14:paraId="5E3A78D0" w14:textId="57DC65FF" w:rsidR="009B0A8B" w:rsidRPr="009B0A8B" w:rsidRDefault="009B0A8B" w:rsidP="00DE41DD">
            <w:pPr>
              <w:contextualSpacing/>
              <w:rPr>
                <w:rFonts w:ascii="Verdana" w:hAnsi="Verdana"/>
              </w:rPr>
            </w:pPr>
            <w:r w:rsidRPr="009B0A8B">
              <w:rPr>
                <w:rFonts w:ascii="Verdana" w:hAnsi="Verdana"/>
              </w:rPr>
              <w:t xml:space="preserve">Pay as a percentage of income is </w:t>
            </w:r>
            <w:r>
              <w:rPr>
                <w:rFonts w:ascii="Verdana" w:hAnsi="Verdana"/>
              </w:rPr>
              <w:t>forecast to be 70.5</w:t>
            </w:r>
            <w:r w:rsidRPr="009B0A8B">
              <w:rPr>
                <w:rFonts w:ascii="Verdana" w:hAnsi="Verdana"/>
              </w:rPr>
              <w:t>%</w:t>
            </w:r>
            <w:r>
              <w:rPr>
                <w:rFonts w:ascii="Verdana" w:hAnsi="Verdana"/>
              </w:rPr>
              <w:t xml:space="preserve"> at the year-end (budget:</w:t>
            </w:r>
            <w:r w:rsidRPr="009B0A8B">
              <w:rPr>
                <w:rFonts w:ascii="Verdana" w:hAnsi="Verdana"/>
              </w:rPr>
              <w:t xml:space="preserve"> 72.3%</w:t>
            </w:r>
            <w:r>
              <w:rPr>
                <w:rFonts w:ascii="Verdana" w:hAnsi="Verdana"/>
              </w:rPr>
              <w:t>).</w:t>
            </w:r>
          </w:p>
          <w:p w14:paraId="278CD821" w14:textId="614C3597" w:rsidR="009B0A8B" w:rsidRDefault="009B0A8B" w:rsidP="00DE41DD">
            <w:pPr>
              <w:rPr>
                <w:rFonts w:ascii="Verdana" w:hAnsi="Verdana"/>
              </w:rPr>
            </w:pPr>
          </w:p>
          <w:p w14:paraId="6FB2BB19" w14:textId="76DD87A8" w:rsidR="009B0A8B" w:rsidRPr="009B0A8B" w:rsidRDefault="009B0A8B" w:rsidP="009B0A8B">
            <w:pPr>
              <w:rPr>
                <w:rFonts w:ascii="Verdana" w:eastAsiaTheme="minorHAnsi" w:hAnsi="Verdana" w:cs="Calibri"/>
                <w:lang w:eastAsia="en-GB"/>
              </w:rPr>
            </w:pPr>
            <w:r w:rsidRPr="009B0A8B">
              <w:rPr>
                <w:rFonts w:ascii="Verdana" w:eastAsiaTheme="minorHAnsi" w:hAnsi="Verdana" w:cs="Calibri"/>
                <w:lang w:eastAsia="en-GB"/>
              </w:rPr>
              <w:t xml:space="preserve">The </w:t>
            </w:r>
            <w:r w:rsidR="00D877EE">
              <w:rPr>
                <w:rFonts w:ascii="Verdana" w:eastAsiaTheme="minorHAnsi" w:hAnsi="Verdana" w:cs="Calibri"/>
                <w:lang w:eastAsia="en-GB"/>
              </w:rPr>
              <w:t xml:space="preserve">financial </w:t>
            </w:r>
            <w:r w:rsidRPr="009B0A8B">
              <w:rPr>
                <w:rFonts w:ascii="Verdana" w:eastAsiaTheme="minorHAnsi" w:hAnsi="Verdana" w:cs="Calibri"/>
                <w:lang w:eastAsia="en-GB"/>
              </w:rPr>
              <w:t>position is significantly better than expected</w:t>
            </w:r>
            <w:r>
              <w:rPr>
                <w:rFonts w:ascii="Verdana" w:eastAsiaTheme="minorHAnsi" w:hAnsi="Verdana" w:cs="Calibri"/>
                <w:lang w:eastAsia="en-GB"/>
              </w:rPr>
              <w:t>,</w:t>
            </w:r>
            <w:r w:rsidRPr="009B0A8B">
              <w:rPr>
                <w:rFonts w:ascii="Verdana" w:eastAsiaTheme="minorHAnsi" w:hAnsi="Verdana" w:cs="Calibri"/>
                <w:lang w:eastAsia="en-GB"/>
              </w:rPr>
              <w:t xml:space="preserve"> </w:t>
            </w:r>
            <w:r>
              <w:rPr>
                <w:rFonts w:ascii="Verdana" w:eastAsiaTheme="minorHAnsi" w:hAnsi="Verdana" w:cs="Calibri"/>
                <w:lang w:eastAsia="en-GB"/>
              </w:rPr>
              <w:t xml:space="preserve">though </w:t>
            </w:r>
            <w:r w:rsidRPr="009B0A8B">
              <w:rPr>
                <w:rFonts w:ascii="Verdana" w:eastAsiaTheme="minorHAnsi" w:hAnsi="Verdana" w:cs="Calibri"/>
                <w:lang w:eastAsia="en-GB"/>
              </w:rPr>
              <w:t xml:space="preserve">close management </w:t>
            </w:r>
            <w:r>
              <w:rPr>
                <w:rFonts w:ascii="Verdana" w:eastAsiaTheme="minorHAnsi" w:hAnsi="Verdana" w:cs="Calibri"/>
                <w:lang w:eastAsia="en-GB"/>
              </w:rPr>
              <w:t xml:space="preserve">will still be needed since </w:t>
            </w:r>
            <w:r w:rsidRPr="009B0A8B">
              <w:rPr>
                <w:rFonts w:ascii="Verdana" w:eastAsiaTheme="minorHAnsi" w:hAnsi="Verdana" w:cs="Calibri"/>
                <w:lang w:eastAsia="en-GB"/>
              </w:rPr>
              <w:t xml:space="preserve">budgets for sickness and maternity cover are very </w:t>
            </w:r>
            <w:r w:rsidR="008E5B99">
              <w:rPr>
                <w:rFonts w:ascii="Verdana" w:eastAsiaTheme="minorHAnsi" w:hAnsi="Verdana" w:cs="Calibri"/>
                <w:lang w:eastAsia="en-GB"/>
              </w:rPr>
              <w:t>constrained</w:t>
            </w:r>
            <w:r w:rsidRPr="009B0A8B">
              <w:rPr>
                <w:rFonts w:ascii="Verdana" w:eastAsiaTheme="minorHAnsi" w:hAnsi="Verdana" w:cs="Calibri"/>
                <w:lang w:eastAsia="en-GB"/>
              </w:rPr>
              <w:t xml:space="preserve">.  </w:t>
            </w:r>
          </w:p>
          <w:p w14:paraId="43B0C642" w14:textId="77777777" w:rsidR="009B0A8B" w:rsidRPr="009B0A8B" w:rsidRDefault="009B0A8B" w:rsidP="00DE41DD">
            <w:pPr>
              <w:rPr>
                <w:rFonts w:ascii="Verdana" w:hAnsi="Verdana"/>
              </w:rPr>
            </w:pPr>
          </w:p>
          <w:p w14:paraId="1CA67FF0" w14:textId="3BAF4DF5" w:rsidR="00D877EE" w:rsidRDefault="00D877EE" w:rsidP="00D877EE">
            <w:pPr>
              <w:rPr>
                <w:rFonts w:ascii="Verdana" w:hAnsi="Verdana"/>
              </w:rPr>
            </w:pPr>
            <w:r w:rsidRPr="00DE41DD">
              <w:rPr>
                <w:rFonts w:ascii="Verdana" w:hAnsi="Verdana"/>
              </w:rPr>
              <w:t xml:space="preserve">The College </w:t>
            </w:r>
            <w:r>
              <w:rPr>
                <w:rFonts w:ascii="Verdana" w:hAnsi="Verdana"/>
              </w:rPr>
              <w:t>is anticipated to</w:t>
            </w:r>
            <w:r w:rsidRPr="00DE41DD">
              <w:rPr>
                <w:rFonts w:ascii="Verdana" w:hAnsi="Verdana"/>
              </w:rPr>
              <w:t xml:space="preserve"> be midway in the Good category for financial health</w:t>
            </w:r>
            <w:r>
              <w:rPr>
                <w:rFonts w:ascii="Verdana" w:hAnsi="Verdana"/>
              </w:rPr>
              <w:t xml:space="preserve"> at 31 July 202</w:t>
            </w:r>
            <w:r w:rsidR="008E5B99">
              <w:rPr>
                <w:rFonts w:ascii="Verdana" w:hAnsi="Verdana"/>
              </w:rPr>
              <w:t>0</w:t>
            </w:r>
            <w:r w:rsidRPr="00DE41DD">
              <w:rPr>
                <w:rFonts w:ascii="Verdana" w:hAnsi="Verdana"/>
              </w:rPr>
              <w:t>.</w:t>
            </w:r>
          </w:p>
          <w:p w14:paraId="12E43BF1" w14:textId="77777777" w:rsidR="00DE41DD" w:rsidRDefault="00DE41DD" w:rsidP="00DE41DD">
            <w:pPr>
              <w:contextualSpacing/>
              <w:rPr>
                <w:rFonts w:ascii="Verdana" w:hAnsi="Verdana" w:cs="Arial"/>
              </w:rPr>
            </w:pPr>
          </w:p>
          <w:p w14:paraId="566E0326" w14:textId="6A3D9D2C" w:rsidR="00DE41DD" w:rsidRDefault="00DE41DD" w:rsidP="00DE41DD">
            <w:pPr>
              <w:contextualSpacing/>
              <w:rPr>
                <w:rFonts w:ascii="Verdana" w:hAnsi="Verdana"/>
              </w:rPr>
            </w:pPr>
            <w:r w:rsidRPr="00DE41DD">
              <w:rPr>
                <w:rFonts w:ascii="Verdana" w:hAnsi="Verdana"/>
              </w:rPr>
              <w:t>Cash balances at 31 July 20</w:t>
            </w:r>
            <w:r w:rsidR="00593049">
              <w:rPr>
                <w:rFonts w:ascii="Verdana" w:hAnsi="Verdana"/>
              </w:rPr>
              <w:t>20</w:t>
            </w:r>
            <w:r w:rsidRPr="00DE41DD">
              <w:rPr>
                <w:rFonts w:ascii="Verdana" w:hAnsi="Verdana"/>
              </w:rPr>
              <w:t xml:space="preserve"> are forecast to be £1,9</w:t>
            </w:r>
            <w:r w:rsidR="009B0A8B">
              <w:rPr>
                <w:rFonts w:ascii="Verdana" w:hAnsi="Verdana"/>
              </w:rPr>
              <w:t>1</w:t>
            </w:r>
            <w:r w:rsidRPr="00DE41DD">
              <w:rPr>
                <w:rFonts w:ascii="Verdana" w:hAnsi="Verdana"/>
              </w:rPr>
              <w:t>1</w:t>
            </w:r>
            <w:r>
              <w:rPr>
                <w:rFonts w:ascii="Verdana" w:hAnsi="Verdana"/>
              </w:rPr>
              <w:t>,000</w:t>
            </w:r>
            <w:r w:rsidRPr="00DE41DD">
              <w:rPr>
                <w:rFonts w:ascii="Verdana" w:hAnsi="Verdana"/>
              </w:rPr>
              <w:t>, a reduction of £</w:t>
            </w:r>
            <w:r w:rsidR="009B0A8B">
              <w:rPr>
                <w:rFonts w:ascii="Verdana" w:hAnsi="Verdana"/>
              </w:rPr>
              <w:t>6</w:t>
            </w:r>
            <w:r w:rsidRPr="00DE41DD">
              <w:rPr>
                <w:rFonts w:ascii="Verdana" w:hAnsi="Verdana"/>
              </w:rPr>
              <w:t>3</w:t>
            </w:r>
            <w:r>
              <w:rPr>
                <w:rFonts w:ascii="Verdana" w:hAnsi="Verdana"/>
              </w:rPr>
              <w:t>,000</w:t>
            </w:r>
            <w:r w:rsidRPr="00DE41DD">
              <w:rPr>
                <w:rFonts w:ascii="Verdana" w:hAnsi="Verdana"/>
              </w:rPr>
              <w:t xml:space="preserve"> compared to actual cash balances of £1,974</w:t>
            </w:r>
            <w:r>
              <w:rPr>
                <w:rFonts w:ascii="Verdana" w:hAnsi="Verdana"/>
              </w:rPr>
              <w:t>,000</w:t>
            </w:r>
            <w:r w:rsidRPr="00DE41DD">
              <w:rPr>
                <w:rFonts w:ascii="Verdana" w:hAnsi="Verdana"/>
              </w:rPr>
              <w:t xml:space="preserve"> at 31</w:t>
            </w:r>
            <w:r w:rsidRPr="00DE41DD">
              <w:rPr>
                <w:rFonts w:ascii="Verdana" w:hAnsi="Verdana"/>
                <w:vertAlign w:val="superscript"/>
              </w:rPr>
              <w:t>st</w:t>
            </w:r>
            <w:r w:rsidRPr="00DE41DD">
              <w:rPr>
                <w:rFonts w:ascii="Verdana" w:hAnsi="Verdana"/>
              </w:rPr>
              <w:t xml:space="preserve"> July 2019</w:t>
            </w:r>
            <w:r>
              <w:rPr>
                <w:rFonts w:ascii="Verdana" w:hAnsi="Verdana"/>
              </w:rPr>
              <w:t>.</w:t>
            </w:r>
          </w:p>
          <w:p w14:paraId="02D94898" w14:textId="77777777" w:rsidR="00DE41DD" w:rsidRDefault="00DE41DD" w:rsidP="00DE41DD">
            <w:pPr>
              <w:contextualSpacing/>
              <w:rPr>
                <w:rFonts w:ascii="Verdana" w:hAnsi="Verdana"/>
              </w:rPr>
            </w:pPr>
          </w:p>
          <w:p w14:paraId="2EE8DC74" w14:textId="46230459" w:rsidR="00DE41DD" w:rsidRDefault="00DE41DD" w:rsidP="00DE41DD">
            <w:pPr>
              <w:contextualSpacing/>
              <w:rPr>
                <w:rFonts w:ascii="Verdana" w:hAnsi="Verdana"/>
              </w:rPr>
            </w:pPr>
            <w:r w:rsidRPr="00DE41DD">
              <w:rPr>
                <w:rFonts w:ascii="Verdana" w:hAnsi="Verdana"/>
              </w:rPr>
              <w:t xml:space="preserve">Cash days in hand remain healthy and stable at </w:t>
            </w:r>
            <w:r w:rsidR="00D877EE">
              <w:rPr>
                <w:rFonts w:ascii="Verdana" w:hAnsi="Verdana"/>
              </w:rPr>
              <w:t>90</w:t>
            </w:r>
            <w:r w:rsidR="00593049">
              <w:rPr>
                <w:rFonts w:ascii="Verdana" w:hAnsi="Verdana"/>
              </w:rPr>
              <w:t xml:space="preserve">, and are </w:t>
            </w:r>
            <w:r w:rsidRPr="00DE41DD">
              <w:rPr>
                <w:rFonts w:ascii="Verdana" w:hAnsi="Verdana"/>
              </w:rPr>
              <w:t>predicted to be 74 at 31</w:t>
            </w:r>
            <w:r>
              <w:rPr>
                <w:rFonts w:ascii="Verdana" w:hAnsi="Verdana"/>
              </w:rPr>
              <w:t xml:space="preserve"> July 20</w:t>
            </w:r>
            <w:r w:rsidRPr="00DE41DD">
              <w:rPr>
                <w:rFonts w:ascii="Verdana" w:hAnsi="Verdana"/>
              </w:rPr>
              <w:t>20</w:t>
            </w:r>
            <w:r>
              <w:rPr>
                <w:rFonts w:ascii="Verdana" w:hAnsi="Verdana"/>
              </w:rPr>
              <w:t xml:space="preserve"> (31 July 2019: 76). </w:t>
            </w:r>
          </w:p>
          <w:p w14:paraId="48D8F6BB" w14:textId="467E4B8F" w:rsidR="00D877EE" w:rsidRDefault="00D877EE" w:rsidP="00DE41DD">
            <w:pPr>
              <w:contextualSpacing/>
              <w:rPr>
                <w:rFonts w:ascii="Verdana" w:hAnsi="Verdana"/>
              </w:rPr>
            </w:pPr>
          </w:p>
          <w:p w14:paraId="76258ECD" w14:textId="4F0CA903" w:rsidR="00D877EE" w:rsidRDefault="00D877EE" w:rsidP="00DE41DD">
            <w:pPr>
              <w:contextualSpacing/>
              <w:rPr>
                <w:rFonts w:ascii="Verdana" w:hAnsi="Verdana"/>
              </w:rPr>
            </w:pPr>
            <w:r>
              <w:rPr>
                <w:rFonts w:ascii="Verdana" w:hAnsi="Verdana"/>
              </w:rPr>
              <w:t>Borrowing continues to decline.</w:t>
            </w:r>
          </w:p>
          <w:p w14:paraId="33BCBE25" w14:textId="6AD7540D" w:rsidR="00D877EE" w:rsidRDefault="00D877EE" w:rsidP="00DE41DD">
            <w:pPr>
              <w:contextualSpacing/>
              <w:rPr>
                <w:rFonts w:ascii="Verdana" w:hAnsi="Verdana"/>
              </w:rPr>
            </w:pPr>
          </w:p>
          <w:p w14:paraId="12236557" w14:textId="73131CBE" w:rsidR="00D877EE" w:rsidRPr="00D877EE" w:rsidRDefault="00D877EE" w:rsidP="00D877EE">
            <w:pPr>
              <w:rPr>
                <w:rFonts w:ascii="Verdana" w:hAnsi="Verdana"/>
              </w:rPr>
            </w:pPr>
            <w:r w:rsidRPr="00D877EE">
              <w:rPr>
                <w:rFonts w:ascii="Verdana" w:hAnsi="Verdana"/>
              </w:rPr>
              <w:t xml:space="preserve">The most significant financial issue for the College is “over trading”.  </w:t>
            </w:r>
            <w:r>
              <w:rPr>
                <w:rFonts w:ascii="Verdana" w:hAnsi="Verdana"/>
              </w:rPr>
              <w:t xml:space="preserve"> </w:t>
            </w:r>
            <w:r w:rsidRPr="00D877EE">
              <w:rPr>
                <w:rFonts w:ascii="Verdana" w:hAnsi="Verdana"/>
              </w:rPr>
              <w:t>As funding lags behind growth</w:t>
            </w:r>
            <w:r w:rsidR="008E5B99">
              <w:rPr>
                <w:rFonts w:ascii="Verdana" w:hAnsi="Verdana"/>
              </w:rPr>
              <w:t xml:space="preserve"> in enrolments</w:t>
            </w:r>
            <w:r w:rsidRPr="00D877EE">
              <w:rPr>
                <w:rFonts w:ascii="Verdana" w:hAnsi="Verdana"/>
              </w:rPr>
              <w:t xml:space="preserve"> by one year the College will have to educate more students on</w:t>
            </w:r>
            <w:r>
              <w:rPr>
                <w:rFonts w:ascii="Verdana" w:hAnsi="Verdana"/>
              </w:rPr>
              <w:t xml:space="preserve"> a level of</w:t>
            </w:r>
            <w:r w:rsidRPr="00D877EE">
              <w:rPr>
                <w:rFonts w:ascii="Verdana" w:hAnsi="Verdana"/>
              </w:rPr>
              <w:t xml:space="preserve"> funding lower than their numbers </w:t>
            </w:r>
            <w:r w:rsidR="008E5B99">
              <w:rPr>
                <w:rFonts w:ascii="Verdana" w:hAnsi="Verdana"/>
              </w:rPr>
              <w:t>would otherwise</w:t>
            </w:r>
            <w:r w:rsidRPr="00D877EE">
              <w:rPr>
                <w:rFonts w:ascii="Verdana" w:hAnsi="Verdana"/>
              </w:rPr>
              <w:t xml:space="preserve"> generate. </w:t>
            </w:r>
          </w:p>
          <w:p w14:paraId="301F84C4" w14:textId="72F3707A" w:rsidR="00D877EE" w:rsidRDefault="00D877EE" w:rsidP="00DE41DD">
            <w:pPr>
              <w:contextualSpacing/>
              <w:rPr>
                <w:rFonts w:ascii="Verdana" w:hAnsi="Verdana"/>
              </w:rPr>
            </w:pPr>
          </w:p>
          <w:p w14:paraId="23027DB6" w14:textId="30E3CF5E" w:rsidR="00D877EE" w:rsidRPr="00D877EE" w:rsidRDefault="00D877EE" w:rsidP="00D877EE">
            <w:pPr>
              <w:rPr>
                <w:rFonts w:ascii="Verdana" w:hAnsi="Verdana"/>
              </w:rPr>
            </w:pPr>
            <w:r w:rsidRPr="00D877EE">
              <w:rPr>
                <w:rFonts w:ascii="Verdana" w:hAnsi="Verdana"/>
              </w:rPr>
              <w:t>The College’s £150,000 capital budget is reserved for upgrading network storage (as the current system will no longer be supported in the near future).  However</w:t>
            </w:r>
            <w:r>
              <w:rPr>
                <w:rFonts w:ascii="Verdana" w:hAnsi="Verdana"/>
              </w:rPr>
              <w:t>,</w:t>
            </w:r>
            <w:r w:rsidRPr="00D877EE">
              <w:rPr>
                <w:rFonts w:ascii="Verdana" w:hAnsi="Verdana"/>
              </w:rPr>
              <w:t xml:space="preserve"> three laptop trolleys that are used in class by students have reached the end of their useful life </w:t>
            </w:r>
            <w:r>
              <w:rPr>
                <w:rFonts w:ascii="Verdana" w:hAnsi="Verdana"/>
              </w:rPr>
              <w:t>owing to significantly</w:t>
            </w:r>
            <w:r w:rsidRPr="00D877EE">
              <w:rPr>
                <w:rFonts w:ascii="Verdana" w:hAnsi="Verdana"/>
              </w:rPr>
              <w:t xml:space="preserve"> increased </w:t>
            </w:r>
            <w:r>
              <w:rPr>
                <w:rFonts w:ascii="Verdana" w:hAnsi="Verdana"/>
              </w:rPr>
              <w:t>use</w:t>
            </w:r>
            <w:r w:rsidRPr="00D877EE">
              <w:rPr>
                <w:rFonts w:ascii="Verdana" w:hAnsi="Verdana"/>
              </w:rPr>
              <w:t>.</w:t>
            </w:r>
          </w:p>
          <w:p w14:paraId="64258383" w14:textId="77777777" w:rsidR="00FB3FEE" w:rsidRDefault="00D877EE" w:rsidP="00DE41DD">
            <w:pPr>
              <w:rPr>
                <w:rFonts w:ascii="Verdana" w:hAnsi="Verdana"/>
              </w:rPr>
            </w:pPr>
            <w:r w:rsidRPr="00D877EE">
              <w:rPr>
                <w:rFonts w:ascii="Verdana" w:hAnsi="Verdana"/>
              </w:rPr>
              <w:t>The cost of replacing the</w:t>
            </w:r>
            <w:r>
              <w:rPr>
                <w:rFonts w:ascii="Verdana" w:hAnsi="Verdana"/>
              </w:rPr>
              <w:t>m</w:t>
            </w:r>
            <w:r w:rsidRPr="00D877EE">
              <w:rPr>
                <w:rFonts w:ascii="Verdana" w:hAnsi="Verdana"/>
              </w:rPr>
              <w:t xml:space="preserve"> is in the order of £80,000, which will have an impact on the surplus of no more than £8,000 this year.  Savings will be made to keep the deficit at the same level as currently forecast.</w:t>
            </w:r>
            <w:r>
              <w:rPr>
                <w:rFonts w:ascii="Verdana" w:hAnsi="Verdana"/>
              </w:rPr>
              <w:t xml:space="preserve"> </w:t>
            </w:r>
          </w:p>
          <w:p w14:paraId="61C062EB" w14:textId="23489AE9" w:rsidR="00D877EE" w:rsidRDefault="00FB3FEE" w:rsidP="00DE41DD">
            <w:pPr>
              <w:rPr>
                <w:rFonts w:ascii="Verdana" w:hAnsi="Verdana"/>
              </w:rPr>
            </w:pPr>
            <w:r>
              <w:rPr>
                <w:rFonts w:ascii="Verdana" w:hAnsi="Verdana"/>
              </w:rPr>
              <w:lastRenderedPageBreak/>
              <w:t>In relation to an issue raised by the Committee Chair, namely the number of teaching staff opting out of the Teachers’ Pension Scheme, it was proposed that a scheme representative be invited to present its benefits to staff and emphasise that, being a fully-funded scheme, issues of investment in interest-bearing securities should not in this instance be of concern to those with faith-based objections of conscience.</w:t>
            </w:r>
          </w:p>
          <w:p w14:paraId="336B913F" w14:textId="40AFE4FE" w:rsidR="00FB3FEE" w:rsidRDefault="00FB3FEE" w:rsidP="00DE41DD">
            <w:pPr>
              <w:rPr>
                <w:rFonts w:ascii="Verdana" w:hAnsi="Verdana"/>
              </w:rPr>
            </w:pPr>
          </w:p>
          <w:p w14:paraId="36F0CC93" w14:textId="152366B5" w:rsidR="00FB3FEE" w:rsidRDefault="00FB3FEE" w:rsidP="00DE41DD">
            <w:pPr>
              <w:rPr>
                <w:rFonts w:ascii="Verdana" w:hAnsi="Verdana"/>
              </w:rPr>
            </w:pPr>
            <w:r>
              <w:rPr>
                <w:rFonts w:ascii="Verdana" w:hAnsi="Verdana"/>
              </w:rPr>
              <w:t>It was confirmed that all student bursary funds, including those brought forward from 20</w:t>
            </w:r>
            <w:r w:rsidR="001E7DA9">
              <w:rPr>
                <w:rFonts w:ascii="Verdana" w:hAnsi="Verdana"/>
              </w:rPr>
              <w:t>18-19, will have been spent by 31 July 2020.</w:t>
            </w:r>
          </w:p>
          <w:p w14:paraId="61986823" w14:textId="18EF7261" w:rsidR="00D877EE" w:rsidRDefault="00D877EE" w:rsidP="00DE41DD">
            <w:pPr>
              <w:rPr>
                <w:rFonts w:ascii="Verdana" w:hAnsi="Verdana"/>
              </w:rPr>
            </w:pPr>
          </w:p>
          <w:p w14:paraId="79F3925B" w14:textId="572F6916" w:rsidR="0086749B" w:rsidRPr="00DE41DD" w:rsidRDefault="0086749B" w:rsidP="0086749B">
            <w:pPr>
              <w:contextualSpacing/>
              <w:rPr>
                <w:rFonts w:ascii="Verdana" w:hAnsi="Verdana" w:cs="Arial"/>
              </w:rPr>
            </w:pPr>
            <w:r w:rsidRPr="00DE41DD">
              <w:rPr>
                <w:rFonts w:ascii="Verdana" w:hAnsi="Verdana" w:cs="Arial"/>
              </w:rPr>
              <w:t>The management accounts were recommended for consideration by the Corporation at the meeting to be held on 1</w:t>
            </w:r>
            <w:r w:rsidR="00D877EE">
              <w:rPr>
                <w:rFonts w:ascii="Verdana" w:hAnsi="Verdana" w:cs="Arial"/>
              </w:rPr>
              <w:t>5</w:t>
            </w:r>
            <w:r w:rsidRPr="00DE41DD">
              <w:rPr>
                <w:rFonts w:ascii="Verdana" w:hAnsi="Verdana" w:cs="Arial"/>
              </w:rPr>
              <w:t xml:space="preserve"> </w:t>
            </w:r>
            <w:r w:rsidR="00D877EE">
              <w:rPr>
                <w:rFonts w:ascii="Verdana" w:hAnsi="Verdana" w:cs="Arial"/>
              </w:rPr>
              <w:t>February</w:t>
            </w:r>
            <w:r w:rsidRPr="00DE41DD">
              <w:rPr>
                <w:rFonts w:ascii="Verdana" w:hAnsi="Verdana" w:cs="Arial"/>
              </w:rPr>
              <w:t xml:space="preserve"> 20</w:t>
            </w:r>
            <w:r w:rsidR="00D877EE">
              <w:rPr>
                <w:rFonts w:ascii="Verdana" w:hAnsi="Verdana" w:cs="Arial"/>
              </w:rPr>
              <w:t>20</w:t>
            </w:r>
            <w:r w:rsidRPr="00DE41DD">
              <w:rPr>
                <w:rFonts w:ascii="Verdana" w:hAnsi="Verdana" w:cs="Arial"/>
              </w:rPr>
              <w:t>.</w:t>
            </w:r>
          </w:p>
        </w:tc>
      </w:tr>
    </w:tbl>
    <w:p w14:paraId="0E6B8D70" w14:textId="77777777" w:rsidR="0086749B" w:rsidRDefault="0086749B" w:rsidP="004F4C55"/>
    <w:tbl>
      <w:tblPr>
        <w:tblW w:w="9351" w:type="dxa"/>
        <w:tblLook w:val="04A0" w:firstRow="1" w:lastRow="0" w:firstColumn="1" w:lastColumn="0" w:noHBand="0" w:noVBand="1"/>
      </w:tblPr>
      <w:tblGrid>
        <w:gridCol w:w="544"/>
        <w:gridCol w:w="8807"/>
      </w:tblGrid>
      <w:tr w:rsidR="00A71A30" w:rsidRPr="004241F0" w14:paraId="26A12B2A" w14:textId="77777777" w:rsidTr="00303773">
        <w:tc>
          <w:tcPr>
            <w:tcW w:w="534" w:type="dxa"/>
          </w:tcPr>
          <w:p w14:paraId="01F6ECFA" w14:textId="6E9C6A80" w:rsidR="00A71A30" w:rsidRPr="0009514A" w:rsidRDefault="00D877EE" w:rsidP="00706434">
            <w:pPr>
              <w:rPr>
                <w:rFonts w:ascii="Verdana" w:hAnsi="Verdana"/>
                <w:b/>
                <w:color w:val="FF0000"/>
              </w:rPr>
            </w:pPr>
            <w:r>
              <w:rPr>
                <w:rFonts w:ascii="Verdana" w:hAnsi="Verdana"/>
                <w:b/>
              </w:rPr>
              <w:t>7</w:t>
            </w:r>
          </w:p>
        </w:tc>
        <w:tc>
          <w:tcPr>
            <w:tcW w:w="8646" w:type="dxa"/>
          </w:tcPr>
          <w:p w14:paraId="0C22D157" w14:textId="77777777" w:rsidR="00D877EE" w:rsidRDefault="00D877EE" w:rsidP="00D877EE">
            <w:pPr>
              <w:pStyle w:val="NoSpacing"/>
              <w:rPr>
                <w:rFonts w:ascii="Verdana" w:hAnsi="Verdana"/>
                <w:b/>
              </w:rPr>
            </w:pPr>
            <w:r>
              <w:rPr>
                <w:rFonts w:ascii="Verdana" w:hAnsi="Verdana"/>
                <w:b/>
              </w:rPr>
              <w:t>Outline Estimates of Income and Expenditure 2020-21</w:t>
            </w:r>
          </w:p>
          <w:p w14:paraId="56F40273" w14:textId="77777777" w:rsidR="00A71A30" w:rsidRPr="00702927" w:rsidRDefault="00A71A30" w:rsidP="00706434">
            <w:pPr>
              <w:contextualSpacing/>
              <w:rPr>
                <w:rFonts w:ascii="Verdana" w:hAnsi="Verdana" w:cs="Arial"/>
              </w:rPr>
            </w:pPr>
          </w:p>
          <w:p w14:paraId="6A0EE1E6" w14:textId="33C9BE44" w:rsidR="00A71A30" w:rsidRPr="00702927" w:rsidRDefault="00A71A30" w:rsidP="00706434">
            <w:pPr>
              <w:pStyle w:val="NoSpacing"/>
              <w:rPr>
                <w:rFonts w:ascii="Verdana" w:hAnsi="Verdana"/>
              </w:rPr>
            </w:pPr>
            <w:r w:rsidRPr="00702927">
              <w:rPr>
                <w:rFonts w:ascii="Verdana" w:hAnsi="Verdana"/>
              </w:rPr>
              <w:t>A report, prepared by the Vice Principal: Corporate Services was received and considered.</w:t>
            </w:r>
          </w:p>
          <w:p w14:paraId="57FD1283" w14:textId="77777777" w:rsidR="00A71A30" w:rsidRPr="00702927" w:rsidRDefault="00A71A30" w:rsidP="00706434">
            <w:pPr>
              <w:contextualSpacing/>
              <w:rPr>
                <w:rFonts w:ascii="Verdana" w:hAnsi="Verdana" w:cs="Arial"/>
              </w:rPr>
            </w:pPr>
          </w:p>
          <w:p w14:paraId="22BC2341" w14:textId="73083389" w:rsidR="00A71A30" w:rsidRPr="0009514A" w:rsidRDefault="00D5467F" w:rsidP="00706434">
            <w:pPr>
              <w:contextualSpacing/>
              <w:rPr>
                <w:rFonts w:ascii="Verdana" w:hAnsi="Verdana" w:cs="Arial"/>
                <w:color w:val="FF0000"/>
              </w:rPr>
            </w:pPr>
            <w:r>
              <w:rPr>
                <w:rFonts w:ascii="Verdana" w:hAnsi="Verdana" w:cs="Arial"/>
              </w:rPr>
              <w:t>Draft h</w:t>
            </w:r>
            <w:r w:rsidR="003D4C32">
              <w:rPr>
                <w:rFonts w:ascii="Verdana" w:hAnsi="Verdana" w:cs="Arial"/>
              </w:rPr>
              <w:t xml:space="preserve">eadline figures </w:t>
            </w:r>
            <w:r>
              <w:rPr>
                <w:rFonts w:ascii="Verdana" w:hAnsi="Verdana" w:cs="Arial"/>
              </w:rPr>
              <w:t xml:space="preserve">for 2020-21 </w:t>
            </w:r>
            <w:r w:rsidR="003D4C32">
              <w:rPr>
                <w:rFonts w:ascii="Verdana" w:hAnsi="Verdana" w:cs="Arial"/>
              </w:rPr>
              <w:t>were noted as follows:</w:t>
            </w:r>
          </w:p>
        </w:tc>
      </w:tr>
    </w:tbl>
    <w:p w14:paraId="7CA243CA" w14:textId="3A7FA46D" w:rsidR="00A71A30" w:rsidRDefault="00A71A30" w:rsidP="004F4C55"/>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663"/>
        <w:gridCol w:w="992"/>
        <w:gridCol w:w="1134"/>
      </w:tblGrid>
      <w:tr w:rsidR="003D4C32" w14:paraId="647DE286" w14:textId="77777777" w:rsidTr="00303773">
        <w:tc>
          <w:tcPr>
            <w:tcW w:w="562" w:type="dxa"/>
          </w:tcPr>
          <w:p w14:paraId="201BA96C" w14:textId="77777777" w:rsidR="003D4C32" w:rsidRDefault="003D4C32" w:rsidP="004F4C55"/>
        </w:tc>
        <w:tc>
          <w:tcPr>
            <w:tcW w:w="6663" w:type="dxa"/>
          </w:tcPr>
          <w:p w14:paraId="603F6561" w14:textId="77777777" w:rsidR="003D4C32" w:rsidRPr="003D4C32" w:rsidRDefault="003D4C32" w:rsidP="004F4C55">
            <w:pPr>
              <w:rPr>
                <w:rFonts w:ascii="Verdana" w:hAnsi="Verdana"/>
              </w:rPr>
            </w:pPr>
          </w:p>
        </w:tc>
        <w:tc>
          <w:tcPr>
            <w:tcW w:w="992" w:type="dxa"/>
          </w:tcPr>
          <w:p w14:paraId="76B1A724" w14:textId="77777777" w:rsidR="003D4C32" w:rsidRDefault="003D4C32" w:rsidP="003D4C32">
            <w:pPr>
              <w:jc w:val="right"/>
              <w:rPr>
                <w:rFonts w:ascii="Verdana" w:hAnsi="Verdana"/>
                <w:i/>
                <w:iCs/>
              </w:rPr>
            </w:pPr>
            <w:r w:rsidRPr="003D4C32">
              <w:rPr>
                <w:rFonts w:ascii="Verdana" w:hAnsi="Verdana"/>
                <w:i/>
                <w:iCs/>
              </w:rPr>
              <w:t>£000</w:t>
            </w:r>
          </w:p>
          <w:p w14:paraId="7B212F93" w14:textId="0F742B66" w:rsidR="003D4C32" w:rsidRPr="003D4C32" w:rsidRDefault="003D4C32" w:rsidP="003D4C32">
            <w:pPr>
              <w:jc w:val="right"/>
              <w:rPr>
                <w:rFonts w:ascii="Verdana" w:hAnsi="Verdana"/>
                <w:i/>
                <w:iCs/>
              </w:rPr>
            </w:pPr>
          </w:p>
        </w:tc>
        <w:tc>
          <w:tcPr>
            <w:tcW w:w="1134" w:type="dxa"/>
          </w:tcPr>
          <w:p w14:paraId="432B057A" w14:textId="4F033F12" w:rsidR="003D4C32" w:rsidRPr="003D4C32" w:rsidRDefault="003D4C32" w:rsidP="003D4C32">
            <w:pPr>
              <w:jc w:val="right"/>
              <w:rPr>
                <w:rFonts w:ascii="Verdana" w:hAnsi="Verdana"/>
                <w:i/>
                <w:iCs/>
              </w:rPr>
            </w:pPr>
            <w:r w:rsidRPr="003D4C32">
              <w:rPr>
                <w:rFonts w:ascii="Verdana" w:hAnsi="Verdana"/>
                <w:i/>
                <w:iCs/>
              </w:rPr>
              <w:t>£000</w:t>
            </w:r>
          </w:p>
        </w:tc>
      </w:tr>
      <w:tr w:rsidR="003D4C32" w14:paraId="4AB828BB" w14:textId="77777777" w:rsidTr="00303773">
        <w:tc>
          <w:tcPr>
            <w:tcW w:w="562" w:type="dxa"/>
          </w:tcPr>
          <w:p w14:paraId="4C681A47" w14:textId="77777777" w:rsidR="003D4C32" w:rsidRDefault="003D4C32" w:rsidP="004F4C55"/>
        </w:tc>
        <w:tc>
          <w:tcPr>
            <w:tcW w:w="6663" w:type="dxa"/>
          </w:tcPr>
          <w:p w14:paraId="50C4E956" w14:textId="1AAB4771" w:rsidR="003D4C32" w:rsidRPr="003D4C32" w:rsidRDefault="003D4C32" w:rsidP="004F4C55">
            <w:pPr>
              <w:rPr>
                <w:rFonts w:ascii="Verdana" w:hAnsi="Verdana"/>
                <w:i/>
                <w:iCs/>
              </w:rPr>
            </w:pPr>
            <w:r w:rsidRPr="003D4C32">
              <w:rPr>
                <w:rFonts w:ascii="Verdana" w:hAnsi="Verdana"/>
                <w:i/>
                <w:iCs/>
              </w:rPr>
              <w:t>Income:</w:t>
            </w:r>
          </w:p>
        </w:tc>
        <w:tc>
          <w:tcPr>
            <w:tcW w:w="992" w:type="dxa"/>
          </w:tcPr>
          <w:p w14:paraId="2D387663" w14:textId="77777777" w:rsidR="003D4C32" w:rsidRPr="003D4C32" w:rsidRDefault="003D4C32" w:rsidP="003D4C32">
            <w:pPr>
              <w:jc w:val="right"/>
              <w:rPr>
                <w:rFonts w:ascii="Verdana" w:hAnsi="Verdana"/>
              </w:rPr>
            </w:pPr>
          </w:p>
        </w:tc>
        <w:tc>
          <w:tcPr>
            <w:tcW w:w="1134" w:type="dxa"/>
          </w:tcPr>
          <w:p w14:paraId="6A228E40" w14:textId="77777777" w:rsidR="003D4C32" w:rsidRPr="003D4C32" w:rsidRDefault="003D4C32" w:rsidP="003D4C32">
            <w:pPr>
              <w:jc w:val="right"/>
              <w:rPr>
                <w:rFonts w:ascii="Verdana" w:hAnsi="Verdana"/>
              </w:rPr>
            </w:pPr>
          </w:p>
        </w:tc>
      </w:tr>
      <w:tr w:rsidR="003D4C32" w14:paraId="52ECC24A" w14:textId="77777777" w:rsidTr="00303773">
        <w:tc>
          <w:tcPr>
            <w:tcW w:w="562" w:type="dxa"/>
          </w:tcPr>
          <w:p w14:paraId="15FF74F6" w14:textId="77777777" w:rsidR="003D4C32" w:rsidRDefault="003D4C32" w:rsidP="004F4C55"/>
        </w:tc>
        <w:tc>
          <w:tcPr>
            <w:tcW w:w="6663" w:type="dxa"/>
          </w:tcPr>
          <w:p w14:paraId="0436D1D8" w14:textId="5E2E034B" w:rsidR="003D4C32" w:rsidRPr="003D4C32" w:rsidRDefault="003D4C32" w:rsidP="004F4C55">
            <w:pPr>
              <w:rPr>
                <w:rFonts w:ascii="Verdana" w:hAnsi="Verdana"/>
              </w:rPr>
            </w:pPr>
            <w:r>
              <w:rPr>
                <w:rFonts w:ascii="Verdana" w:hAnsi="Verdana"/>
              </w:rPr>
              <w:t>Mainstream Funding Body</w:t>
            </w:r>
          </w:p>
        </w:tc>
        <w:tc>
          <w:tcPr>
            <w:tcW w:w="992" w:type="dxa"/>
          </w:tcPr>
          <w:p w14:paraId="461D0217" w14:textId="5CA49229" w:rsidR="003D4C32" w:rsidRPr="003D4C32" w:rsidRDefault="003D4C32" w:rsidP="003D4C32">
            <w:pPr>
              <w:jc w:val="right"/>
              <w:rPr>
                <w:rFonts w:ascii="Verdana" w:hAnsi="Verdana"/>
              </w:rPr>
            </w:pPr>
          </w:p>
        </w:tc>
        <w:tc>
          <w:tcPr>
            <w:tcW w:w="1134" w:type="dxa"/>
          </w:tcPr>
          <w:p w14:paraId="61E61627" w14:textId="0035877A" w:rsidR="003D4C32" w:rsidRPr="003D4C32" w:rsidRDefault="003D4C32" w:rsidP="003D4C32">
            <w:pPr>
              <w:jc w:val="right"/>
              <w:rPr>
                <w:rFonts w:ascii="Verdana" w:hAnsi="Verdana"/>
              </w:rPr>
            </w:pPr>
            <w:r>
              <w:rPr>
                <w:rFonts w:ascii="Verdana" w:hAnsi="Verdana"/>
              </w:rPr>
              <w:t>9,472</w:t>
            </w:r>
          </w:p>
        </w:tc>
      </w:tr>
      <w:tr w:rsidR="003D4C32" w14:paraId="18902408" w14:textId="77777777" w:rsidTr="00303773">
        <w:tc>
          <w:tcPr>
            <w:tcW w:w="562" w:type="dxa"/>
          </w:tcPr>
          <w:p w14:paraId="5FE66ED7" w14:textId="77777777" w:rsidR="003D4C32" w:rsidRDefault="003D4C32" w:rsidP="004F4C55"/>
        </w:tc>
        <w:tc>
          <w:tcPr>
            <w:tcW w:w="6663" w:type="dxa"/>
          </w:tcPr>
          <w:p w14:paraId="263725C5" w14:textId="5A68EF6E" w:rsidR="003D4C32" w:rsidRPr="003D4C32" w:rsidRDefault="003D4C32" w:rsidP="004F4C55">
            <w:pPr>
              <w:rPr>
                <w:rFonts w:ascii="Verdana" w:hAnsi="Verdana"/>
              </w:rPr>
            </w:pPr>
            <w:r>
              <w:rPr>
                <w:rFonts w:ascii="Verdana" w:hAnsi="Verdana"/>
              </w:rPr>
              <w:t>ESFA Other</w:t>
            </w:r>
          </w:p>
        </w:tc>
        <w:tc>
          <w:tcPr>
            <w:tcW w:w="992" w:type="dxa"/>
          </w:tcPr>
          <w:p w14:paraId="2CB0AD1E" w14:textId="77777777" w:rsidR="003D4C32" w:rsidRPr="003D4C32" w:rsidRDefault="003D4C32" w:rsidP="003D4C32">
            <w:pPr>
              <w:jc w:val="right"/>
              <w:rPr>
                <w:rFonts w:ascii="Verdana" w:hAnsi="Verdana"/>
              </w:rPr>
            </w:pPr>
          </w:p>
        </w:tc>
        <w:tc>
          <w:tcPr>
            <w:tcW w:w="1134" w:type="dxa"/>
          </w:tcPr>
          <w:p w14:paraId="10EE145E" w14:textId="0A8CBEC8" w:rsidR="003D4C32" w:rsidRPr="003D4C32" w:rsidRDefault="003D4C32" w:rsidP="003D4C32">
            <w:pPr>
              <w:jc w:val="right"/>
              <w:rPr>
                <w:rFonts w:ascii="Verdana" w:hAnsi="Verdana"/>
              </w:rPr>
            </w:pPr>
            <w:r>
              <w:rPr>
                <w:rFonts w:ascii="Verdana" w:hAnsi="Verdana"/>
              </w:rPr>
              <w:t>534</w:t>
            </w:r>
          </w:p>
        </w:tc>
      </w:tr>
      <w:tr w:rsidR="003D4C32" w14:paraId="56EA374E" w14:textId="77777777" w:rsidTr="00303773">
        <w:tc>
          <w:tcPr>
            <w:tcW w:w="562" w:type="dxa"/>
          </w:tcPr>
          <w:p w14:paraId="6CC2FE20" w14:textId="77777777" w:rsidR="003D4C32" w:rsidRDefault="003D4C32" w:rsidP="004F4C55"/>
        </w:tc>
        <w:tc>
          <w:tcPr>
            <w:tcW w:w="6663" w:type="dxa"/>
          </w:tcPr>
          <w:p w14:paraId="0F9C0CCF" w14:textId="100849CA" w:rsidR="003D4C32" w:rsidRPr="003D4C32" w:rsidRDefault="003D4C32" w:rsidP="004F4C55">
            <w:pPr>
              <w:rPr>
                <w:rFonts w:ascii="Verdana" w:hAnsi="Verdana"/>
              </w:rPr>
            </w:pPr>
            <w:r>
              <w:rPr>
                <w:rFonts w:ascii="Verdana" w:hAnsi="Verdana"/>
              </w:rPr>
              <w:t>Local Authority</w:t>
            </w:r>
          </w:p>
        </w:tc>
        <w:tc>
          <w:tcPr>
            <w:tcW w:w="992" w:type="dxa"/>
          </w:tcPr>
          <w:p w14:paraId="70A42C5A" w14:textId="77777777" w:rsidR="003D4C32" w:rsidRPr="003D4C32" w:rsidRDefault="003D4C32" w:rsidP="003D4C32">
            <w:pPr>
              <w:jc w:val="right"/>
              <w:rPr>
                <w:rFonts w:ascii="Verdana" w:hAnsi="Verdana"/>
              </w:rPr>
            </w:pPr>
          </w:p>
        </w:tc>
        <w:tc>
          <w:tcPr>
            <w:tcW w:w="1134" w:type="dxa"/>
          </w:tcPr>
          <w:p w14:paraId="654659A7" w14:textId="5CA6B486" w:rsidR="003D4C32" w:rsidRPr="003D4C32" w:rsidRDefault="003D4C32" w:rsidP="003D4C32">
            <w:pPr>
              <w:jc w:val="right"/>
              <w:rPr>
                <w:rFonts w:ascii="Verdana" w:hAnsi="Verdana"/>
              </w:rPr>
            </w:pPr>
            <w:r>
              <w:rPr>
                <w:rFonts w:ascii="Verdana" w:hAnsi="Verdana"/>
              </w:rPr>
              <w:t>412</w:t>
            </w:r>
          </w:p>
        </w:tc>
      </w:tr>
      <w:tr w:rsidR="003D4C32" w14:paraId="064A7A9E" w14:textId="77777777" w:rsidTr="00303773">
        <w:tc>
          <w:tcPr>
            <w:tcW w:w="562" w:type="dxa"/>
          </w:tcPr>
          <w:p w14:paraId="73C108DB" w14:textId="77777777" w:rsidR="003D4C32" w:rsidRDefault="003D4C32" w:rsidP="004F4C55"/>
        </w:tc>
        <w:tc>
          <w:tcPr>
            <w:tcW w:w="6663" w:type="dxa"/>
          </w:tcPr>
          <w:p w14:paraId="4F7DAC93" w14:textId="02D63C36" w:rsidR="003D4C32" w:rsidRPr="003D4C32" w:rsidRDefault="003D4C32" w:rsidP="004F4C55">
            <w:pPr>
              <w:rPr>
                <w:rFonts w:ascii="Verdana" w:hAnsi="Verdana"/>
              </w:rPr>
            </w:pPr>
            <w:r>
              <w:rPr>
                <w:rFonts w:ascii="Verdana" w:hAnsi="Verdana"/>
              </w:rPr>
              <w:t>Other</w:t>
            </w:r>
          </w:p>
        </w:tc>
        <w:tc>
          <w:tcPr>
            <w:tcW w:w="992" w:type="dxa"/>
          </w:tcPr>
          <w:p w14:paraId="2352565A" w14:textId="77777777" w:rsidR="003D4C32" w:rsidRPr="003D4C32" w:rsidRDefault="003D4C32" w:rsidP="003D4C32">
            <w:pPr>
              <w:jc w:val="right"/>
              <w:rPr>
                <w:rFonts w:ascii="Verdana" w:hAnsi="Verdana"/>
              </w:rPr>
            </w:pPr>
          </w:p>
        </w:tc>
        <w:tc>
          <w:tcPr>
            <w:tcW w:w="1134" w:type="dxa"/>
          </w:tcPr>
          <w:p w14:paraId="28C77118" w14:textId="5A791A32" w:rsidR="003D4C32" w:rsidRPr="003D4C32" w:rsidRDefault="003D4C32" w:rsidP="003D4C32">
            <w:pPr>
              <w:jc w:val="right"/>
              <w:rPr>
                <w:rFonts w:ascii="Verdana" w:hAnsi="Verdana"/>
              </w:rPr>
            </w:pPr>
            <w:r>
              <w:rPr>
                <w:rFonts w:ascii="Verdana" w:hAnsi="Verdana"/>
              </w:rPr>
              <w:t>312</w:t>
            </w:r>
          </w:p>
        </w:tc>
      </w:tr>
      <w:tr w:rsidR="003D4C32" w14:paraId="360A8E47" w14:textId="77777777" w:rsidTr="00303773">
        <w:tc>
          <w:tcPr>
            <w:tcW w:w="562" w:type="dxa"/>
          </w:tcPr>
          <w:p w14:paraId="2C1C3A75" w14:textId="77777777" w:rsidR="003D4C32" w:rsidRDefault="003D4C32" w:rsidP="004F4C55"/>
        </w:tc>
        <w:tc>
          <w:tcPr>
            <w:tcW w:w="6663" w:type="dxa"/>
          </w:tcPr>
          <w:p w14:paraId="51FB7338" w14:textId="77777777" w:rsidR="003D4C32" w:rsidRPr="003D4C32" w:rsidRDefault="003D4C32" w:rsidP="004F4C55">
            <w:pPr>
              <w:rPr>
                <w:rFonts w:ascii="Verdana" w:hAnsi="Verdana"/>
              </w:rPr>
            </w:pPr>
          </w:p>
        </w:tc>
        <w:tc>
          <w:tcPr>
            <w:tcW w:w="992" w:type="dxa"/>
          </w:tcPr>
          <w:p w14:paraId="36800795" w14:textId="77777777" w:rsidR="003D4C32" w:rsidRPr="003D4C32" w:rsidRDefault="003D4C32" w:rsidP="003D4C32">
            <w:pPr>
              <w:jc w:val="right"/>
              <w:rPr>
                <w:rFonts w:ascii="Verdana" w:hAnsi="Verdana"/>
              </w:rPr>
            </w:pPr>
          </w:p>
        </w:tc>
        <w:tc>
          <w:tcPr>
            <w:tcW w:w="1134" w:type="dxa"/>
          </w:tcPr>
          <w:p w14:paraId="68AFA99B" w14:textId="77777777" w:rsidR="003D4C32" w:rsidRPr="003D4C32" w:rsidRDefault="003D4C32" w:rsidP="003D4C32">
            <w:pPr>
              <w:jc w:val="right"/>
              <w:rPr>
                <w:rFonts w:ascii="Verdana" w:hAnsi="Verdana"/>
              </w:rPr>
            </w:pPr>
          </w:p>
        </w:tc>
      </w:tr>
      <w:tr w:rsidR="003D4C32" w14:paraId="6BB3A600" w14:textId="77777777" w:rsidTr="00303773">
        <w:tc>
          <w:tcPr>
            <w:tcW w:w="562" w:type="dxa"/>
          </w:tcPr>
          <w:p w14:paraId="72588ACB" w14:textId="77777777" w:rsidR="003D4C32" w:rsidRDefault="003D4C32" w:rsidP="004F4C55"/>
        </w:tc>
        <w:tc>
          <w:tcPr>
            <w:tcW w:w="6663" w:type="dxa"/>
          </w:tcPr>
          <w:p w14:paraId="49D17752" w14:textId="04CFC93A" w:rsidR="003D4C32" w:rsidRPr="003D4C32" w:rsidRDefault="003D4C32" w:rsidP="004F4C55">
            <w:pPr>
              <w:rPr>
                <w:rFonts w:ascii="Verdana" w:hAnsi="Verdana"/>
              </w:rPr>
            </w:pPr>
            <w:r>
              <w:rPr>
                <w:rFonts w:ascii="Verdana" w:hAnsi="Verdana"/>
              </w:rPr>
              <w:t>Total Income</w:t>
            </w:r>
          </w:p>
        </w:tc>
        <w:tc>
          <w:tcPr>
            <w:tcW w:w="992" w:type="dxa"/>
          </w:tcPr>
          <w:p w14:paraId="03DB5C16" w14:textId="77777777" w:rsidR="003D4C32" w:rsidRPr="003D4C32" w:rsidRDefault="003D4C32" w:rsidP="003D4C32">
            <w:pPr>
              <w:jc w:val="right"/>
              <w:rPr>
                <w:rFonts w:ascii="Verdana" w:hAnsi="Verdana"/>
              </w:rPr>
            </w:pPr>
          </w:p>
        </w:tc>
        <w:tc>
          <w:tcPr>
            <w:tcW w:w="1134" w:type="dxa"/>
          </w:tcPr>
          <w:p w14:paraId="11685C8F" w14:textId="7D6203F3" w:rsidR="003D4C32" w:rsidRPr="003D4C32" w:rsidRDefault="003D4C32" w:rsidP="003D4C32">
            <w:pPr>
              <w:jc w:val="right"/>
              <w:rPr>
                <w:rFonts w:ascii="Verdana" w:hAnsi="Verdana"/>
              </w:rPr>
            </w:pPr>
            <w:r>
              <w:rPr>
                <w:rFonts w:ascii="Verdana" w:hAnsi="Verdana"/>
              </w:rPr>
              <w:t>10,7</w:t>
            </w:r>
            <w:r w:rsidR="001E7DA9">
              <w:rPr>
                <w:rFonts w:ascii="Verdana" w:hAnsi="Verdana"/>
              </w:rPr>
              <w:t>30</w:t>
            </w:r>
          </w:p>
        </w:tc>
      </w:tr>
      <w:tr w:rsidR="003D4C32" w14:paraId="052648A3" w14:textId="77777777" w:rsidTr="00303773">
        <w:tc>
          <w:tcPr>
            <w:tcW w:w="562" w:type="dxa"/>
          </w:tcPr>
          <w:p w14:paraId="65F435D9" w14:textId="77777777" w:rsidR="003D4C32" w:rsidRDefault="003D4C32" w:rsidP="004F4C55"/>
        </w:tc>
        <w:tc>
          <w:tcPr>
            <w:tcW w:w="6663" w:type="dxa"/>
          </w:tcPr>
          <w:p w14:paraId="64C2BCBE" w14:textId="77777777" w:rsidR="003D4C32" w:rsidRPr="003D4C32" w:rsidRDefault="003D4C32" w:rsidP="004F4C55">
            <w:pPr>
              <w:rPr>
                <w:rFonts w:ascii="Verdana" w:hAnsi="Verdana"/>
              </w:rPr>
            </w:pPr>
          </w:p>
        </w:tc>
        <w:tc>
          <w:tcPr>
            <w:tcW w:w="992" w:type="dxa"/>
          </w:tcPr>
          <w:p w14:paraId="1DCFA8FB" w14:textId="77777777" w:rsidR="003D4C32" w:rsidRPr="003D4C32" w:rsidRDefault="003D4C32" w:rsidP="003D4C32">
            <w:pPr>
              <w:jc w:val="right"/>
              <w:rPr>
                <w:rFonts w:ascii="Verdana" w:hAnsi="Verdana"/>
              </w:rPr>
            </w:pPr>
          </w:p>
        </w:tc>
        <w:tc>
          <w:tcPr>
            <w:tcW w:w="1134" w:type="dxa"/>
          </w:tcPr>
          <w:p w14:paraId="42926480" w14:textId="77777777" w:rsidR="003D4C32" w:rsidRPr="003D4C32" w:rsidRDefault="003D4C32" w:rsidP="003D4C32">
            <w:pPr>
              <w:jc w:val="right"/>
              <w:rPr>
                <w:rFonts w:ascii="Verdana" w:hAnsi="Verdana"/>
              </w:rPr>
            </w:pPr>
          </w:p>
        </w:tc>
      </w:tr>
      <w:tr w:rsidR="003D4C32" w14:paraId="46C2A4A8" w14:textId="77777777" w:rsidTr="00303773">
        <w:tc>
          <w:tcPr>
            <w:tcW w:w="562" w:type="dxa"/>
          </w:tcPr>
          <w:p w14:paraId="28BD494B" w14:textId="77777777" w:rsidR="003D4C32" w:rsidRDefault="003D4C32" w:rsidP="004F4C55"/>
        </w:tc>
        <w:tc>
          <w:tcPr>
            <w:tcW w:w="6663" w:type="dxa"/>
          </w:tcPr>
          <w:p w14:paraId="00B17EF1" w14:textId="7FF9980E" w:rsidR="003D4C32" w:rsidRPr="003D4C32" w:rsidRDefault="003D4C32" w:rsidP="004F4C55">
            <w:pPr>
              <w:rPr>
                <w:rFonts w:ascii="Verdana" w:hAnsi="Verdana"/>
                <w:i/>
                <w:iCs/>
              </w:rPr>
            </w:pPr>
            <w:r w:rsidRPr="003D4C32">
              <w:rPr>
                <w:rFonts w:ascii="Verdana" w:hAnsi="Verdana"/>
                <w:i/>
                <w:iCs/>
              </w:rPr>
              <w:t>Expenditure:</w:t>
            </w:r>
          </w:p>
        </w:tc>
        <w:tc>
          <w:tcPr>
            <w:tcW w:w="992" w:type="dxa"/>
          </w:tcPr>
          <w:p w14:paraId="345F9BF9" w14:textId="77777777" w:rsidR="003D4C32" w:rsidRPr="003D4C32" w:rsidRDefault="003D4C32" w:rsidP="003D4C32">
            <w:pPr>
              <w:jc w:val="right"/>
              <w:rPr>
                <w:rFonts w:ascii="Verdana" w:hAnsi="Verdana"/>
              </w:rPr>
            </w:pPr>
          </w:p>
        </w:tc>
        <w:tc>
          <w:tcPr>
            <w:tcW w:w="1134" w:type="dxa"/>
          </w:tcPr>
          <w:p w14:paraId="52EF70AE" w14:textId="77777777" w:rsidR="003D4C32" w:rsidRPr="003D4C32" w:rsidRDefault="003D4C32" w:rsidP="003D4C32">
            <w:pPr>
              <w:jc w:val="right"/>
              <w:rPr>
                <w:rFonts w:ascii="Verdana" w:hAnsi="Verdana"/>
              </w:rPr>
            </w:pPr>
          </w:p>
        </w:tc>
      </w:tr>
      <w:tr w:rsidR="003D4C32" w14:paraId="0E8ED8BB" w14:textId="77777777" w:rsidTr="00303773">
        <w:tc>
          <w:tcPr>
            <w:tcW w:w="562" w:type="dxa"/>
          </w:tcPr>
          <w:p w14:paraId="3433904E" w14:textId="77777777" w:rsidR="003D4C32" w:rsidRDefault="003D4C32" w:rsidP="004F4C55"/>
        </w:tc>
        <w:tc>
          <w:tcPr>
            <w:tcW w:w="6663" w:type="dxa"/>
          </w:tcPr>
          <w:p w14:paraId="3933E0EB" w14:textId="55725081" w:rsidR="003D4C32" w:rsidRPr="003D4C32" w:rsidRDefault="003D4C32" w:rsidP="004F4C55">
            <w:pPr>
              <w:rPr>
                <w:rFonts w:ascii="Verdana" w:hAnsi="Verdana"/>
              </w:rPr>
            </w:pPr>
            <w:r>
              <w:rPr>
                <w:rFonts w:ascii="Verdana" w:hAnsi="Verdana"/>
              </w:rPr>
              <w:t>Teaching staff</w:t>
            </w:r>
          </w:p>
        </w:tc>
        <w:tc>
          <w:tcPr>
            <w:tcW w:w="992" w:type="dxa"/>
          </w:tcPr>
          <w:p w14:paraId="16487662" w14:textId="3CC73F3A" w:rsidR="003D4C32" w:rsidRPr="003D4C32" w:rsidRDefault="00D5467F" w:rsidP="003D4C32">
            <w:pPr>
              <w:jc w:val="right"/>
              <w:rPr>
                <w:rFonts w:ascii="Verdana" w:hAnsi="Verdana"/>
              </w:rPr>
            </w:pPr>
            <w:r>
              <w:rPr>
                <w:rFonts w:ascii="Verdana" w:hAnsi="Verdana"/>
              </w:rPr>
              <w:t>4,275</w:t>
            </w:r>
          </w:p>
        </w:tc>
        <w:tc>
          <w:tcPr>
            <w:tcW w:w="1134" w:type="dxa"/>
          </w:tcPr>
          <w:p w14:paraId="74F24D5D" w14:textId="77777777" w:rsidR="003D4C32" w:rsidRPr="003D4C32" w:rsidRDefault="003D4C32" w:rsidP="003D4C32">
            <w:pPr>
              <w:jc w:val="right"/>
              <w:rPr>
                <w:rFonts w:ascii="Verdana" w:hAnsi="Verdana"/>
              </w:rPr>
            </w:pPr>
          </w:p>
        </w:tc>
      </w:tr>
      <w:tr w:rsidR="003D4C32" w14:paraId="6CC74BAA" w14:textId="77777777" w:rsidTr="00303773">
        <w:tc>
          <w:tcPr>
            <w:tcW w:w="562" w:type="dxa"/>
          </w:tcPr>
          <w:p w14:paraId="44E3CEB2" w14:textId="77777777" w:rsidR="003D4C32" w:rsidRDefault="003D4C32" w:rsidP="004F4C55"/>
        </w:tc>
        <w:tc>
          <w:tcPr>
            <w:tcW w:w="6663" w:type="dxa"/>
          </w:tcPr>
          <w:p w14:paraId="727D65F1" w14:textId="49452D26" w:rsidR="003D4C32" w:rsidRPr="003D4C32" w:rsidRDefault="003D4C32" w:rsidP="004F4C55">
            <w:pPr>
              <w:rPr>
                <w:rFonts w:ascii="Verdana" w:hAnsi="Verdana"/>
              </w:rPr>
            </w:pPr>
            <w:r>
              <w:rPr>
                <w:rFonts w:ascii="Verdana" w:hAnsi="Verdana"/>
              </w:rPr>
              <w:t>Support staff</w:t>
            </w:r>
          </w:p>
        </w:tc>
        <w:tc>
          <w:tcPr>
            <w:tcW w:w="992" w:type="dxa"/>
          </w:tcPr>
          <w:p w14:paraId="4FBCC23D" w14:textId="3A3F1979" w:rsidR="003D4C32" w:rsidRPr="003D4C32" w:rsidRDefault="00D5467F" w:rsidP="003D4C32">
            <w:pPr>
              <w:jc w:val="right"/>
              <w:rPr>
                <w:rFonts w:ascii="Verdana" w:hAnsi="Verdana"/>
              </w:rPr>
            </w:pPr>
            <w:r>
              <w:rPr>
                <w:rFonts w:ascii="Verdana" w:hAnsi="Verdana"/>
              </w:rPr>
              <w:t>3,234</w:t>
            </w:r>
          </w:p>
        </w:tc>
        <w:tc>
          <w:tcPr>
            <w:tcW w:w="1134" w:type="dxa"/>
          </w:tcPr>
          <w:p w14:paraId="17748963" w14:textId="77777777" w:rsidR="003D4C32" w:rsidRPr="003D4C32" w:rsidRDefault="003D4C32" w:rsidP="003D4C32">
            <w:pPr>
              <w:jc w:val="right"/>
              <w:rPr>
                <w:rFonts w:ascii="Verdana" w:hAnsi="Verdana"/>
              </w:rPr>
            </w:pPr>
          </w:p>
        </w:tc>
      </w:tr>
      <w:tr w:rsidR="003D4C32" w14:paraId="7DCD3447" w14:textId="77777777" w:rsidTr="00303773">
        <w:tc>
          <w:tcPr>
            <w:tcW w:w="562" w:type="dxa"/>
          </w:tcPr>
          <w:p w14:paraId="34AEBB82" w14:textId="77777777" w:rsidR="003D4C32" w:rsidRDefault="003D4C32" w:rsidP="004F4C55"/>
        </w:tc>
        <w:tc>
          <w:tcPr>
            <w:tcW w:w="6663" w:type="dxa"/>
          </w:tcPr>
          <w:p w14:paraId="2E5C42B8" w14:textId="19783D14" w:rsidR="003D4C32" w:rsidRPr="003D4C32" w:rsidRDefault="003D4C32" w:rsidP="004F4C55">
            <w:pPr>
              <w:rPr>
                <w:rFonts w:ascii="Verdana" w:hAnsi="Verdana"/>
              </w:rPr>
            </w:pPr>
            <w:r>
              <w:rPr>
                <w:rFonts w:ascii="Verdana" w:hAnsi="Verdana"/>
              </w:rPr>
              <w:t>Non-pay</w:t>
            </w:r>
          </w:p>
        </w:tc>
        <w:tc>
          <w:tcPr>
            <w:tcW w:w="992" w:type="dxa"/>
          </w:tcPr>
          <w:p w14:paraId="2478542D" w14:textId="55165EC1" w:rsidR="003D4C32" w:rsidRPr="003D4C32" w:rsidRDefault="00D5467F" w:rsidP="003D4C32">
            <w:pPr>
              <w:jc w:val="right"/>
              <w:rPr>
                <w:rFonts w:ascii="Verdana" w:hAnsi="Verdana"/>
              </w:rPr>
            </w:pPr>
            <w:r>
              <w:rPr>
                <w:rFonts w:ascii="Verdana" w:hAnsi="Verdana"/>
              </w:rPr>
              <w:t>2,79</w:t>
            </w:r>
            <w:r w:rsidR="001E7DA9">
              <w:rPr>
                <w:rFonts w:ascii="Verdana" w:hAnsi="Verdana"/>
              </w:rPr>
              <w:t>5</w:t>
            </w:r>
          </w:p>
        </w:tc>
        <w:tc>
          <w:tcPr>
            <w:tcW w:w="1134" w:type="dxa"/>
          </w:tcPr>
          <w:p w14:paraId="37421931" w14:textId="77777777" w:rsidR="003D4C32" w:rsidRPr="003D4C32" w:rsidRDefault="003D4C32" w:rsidP="003D4C32">
            <w:pPr>
              <w:jc w:val="right"/>
              <w:rPr>
                <w:rFonts w:ascii="Verdana" w:hAnsi="Verdana"/>
              </w:rPr>
            </w:pPr>
          </w:p>
        </w:tc>
      </w:tr>
      <w:tr w:rsidR="003D4C32" w14:paraId="6239DA80" w14:textId="77777777" w:rsidTr="00303773">
        <w:tc>
          <w:tcPr>
            <w:tcW w:w="562" w:type="dxa"/>
          </w:tcPr>
          <w:p w14:paraId="752D1308" w14:textId="77777777" w:rsidR="003D4C32" w:rsidRDefault="003D4C32" w:rsidP="004F4C55"/>
        </w:tc>
        <w:tc>
          <w:tcPr>
            <w:tcW w:w="6663" w:type="dxa"/>
          </w:tcPr>
          <w:p w14:paraId="5D3FFFA8" w14:textId="5A819083" w:rsidR="003D4C32" w:rsidRPr="003D4C32" w:rsidRDefault="003D4C32" w:rsidP="004F4C55">
            <w:pPr>
              <w:rPr>
                <w:rFonts w:ascii="Verdana" w:hAnsi="Verdana"/>
              </w:rPr>
            </w:pPr>
            <w:r>
              <w:rPr>
                <w:rFonts w:ascii="Verdana" w:hAnsi="Verdana"/>
              </w:rPr>
              <w:t>Depreciation</w:t>
            </w:r>
          </w:p>
        </w:tc>
        <w:tc>
          <w:tcPr>
            <w:tcW w:w="992" w:type="dxa"/>
          </w:tcPr>
          <w:p w14:paraId="7B3FC3A4" w14:textId="0BC6D4C0" w:rsidR="003D4C32" w:rsidRPr="003D4C32" w:rsidRDefault="00D5467F" w:rsidP="003D4C32">
            <w:pPr>
              <w:jc w:val="right"/>
              <w:rPr>
                <w:rFonts w:ascii="Verdana" w:hAnsi="Verdana"/>
              </w:rPr>
            </w:pPr>
            <w:r>
              <w:rPr>
                <w:rFonts w:ascii="Verdana" w:hAnsi="Verdana"/>
              </w:rPr>
              <w:t>49</w:t>
            </w:r>
            <w:r w:rsidR="001E7DA9">
              <w:rPr>
                <w:rFonts w:ascii="Verdana" w:hAnsi="Verdana"/>
              </w:rPr>
              <w:t>6</w:t>
            </w:r>
          </w:p>
        </w:tc>
        <w:tc>
          <w:tcPr>
            <w:tcW w:w="1134" w:type="dxa"/>
          </w:tcPr>
          <w:p w14:paraId="58417532" w14:textId="77777777" w:rsidR="003D4C32" w:rsidRPr="003D4C32" w:rsidRDefault="003D4C32" w:rsidP="003D4C32">
            <w:pPr>
              <w:jc w:val="right"/>
              <w:rPr>
                <w:rFonts w:ascii="Verdana" w:hAnsi="Verdana"/>
              </w:rPr>
            </w:pPr>
          </w:p>
        </w:tc>
      </w:tr>
      <w:tr w:rsidR="003D4C32" w14:paraId="2FF1D10F" w14:textId="77777777" w:rsidTr="00303773">
        <w:tc>
          <w:tcPr>
            <w:tcW w:w="562" w:type="dxa"/>
          </w:tcPr>
          <w:p w14:paraId="60804A72" w14:textId="77777777" w:rsidR="003D4C32" w:rsidRDefault="003D4C32" w:rsidP="004F4C55"/>
        </w:tc>
        <w:tc>
          <w:tcPr>
            <w:tcW w:w="6663" w:type="dxa"/>
          </w:tcPr>
          <w:p w14:paraId="34B4F179" w14:textId="77777777" w:rsidR="003D4C32" w:rsidRPr="003D4C32" w:rsidRDefault="003D4C32" w:rsidP="004F4C55">
            <w:pPr>
              <w:rPr>
                <w:rFonts w:ascii="Verdana" w:hAnsi="Verdana"/>
              </w:rPr>
            </w:pPr>
          </w:p>
        </w:tc>
        <w:tc>
          <w:tcPr>
            <w:tcW w:w="992" w:type="dxa"/>
          </w:tcPr>
          <w:p w14:paraId="1CA084AD" w14:textId="77777777" w:rsidR="003D4C32" w:rsidRPr="003D4C32" w:rsidRDefault="003D4C32" w:rsidP="003D4C32">
            <w:pPr>
              <w:jc w:val="right"/>
              <w:rPr>
                <w:rFonts w:ascii="Verdana" w:hAnsi="Verdana"/>
              </w:rPr>
            </w:pPr>
          </w:p>
        </w:tc>
        <w:tc>
          <w:tcPr>
            <w:tcW w:w="1134" w:type="dxa"/>
          </w:tcPr>
          <w:p w14:paraId="550EB2E5" w14:textId="0325534F" w:rsidR="003D4C32" w:rsidRPr="003D4C32" w:rsidRDefault="00D5467F" w:rsidP="003D4C32">
            <w:pPr>
              <w:jc w:val="right"/>
              <w:rPr>
                <w:rFonts w:ascii="Verdana" w:hAnsi="Verdana"/>
              </w:rPr>
            </w:pPr>
            <w:r>
              <w:rPr>
                <w:rFonts w:ascii="Verdana" w:hAnsi="Verdana"/>
              </w:rPr>
              <w:t>10,</w:t>
            </w:r>
            <w:r w:rsidR="001E7DA9">
              <w:rPr>
                <w:rFonts w:ascii="Verdana" w:hAnsi="Verdana"/>
              </w:rPr>
              <w:t>800</w:t>
            </w:r>
          </w:p>
        </w:tc>
      </w:tr>
      <w:tr w:rsidR="003D4C32" w14:paraId="03C87321" w14:textId="77777777" w:rsidTr="00303773">
        <w:tc>
          <w:tcPr>
            <w:tcW w:w="562" w:type="dxa"/>
          </w:tcPr>
          <w:p w14:paraId="2EF43385" w14:textId="77777777" w:rsidR="003D4C32" w:rsidRDefault="003D4C32" w:rsidP="004F4C55"/>
        </w:tc>
        <w:tc>
          <w:tcPr>
            <w:tcW w:w="6663" w:type="dxa"/>
          </w:tcPr>
          <w:p w14:paraId="69694D94" w14:textId="77777777" w:rsidR="003D4C32" w:rsidRPr="003D4C32" w:rsidRDefault="003D4C32" w:rsidP="004F4C55">
            <w:pPr>
              <w:rPr>
                <w:rFonts w:ascii="Verdana" w:hAnsi="Verdana"/>
              </w:rPr>
            </w:pPr>
          </w:p>
        </w:tc>
        <w:tc>
          <w:tcPr>
            <w:tcW w:w="992" w:type="dxa"/>
          </w:tcPr>
          <w:p w14:paraId="07D225EC" w14:textId="77777777" w:rsidR="003D4C32" w:rsidRPr="003D4C32" w:rsidRDefault="003D4C32" w:rsidP="003D4C32">
            <w:pPr>
              <w:jc w:val="right"/>
              <w:rPr>
                <w:rFonts w:ascii="Verdana" w:hAnsi="Verdana"/>
              </w:rPr>
            </w:pPr>
          </w:p>
        </w:tc>
        <w:tc>
          <w:tcPr>
            <w:tcW w:w="1134" w:type="dxa"/>
          </w:tcPr>
          <w:p w14:paraId="24058B94" w14:textId="77777777" w:rsidR="003D4C32" w:rsidRPr="003D4C32" w:rsidRDefault="003D4C32" w:rsidP="003D4C32">
            <w:pPr>
              <w:jc w:val="right"/>
              <w:rPr>
                <w:rFonts w:ascii="Verdana" w:hAnsi="Verdana"/>
              </w:rPr>
            </w:pPr>
          </w:p>
        </w:tc>
      </w:tr>
      <w:tr w:rsidR="003D4C32" w14:paraId="715872E6" w14:textId="77777777" w:rsidTr="00303773">
        <w:tc>
          <w:tcPr>
            <w:tcW w:w="562" w:type="dxa"/>
          </w:tcPr>
          <w:p w14:paraId="3BF55B9B" w14:textId="77777777" w:rsidR="003D4C32" w:rsidRDefault="003D4C32" w:rsidP="004F4C55"/>
        </w:tc>
        <w:tc>
          <w:tcPr>
            <w:tcW w:w="6663" w:type="dxa"/>
          </w:tcPr>
          <w:p w14:paraId="4EC82000" w14:textId="2BB44E14" w:rsidR="003D4C32" w:rsidRPr="003D4C32" w:rsidRDefault="00D5467F" w:rsidP="004F4C55">
            <w:pPr>
              <w:rPr>
                <w:rFonts w:ascii="Verdana" w:hAnsi="Verdana"/>
              </w:rPr>
            </w:pPr>
            <w:r>
              <w:rPr>
                <w:rFonts w:ascii="Verdana" w:hAnsi="Verdana"/>
              </w:rPr>
              <w:t>Deficit for 2020-21</w:t>
            </w:r>
          </w:p>
        </w:tc>
        <w:tc>
          <w:tcPr>
            <w:tcW w:w="992" w:type="dxa"/>
          </w:tcPr>
          <w:p w14:paraId="6E807FE8" w14:textId="77777777" w:rsidR="003D4C32" w:rsidRPr="003D4C32" w:rsidRDefault="003D4C32" w:rsidP="003D4C32">
            <w:pPr>
              <w:jc w:val="right"/>
              <w:rPr>
                <w:rFonts w:ascii="Verdana" w:hAnsi="Verdana"/>
              </w:rPr>
            </w:pPr>
          </w:p>
        </w:tc>
        <w:tc>
          <w:tcPr>
            <w:tcW w:w="1134" w:type="dxa"/>
          </w:tcPr>
          <w:p w14:paraId="52B7D44D" w14:textId="4D74FDC9" w:rsidR="003D4C32" w:rsidRPr="003D4C32" w:rsidRDefault="008100B2" w:rsidP="003D4C32">
            <w:pPr>
              <w:jc w:val="right"/>
              <w:rPr>
                <w:rFonts w:ascii="Verdana" w:hAnsi="Verdana"/>
              </w:rPr>
            </w:pPr>
            <w:r>
              <w:rPr>
                <w:rFonts w:ascii="Verdana" w:hAnsi="Verdana"/>
              </w:rPr>
              <w:t>(</w:t>
            </w:r>
            <w:r w:rsidR="00D5467F">
              <w:rPr>
                <w:rFonts w:ascii="Verdana" w:hAnsi="Verdana"/>
              </w:rPr>
              <w:t>7</w:t>
            </w:r>
            <w:r w:rsidR="001E7DA9">
              <w:rPr>
                <w:rFonts w:ascii="Verdana" w:hAnsi="Verdana"/>
              </w:rPr>
              <w:t>0</w:t>
            </w:r>
            <w:r>
              <w:rPr>
                <w:rFonts w:ascii="Verdana" w:hAnsi="Verdana"/>
              </w:rPr>
              <w:t>)</w:t>
            </w:r>
          </w:p>
        </w:tc>
      </w:tr>
    </w:tbl>
    <w:p w14:paraId="4DD3CD8D" w14:textId="51817FE6" w:rsidR="003D4C32" w:rsidRDefault="003D4C32" w:rsidP="004F4C55"/>
    <w:tbl>
      <w:tblPr>
        <w:tblW w:w="9351" w:type="dxa"/>
        <w:tblLook w:val="04A0" w:firstRow="1" w:lastRow="0" w:firstColumn="1" w:lastColumn="0" w:noHBand="0" w:noVBand="1"/>
      </w:tblPr>
      <w:tblGrid>
        <w:gridCol w:w="544"/>
        <w:gridCol w:w="8807"/>
      </w:tblGrid>
      <w:tr w:rsidR="00D5467F" w:rsidRPr="0009514A" w14:paraId="7F9AEB80" w14:textId="77777777" w:rsidTr="00303773">
        <w:tc>
          <w:tcPr>
            <w:tcW w:w="534" w:type="dxa"/>
          </w:tcPr>
          <w:p w14:paraId="40AB7183" w14:textId="75498AB4" w:rsidR="00D5467F" w:rsidRPr="0009514A" w:rsidRDefault="00D5467F" w:rsidP="00F01434">
            <w:pPr>
              <w:rPr>
                <w:rFonts w:ascii="Verdana" w:hAnsi="Verdana"/>
                <w:b/>
                <w:color w:val="FF0000"/>
              </w:rPr>
            </w:pPr>
          </w:p>
        </w:tc>
        <w:tc>
          <w:tcPr>
            <w:tcW w:w="8646" w:type="dxa"/>
          </w:tcPr>
          <w:p w14:paraId="7FEE9A1B" w14:textId="153ADFD5" w:rsidR="00D5467F" w:rsidRPr="00D5467F" w:rsidRDefault="00D5467F" w:rsidP="00F01434">
            <w:pPr>
              <w:contextualSpacing/>
              <w:rPr>
                <w:rFonts w:ascii="Verdana" w:hAnsi="Verdana" w:cs="Arial"/>
              </w:rPr>
            </w:pPr>
            <w:r w:rsidRPr="00D5467F">
              <w:rPr>
                <w:rFonts w:ascii="Verdana" w:hAnsi="Verdana" w:cs="Arial"/>
              </w:rPr>
              <w:t>In relation to the above it was noted that:</w:t>
            </w:r>
          </w:p>
        </w:tc>
      </w:tr>
    </w:tbl>
    <w:p w14:paraId="7014870C" w14:textId="42187EEF" w:rsidR="003D4C32" w:rsidRDefault="003D4C32" w:rsidP="004F4C55"/>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429"/>
        <w:gridCol w:w="8355"/>
      </w:tblGrid>
      <w:tr w:rsidR="00D5467F" w:rsidRPr="003121E4" w14:paraId="77C096F4" w14:textId="77777777" w:rsidTr="00303773">
        <w:tc>
          <w:tcPr>
            <w:tcW w:w="538" w:type="dxa"/>
          </w:tcPr>
          <w:p w14:paraId="338741F4" w14:textId="77777777" w:rsidR="00D5467F" w:rsidRPr="003121E4" w:rsidRDefault="00D5467F" w:rsidP="00F01434">
            <w:pPr>
              <w:rPr>
                <w:rFonts w:ascii="Verdana" w:hAnsi="Verdana"/>
              </w:rPr>
            </w:pPr>
          </w:p>
        </w:tc>
        <w:tc>
          <w:tcPr>
            <w:tcW w:w="429" w:type="dxa"/>
          </w:tcPr>
          <w:p w14:paraId="66FA00CF" w14:textId="77777777" w:rsidR="00D5467F" w:rsidRPr="003121E4" w:rsidRDefault="00D5467F" w:rsidP="00F01434">
            <w:pPr>
              <w:rPr>
                <w:rFonts w:ascii="Verdana" w:hAnsi="Verdana"/>
                <w:b/>
              </w:rPr>
            </w:pPr>
            <w:r w:rsidRPr="003121E4">
              <w:rPr>
                <w:rFonts w:ascii="Verdana" w:hAnsi="Verdana"/>
                <w:b/>
              </w:rPr>
              <w:t>.</w:t>
            </w:r>
          </w:p>
        </w:tc>
        <w:tc>
          <w:tcPr>
            <w:tcW w:w="8355" w:type="dxa"/>
          </w:tcPr>
          <w:p w14:paraId="27F9BDC1" w14:textId="3CE63969" w:rsidR="00D5467F" w:rsidRPr="003121E4" w:rsidRDefault="00D5467F" w:rsidP="00D5467F">
            <w:pPr>
              <w:rPr>
                <w:rFonts w:ascii="Verdana" w:hAnsi="Verdana" w:cs="Arial"/>
              </w:rPr>
            </w:pPr>
            <w:r w:rsidRPr="003121E4">
              <w:rPr>
                <w:rFonts w:ascii="Verdana" w:hAnsi="Verdana" w:cs="Arial"/>
              </w:rPr>
              <w:t xml:space="preserve">although a review of mainstream funding is due, the budget had been prepared on the basis that the current funding system and </w:t>
            </w:r>
            <w:r w:rsidR="008100B2">
              <w:rPr>
                <w:rFonts w:ascii="Verdana" w:hAnsi="Verdana" w:cs="Arial"/>
              </w:rPr>
              <w:t xml:space="preserve">attendant </w:t>
            </w:r>
            <w:r w:rsidRPr="003121E4">
              <w:rPr>
                <w:rFonts w:ascii="Verdana" w:hAnsi="Verdana" w:cs="Arial"/>
              </w:rPr>
              <w:t>rates will remain unchanged (including the announced rise);</w:t>
            </w:r>
          </w:p>
          <w:p w14:paraId="6CF46B2D" w14:textId="77777777" w:rsidR="00D5467F" w:rsidRPr="003121E4" w:rsidRDefault="00D5467F" w:rsidP="00F01434">
            <w:pPr>
              <w:contextualSpacing/>
              <w:rPr>
                <w:rFonts w:ascii="Verdana" w:hAnsi="Verdana" w:cs="Arial"/>
              </w:rPr>
            </w:pPr>
          </w:p>
        </w:tc>
      </w:tr>
      <w:tr w:rsidR="00D5467F" w:rsidRPr="003121E4" w14:paraId="38034429" w14:textId="77777777" w:rsidTr="00303773">
        <w:tc>
          <w:tcPr>
            <w:tcW w:w="538" w:type="dxa"/>
          </w:tcPr>
          <w:p w14:paraId="326C075A" w14:textId="77777777" w:rsidR="00D5467F" w:rsidRPr="003121E4" w:rsidRDefault="00D5467F" w:rsidP="00F01434">
            <w:pPr>
              <w:rPr>
                <w:rFonts w:ascii="Verdana" w:hAnsi="Verdana"/>
              </w:rPr>
            </w:pPr>
          </w:p>
        </w:tc>
        <w:tc>
          <w:tcPr>
            <w:tcW w:w="429" w:type="dxa"/>
          </w:tcPr>
          <w:p w14:paraId="7562D325" w14:textId="77777777" w:rsidR="00D5467F" w:rsidRPr="003121E4" w:rsidRDefault="00D5467F" w:rsidP="00F01434">
            <w:pPr>
              <w:rPr>
                <w:rFonts w:ascii="Verdana" w:hAnsi="Verdana"/>
                <w:b/>
              </w:rPr>
            </w:pPr>
            <w:r w:rsidRPr="003121E4">
              <w:rPr>
                <w:rFonts w:ascii="Verdana" w:hAnsi="Verdana"/>
                <w:b/>
              </w:rPr>
              <w:t>.</w:t>
            </w:r>
          </w:p>
        </w:tc>
        <w:tc>
          <w:tcPr>
            <w:tcW w:w="8355" w:type="dxa"/>
          </w:tcPr>
          <w:p w14:paraId="28028745" w14:textId="53F31D1E" w:rsidR="00D5467F" w:rsidRPr="003121E4" w:rsidRDefault="00D5467F" w:rsidP="00F01434">
            <w:pPr>
              <w:contextualSpacing/>
              <w:rPr>
                <w:rFonts w:ascii="Verdana" w:hAnsi="Verdana" w:cs="Arial"/>
              </w:rPr>
            </w:pPr>
            <w:r w:rsidRPr="003121E4">
              <w:rPr>
                <w:rFonts w:ascii="Verdana" w:hAnsi="Verdana" w:cs="Arial"/>
              </w:rPr>
              <w:t xml:space="preserve">the funding increase by comparison with 2019-20 results from three principal factors – 100 more students in 2019, the </w:t>
            </w:r>
            <w:r w:rsidR="008100B2">
              <w:rPr>
                <w:rFonts w:ascii="Verdana" w:hAnsi="Verdana" w:cs="Arial"/>
              </w:rPr>
              <w:t xml:space="preserve">announced </w:t>
            </w:r>
            <w:r w:rsidRPr="003121E4">
              <w:rPr>
                <w:rFonts w:ascii="Verdana" w:hAnsi="Verdana" w:cs="Arial"/>
              </w:rPr>
              <w:t xml:space="preserve">funding rate increase, and extra funding </w:t>
            </w:r>
            <w:r w:rsidR="008100B2">
              <w:rPr>
                <w:rFonts w:ascii="Verdana" w:hAnsi="Verdana" w:cs="Arial"/>
              </w:rPr>
              <w:t xml:space="preserve">announced </w:t>
            </w:r>
            <w:r w:rsidRPr="003121E4">
              <w:rPr>
                <w:rFonts w:ascii="Verdana" w:hAnsi="Verdana" w:cs="Arial"/>
              </w:rPr>
              <w:t>for Maths;</w:t>
            </w:r>
          </w:p>
          <w:p w14:paraId="3E615B95" w14:textId="45B41125" w:rsidR="00D5467F" w:rsidRPr="003121E4" w:rsidRDefault="00D5467F" w:rsidP="00F01434">
            <w:pPr>
              <w:contextualSpacing/>
              <w:rPr>
                <w:rFonts w:ascii="Verdana" w:hAnsi="Verdana" w:cs="Arial"/>
              </w:rPr>
            </w:pPr>
          </w:p>
        </w:tc>
      </w:tr>
      <w:tr w:rsidR="00D5467F" w:rsidRPr="003121E4" w14:paraId="16510783" w14:textId="77777777" w:rsidTr="00303773">
        <w:tc>
          <w:tcPr>
            <w:tcW w:w="538" w:type="dxa"/>
          </w:tcPr>
          <w:p w14:paraId="705ABB59" w14:textId="77777777" w:rsidR="00D5467F" w:rsidRPr="003121E4" w:rsidRDefault="00D5467F" w:rsidP="00F01434">
            <w:pPr>
              <w:rPr>
                <w:rFonts w:ascii="Verdana" w:hAnsi="Verdana"/>
              </w:rPr>
            </w:pPr>
          </w:p>
        </w:tc>
        <w:tc>
          <w:tcPr>
            <w:tcW w:w="429" w:type="dxa"/>
          </w:tcPr>
          <w:p w14:paraId="63D23918" w14:textId="77777777" w:rsidR="00D5467F" w:rsidRPr="003121E4" w:rsidRDefault="00D5467F" w:rsidP="00F01434">
            <w:pPr>
              <w:rPr>
                <w:rFonts w:ascii="Verdana" w:hAnsi="Verdana"/>
                <w:b/>
              </w:rPr>
            </w:pPr>
            <w:r w:rsidRPr="003121E4">
              <w:rPr>
                <w:rFonts w:ascii="Verdana" w:hAnsi="Verdana"/>
                <w:b/>
              </w:rPr>
              <w:t>.</w:t>
            </w:r>
          </w:p>
        </w:tc>
        <w:tc>
          <w:tcPr>
            <w:tcW w:w="8355" w:type="dxa"/>
          </w:tcPr>
          <w:p w14:paraId="4EE79CE8" w14:textId="77777777" w:rsidR="00D5467F" w:rsidRPr="003121E4" w:rsidRDefault="00D5467F" w:rsidP="00F01434">
            <w:pPr>
              <w:rPr>
                <w:rFonts w:ascii="Verdana" w:hAnsi="Verdana" w:cs="Arial"/>
              </w:rPr>
            </w:pPr>
            <w:r w:rsidRPr="003121E4">
              <w:rPr>
                <w:rFonts w:ascii="Verdana" w:hAnsi="Verdana" w:cs="Arial"/>
              </w:rPr>
              <w:t>a major funding review might entail changes in deprivation allowances – these have typically been resented by colleges with low levels of deprivation funding;</w:t>
            </w:r>
          </w:p>
          <w:p w14:paraId="7FD48075" w14:textId="2C15799F" w:rsidR="00D5467F" w:rsidRPr="003121E4" w:rsidRDefault="00D5467F" w:rsidP="00F01434">
            <w:pPr>
              <w:rPr>
                <w:rFonts w:ascii="Verdana" w:hAnsi="Verdana" w:cs="Arial"/>
              </w:rPr>
            </w:pPr>
          </w:p>
        </w:tc>
      </w:tr>
      <w:tr w:rsidR="00D5467F" w:rsidRPr="003121E4" w14:paraId="7C76B3E1" w14:textId="77777777" w:rsidTr="00303773">
        <w:tc>
          <w:tcPr>
            <w:tcW w:w="538" w:type="dxa"/>
          </w:tcPr>
          <w:p w14:paraId="565C1461" w14:textId="77777777" w:rsidR="00D5467F" w:rsidRPr="003121E4" w:rsidRDefault="00D5467F" w:rsidP="00F01434">
            <w:pPr>
              <w:rPr>
                <w:rFonts w:ascii="Verdana" w:hAnsi="Verdana"/>
              </w:rPr>
            </w:pPr>
          </w:p>
        </w:tc>
        <w:tc>
          <w:tcPr>
            <w:tcW w:w="429" w:type="dxa"/>
          </w:tcPr>
          <w:p w14:paraId="2586B8B0" w14:textId="22B63B78" w:rsidR="00D5467F" w:rsidRPr="003121E4" w:rsidRDefault="00D5467F" w:rsidP="00F01434">
            <w:pPr>
              <w:rPr>
                <w:rFonts w:ascii="Verdana" w:hAnsi="Verdana"/>
                <w:b/>
              </w:rPr>
            </w:pPr>
            <w:r w:rsidRPr="003121E4">
              <w:rPr>
                <w:rFonts w:ascii="Verdana" w:hAnsi="Verdana"/>
                <w:b/>
              </w:rPr>
              <w:t>.</w:t>
            </w:r>
          </w:p>
        </w:tc>
        <w:tc>
          <w:tcPr>
            <w:tcW w:w="8355" w:type="dxa"/>
          </w:tcPr>
          <w:p w14:paraId="5060E74B" w14:textId="550884B0" w:rsidR="001E7DA9" w:rsidRDefault="003121E4" w:rsidP="00F01434">
            <w:pPr>
              <w:rPr>
                <w:rFonts w:ascii="Verdana" w:hAnsi="Verdana" w:cs="Arial"/>
              </w:rPr>
            </w:pPr>
            <w:r w:rsidRPr="003121E4">
              <w:rPr>
                <w:rFonts w:ascii="Verdana" w:hAnsi="Verdana" w:cs="Arial"/>
              </w:rPr>
              <w:t xml:space="preserve">the </w:t>
            </w:r>
            <w:r w:rsidR="001E7DA9">
              <w:rPr>
                <w:rFonts w:ascii="Verdana" w:hAnsi="Verdana" w:cs="Arial"/>
              </w:rPr>
              <w:t>status</w:t>
            </w:r>
            <w:r w:rsidRPr="003121E4">
              <w:rPr>
                <w:rFonts w:ascii="Verdana" w:hAnsi="Verdana" w:cs="Arial"/>
              </w:rPr>
              <w:t xml:space="preserve"> of the Teachers’ Pension grant covering the additional cost of raising the employers’ contribution from 16.48% to 23.48% is uncertain </w:t>
            </w:r>
            <w:r w:rsidR="008100B2" w:rsidRPr="003121E4">
              <w:rPr>
                <w:rFonts w:ascii="Verdana" w:hAnsi="Verdana" w:cs="Arial"/>
              </w:rPr>
              <w:t>beyond 31 March 2021</w:t>
            </w:r>
            <w:r w:rsidR="002D260A">
              <w:rPr>
                <w:rFonts w:ascii="Verdana" w:hAnsi="Verdana" w:cs="Arial"/>
              </w:rPr>
              <w:t xml:space="preserve"> </w:t>
            </w:r>
            <w:r w:rsidRPr="003121E4">
              <w:rPr>
                <w:rFonts w:ascii="Verdana" w:hAnsi="Verdana" w:cs="Arial"/>
              </w:rPr>
              <w:t xml:space="preserve">and is linked to the funding review, with Government departments </w:t>
            </w:r>
            <w:r w:rsidR="001E7DA9">
              <w:rPr>
                <w:rFonts w:ascii="Verdana" w:hAnsi="Verdana" w:cs="Arial"/>
              </w:rPr>
              <w:t>being required to implement</w:t>
            </w:r>
            <w:r w:rsidRPr="003121E4">
              <w:rPr>
                <w:rFonts w:ascii="Verdana" w:hAnsi="Verdana" w:cs="Arial"/>
              </w:rPr>
              <w:t xml:space="preserve"> a significant court decision on public sector pensions (relating to the McCloud judgement) which will need to be presented to Parliament</w:t>
            </w:r>
            <w:r w:rsidR="001E7DA9">
              <w:rPr>
                <w:rFonts w:ascii="Verdana" w:hAnsi="Verdana" w:cs="Arial"/>
              </w:rPr>
              <w:t>;</w:t>
            </w:r>
          </w:p>
          <w:p w14:paraId="3C67FD8C" w14:textId="397ECBE5" w:rsidR="00D5467F" w:rsidRPr="003121E4" w:rsidRDefault="003121E4" w:rsidP="00F01434">
            <w:pPr>
              <w:rPr>
                <w:rFonts w:ascii="Verdana" w:hAnsi="Verdana" w:cs="Arial"/>
              </w:rPr>
            </w:pPr>
            <w:r w:rsidRPr="003121E4">
              <w:rPr>
                <w:rFonts w:ascii="Verdana" w:hAnsi="Verdana" w:cs="Arial"/>
              </w:rPr>
              <w:t xml:space="preserve">                                                                                                                </w:t>
            </w:r>
          </w:p>
        </w:tc>
      </w:tr>
      <w:tr w:rsidR="001E7DA9" w:rsidRPr="003121E4" w14:paraId="757FF53D" w14:textId="77777777" w:rsidTr="00303773">
        <w:tc>
          <w:tcPr>
            <w:tcW w:w="538" w:type="dxa"/>
          </w:tcPr>
          <w:p w14:paraId="38A0B1E7" w14:textId="77777777" w:rsidR="001E7DA9" w:rsidRPr="003121E4" w:rsidRDefault="001E7DA9" w:rsidP="001E7DA9">
            <w:pPr>
              <w:rPr>
                <w:rFonts w:ascii="Verdana" w:hAnsi="Verdana"/>
              </w:rPr>
            </w:pPr>
          </w:p>
        </w:tc>
        <w:tc>
          <w:tcPr>
            <w:tcW w:w="429" w:type="dxa"/>
          </w:tcPr>
          <w:p w14:paraId="07D5C1FD" w14:textId="58F6D29B" w:rsidR="001E7DA9" w:rsidRPr="003121E4" w:rsidRDefault="001E7DA9" w:rsidP="001E7DA9">
            <w:pPr>
              <w:rPr>
                <w:rFonts w:ascii="Verdana" w:hAnsi="Verdana"/>
                <w:b/>
              </w:rPr>
            </w:pPr>
            <w:r w:rsidRPr="008D7D88">
              <w:rPr>
                <w:rFonts w:ascii="Verdana" w:hAnsi="Verdana"/>
                <w:b/>
              </w:rPr>
              <w:t>.</w:t>
            </w:r>
          </w:p>
        </w:tc>
        <w:tc>
          <w:tcPr>
            <w:tcW w:w="8355" w:type="dxa"/>
          </w:tcPr>
          <w:p w14:paraId="0FFA7A19" w14:textId="77777777" w:rsidR="001E7DA9" w:rsidRPr="008D7D88" w:rsidRDefault="001E7DA9" w:rsidP="001E7DA9">
            <w:pPr>
              <w:rPr>
                <w:rFonts w:ascii="Verdana" w:hAnsi="Verdana" w:cs="Arial"/>
              </w:rPr>
            </w:pPr>
            <w:r w:rsidRPr="008D7D88">
              <w:rPr>
                <w:rFonts w:ascii="Verdana" w:hAnsi="Verdana" w:cs="Arial"/>
              </w:rPr>
              <w:t>for the purpose of the present forecast it is assumed that the position will be no worse than under the current system;</w:t>
            </w:r>
          </w:p>
          <w:p w14:paraId="2E7FBCEF" w14:textId="77777777" w:rsidR="001E7DA9" w:rsidRPr="003121E4" w:rsidRDefault="001E7DA9" w:rsidP="001E7DA9">
            <w:pPr>
              <w:rPr>
                <w:rFonts w:ascii="Verdana" w:hAnsi="Verdana" w:cs="Arial"/>
              </w:rPr>
            </w:pPr>
          </w:p>
        </w:tc>
      </w:tr>
      <w:tr w:rsidR="001E7DA9" w:rsidRPr="003121E4" w14:paraId="3FCA4CB8" w14:textId="77777777" w:rsidTr="00303773">
        <w:tc>
          <w:tcPr>
            <w:tcW w:w="538" w:type="dxa"/>
          </w:tcPr>
          <w:p w14:paraId="14A1835F" w14:textId="77777777" w:rsidR="001E7DA9" w:rsidRPr="003121E4" w:rsidRDefault="001E7DA9" w:rsidP="001E7DA9">
            <w:pPr>
              <w:rPr>
                <w:rFonts w:ascii="Verdana" w:hAnsi="Verdana"/>
              </w:rPr>
            </w:pPr>
          </w:p>
        </w:tc>
        <w:tc>
          <w:tcPr>
            <w:tcW w:w="429" w:type="dxa"/>
          </w:tcPr>
          <w:p w14:paraId="1339815F" w14:textId="172AD93E" w:rsidR="001E7DA9" w:rsidRPr="003121E4" w:rsidRDefault="001E7DA9" w:rsidP="001E7DA9">
            <w:pPr>
              <w:rPr>
                <w:rFonts w:ascii="Verdana" w:hAnsi="Verdana"/>
                <w:b/>
              </w:rPr>
            </w:pPr>
            <w:r w:rsidRPr="008D7D88">
              <w:rPr>
                <w:rFonts w:ascii="Verdana" w:hAnsi="Verdana"/>
                <w:b/>
              </w:rPr>
              <w:t>.</w:t>
            </w:r>
          </w:p>
        </w:tc>
        <w:tc>
          <w:tcPr>
            <w:tcW w:w="8355" w:type="dxa"/>
          </w:tcPr>
          <w:p w14:paraId="61DCCFED" w14:textId="77777777" w:rsidR="001E7DA9" w:rsidRPr="008D7D88" w:rsidRDefault="001E7DA9" w:rsidP="001E7DA9">
            <w:pPr>
              <w:rPr>
                <w:rFonts w:ascii="Verdana" w:hAnsi="Verdana"/>
              </w:rPr>
            </w:pPr>
            <w:r w:rsidRPr="008D7D88">
              <w:rPr>
                <w:rFonts w:ascii="Verdana" w:hAnsi="Verdana" w:cs="Arial"/>
              </w:rPr>
              <w:t>it is assumed that Capacity and Delivery funds continue at the current rate, which is incumbent on achieving employment related targets;</w:t>
            </w:r>
          </w:p>
          <w:p w14:paraId="2024D349" w14:textId="77777777" w:rsidR="001E7DA9" w:rsidRPr="003121E4" w:rsidRDefault="001E7DA9" w:rsidP="001E7DA9">
            <w:pPr>
              <w:rPr>
                <w:rFonts w:ascii="Verdana" w:hAnsi="Verdana" w:cs="Arial"/>
              </w:rPr>
            </w:pPr>
          </w:p>
        </w:tc>
      </w:tr>
      <w:tr w:rsidR="001E7DA9" w:rsidRPr="003121E4" w14:paraId="17986E6E" w14:textId="77777777" w:rsidTr="00303773">
        <w:tc>
          <w:tcPr>
            <w:tcW w:w="538" w:type="dxa"/>
          </w:tcPr>
          <w:p w14:paraId="787B7B5D" w14:textId="77777777" w:rsidR="001E7DA9" w:rsidRPr="003121E4" w:rsidRDefault="001E7DA9" w:rsidP="001E7DA9">
            <w:pPr>
              <w:rPr>
                <w:rFonts w:ascii="Verdana" w:hAnsi="Verdana"/>
              </w:rPr>
            </w:pPr>
          </w:p>
        </w:tc>
        <w:tc>
          <w:tcPr>
            <w:tcW w:w="429" w:type="dxa"/>
          </w:tcPr>
          <w:p w14:paraId="3438A9EE" w14:textId="6F219DF9" w:rsidR="001E7DA9" w:rsidRPr="003121E4" w:rsidRDefault="001E7DA9" w:rsidP="001E7DA9">
            <w:pPr>
              <w:rPr>
                <w:rFonts w:ascii="Verdana" w:hAnsi="Verdana"/>
                <w:b/>
              </w:rPr>
            </w:pPr>
            <w:r w:rsidRPr="008D7D88">
              <w:rPr>
                <w:rFonts w:ascii="Verdana" w:hAnsi="Verdana"/>
                <w:b/>
              </w:rPr>
              <w:t>.</w:t>
            </w:r>
          </w:p>
        </w:tc>
        <w:tc>
          <w:tcPr>
            <w:tcW w:w="8355" w:type="dxa"/>
          </w:tcPr>
          <w:p w14:paraId="77B6425B" w14:textId="77777777" w:rsidR="001E7DA9" w:rsidRPr="008D7D88" w:rsidRDefault="001E7DA9" w:rsidP="001E7DA9">
            <w:pPr>
              <w:rPr>
                <w:rFonts w:ascii="Verdana" w:hAnsi="Verdana" w:cs="Arial"/>
              </w:rPr>
            </w:pPr>
            <w:r w:rsidRPr="008D7D88">
              <w:rPr>
                <w:rFonts w:ascii="Verdana" w:hAnsi="Verdana" w:cs="Arial"/>
              </w:rPr>
              <w:t xml:space="preserve">free meals and bursary funding </w:t>
            </w:r>
            <w:r>
              <w:rPr>
                <w:rFonts w:ascii="Verdana" w:hAnsi="Verdana" w:cs="Arial"/>
              </w:rPr>
              <w:t xml:space="preserve">are expected to </w:t>
            </w:r>
            <w:r w:rsidRPr="008D7D88">
              <w:rPr>
                <w:rFonts w:ascii="Verdana" w:hAnsi="Verdana" w:cs="Arial"/>
              </w:rPr>
              <w:t>decline;</w:t>
            </w:r>
          </w:p>
          <w:p w14:paraId="7CDBCEC6" w14:textId="77777777" w:rsidR="001E7DA9" w:rsidRPr="003121E4" w:rsidRDefault="001E7DA9" w:rsidP="001E7DA9">
            <w:pPr>
              <w:rPr>
                <w:rFonts w:ascii="Verdana" w:hAnsi="Verdana" w:cs="Arial"/>
              </w:rPr>
            </w:pPr>
          </w:p>
        </w:tc>
      </w:tr>
      <w:tr w:rsidR="001E7DA9" w:rsidRPr="003121E4" w14:paraId="42CD019F" w14:textId="77777777" w:rsidTr="00303773">
        <w:tc>
          <w:tcPr>
            <w:tcW w:w="538" w:type="dxa"/>
          </w:tcPr>
          <w:p w14:paraId="7634F87B" w14:textId="77777777" w:rsidR="001E7DA9" w:rsidRPr="003121E4" w:rsidRDefault="001E7DA9" w:rsidP="001E7DA9">
            <w:pPr>
              <w:rPr>
                <w:rFonts w:ascii="Verdana" w:hAnsi="Verdana"/>
              </w:rPr>
            </w:pPr>
          </w:p>
        </w:tc>
        <w:tc>
          <w:tcPr>
            <w:tcW w:w="429" w:type="dxa"/>
          </w:tcPr>
          <w:p w14:paraId="692D89F5" w14:textId="261C824A" w:rsidR="001E7DA9" w:rsidRPr="003121E4" w:rsidRDefault="001E7DA9" w:rsidP="001E7DA9">
            <w:pPr>
              <w:rPr>
                <w:rFonts w:ascii="Verdana" w:hAnsi="Verdana"/>
                <w:b/>
              </w:rPr>
            </w:pPr>
            <w:r w:rsidRPr="008D7D88">
              <w:rPr>
                <w:rFonts w:ascii="Verdana" w:hAnsi="Verdana"/>
                <w:b/>
              </w:rPr>
              <w:t>.</w:t>
            </w:r>
          </w:p>
        </w:tc>
        <w:tc>
          <w:tcPr>
            <w:tcW w:w="8355" w:type="dxa"/>
          </w:tcPr>
          <w:p w14:paraId="2EBF13A5" w14:textId="77777777" w:rsidR="001E7DA9" w:rsidRPr="008D7D88" w:rsidRDefault="001E7DA9" w:rsidP="001E7DA9">
            <w:pPr>
              <w:rPr>
                <w:rFonts w:ascii="Verdana" w:hAnsi="Verdana" w:cs="Arial"/>
              </w:rPr>
            </w:pPr>
            <w:r w:rsidRPr="008D7D88">
              <w:rPr>
                <w:rFonts w:ascii="Verdana" w:hAnsi="Verdana" w:cs="Arial"/>
              </w:rPr>
              <w:t>it is assumed that the Accelerated Learning Academy (ALA) is in place from the start of the year - if not, the associated costs will not be incurred;</w:t>
            </w:r>
          </w:p>
          <w:p w14:paraId="13125ED6" w14:textId="77777777" w:rsidR="001E7DA9" w:rsidRPr="003121E4" w:rsidRDefault="001E7DA9" w:rsidP="001E7DA9">
            <w:pPr>
              <w:rPr>
                <w:rFonts w:ascii="Verdana" w:hAnsi="Verdana" w:cs="Arial"/>
              </w:rPr>
            </w:pPr>
          </w:p>
        </w:tc>
      </w:tr>
      <w:tr w:rsidR="001E7DA9" w:rsidRPr="003121E4" w14:paraId="53F10936" w14:textId="77777777" w:rsidTr="00303773">
        <w:tc>
          <w:tcPr>
            <w:tcW w:w="538" w:type="dxa"/>
          </w:tcPr>
          <w:p w14:paraId="1D1F6AD3" w14:textId="77777777" w:rsidR="001E7DA9" w:rsidRPr="003121E4" w:rsidRDefault="001E7DA9" w:rsidP="001E7DA9">
            <w:pPr>
              <w:rPr>
                <w:rFonts w:ascii="Verdana" w:hAnsi="Verdana"/>
              </w:rPr>
            </w:pPr>
          </w:p>
        </w:tc>
        <w:tc>
          <w:tcPr>
            <w:tcW w:w="429" w:type="dxa"/>
          </w:tcPr>
          <w:p w14:paraId="5951DCBE" w14:textId="736174B5" w:rsidR="001E7DA9" w:rsidRPr="003121E4" w:rsidRDefault="001E7DA9" w:rsidP="001E7DA9">
            <w:pPr>
              <w:rPr>
                <w:rFonts w:ascii="Verdana" w:hAnsi="Verdana"/>
                <w:b/>
              </w:rPr>
            </w:pPr>
            <w:r w:rsidRPr="008D7D88">
              <w:rPr>
                <w:rFonts w:ascii="Verdana" w:hAnsi="Verdana"/>
                <w:b/>
              </w:rPr>
              <w:t>.</w:t>
            </w:r>
          </w:p>
        </w:tc>
        <w:tc>
          <w:tcPr>
            <w:tcW w:w="8355" w:type="dxa"/>
          </w:tcPr>
          <w:p w14:paraId="348E58CA" w14:textId="7CC746CD" w:rsidR="001E7DA9" w:rsidRPr="003121E4" w:rsidRDefault="001E7DA9" w:rsidP="001E7DA9">
            <w:pPr>
              <w:rPr>
                <w:rFonts w:ascii="Verdana" w:hAnsi="Verdana" w:cs="Arial"/>
              </w:rPr>
            </w:pPr>
            <w:r w:rsidRPr="008D7D88">
              <w:rPr>
                <w:rFonts w:ascii="Verdana" w:hAnsi="Verdana" w:cs="Arial"/>
              </w:rPr>
              <w:t>in relation to pay costs:</w:t>
            </w:r>
          </w:p>
        </w:tc>
      </w:tr>
    </w:tbl>
    <w:p w14:paraId="73B3DCED" w14:textId="562F5D6B" w:rsidR="003D4C32" w:rsidRPr="008D7D88" w:rsidRDefault="003D4C32" w:rsidP="004F4C55">
      <w:pPr>
        <w:rPr>
          <w:rFonts w:ascii="Verdana" w:hAnsi="Verdana"/>
        </w:rPr>
      </w:pPr>
    </w:p>
    <w:tbl>
      <w:tblPr>
        <w:tblStyle w:val="TableGrid"/>
        <w:tblW w:w="9351" w:type="dxa"/>
        <w:tblLook w:val="04A0" w:firstRow="1" w:lastRow="0" w:firstColumn="1" w:lastColumn="0" w:noHBand="0" w:noVBand="1"/>
      </w:tblPr>
      <w:tblGrid>
        <w:gridCol w:w="561"/>
        <w:gridCol w:w="426"/>
        <w:gridCol w:w="296"/>
        <w:gridCol w:w="8068"/>
      </w:tblGrid>
      <w:tr w:rsidR="008D7D88" w:rsidRPr="008D7D88" w14:paraId="4DB74EE2" w14:textId="77777777" w:rsidTr="00303773">
        <w:tc>
          <w:tcPr>
            <w:tcW w:w="561" w:type="dxa"/>
            <w:tcBorders>
              <w:top w:val="nil"/>
              <w:left w:val="nil"/>
              <w:bottom w:val="nil"/>
              <w:right w:val="nil"/>
            </w:tcBorders>
          </w:tcPr>
          <w:p w14:paraId="665196A8" w14:textId="77777777" w:rsidR="008D7D88" w:rsidRPr="0031679F" w:rsidRDefault="008D7D88" w:rsidP="00F01434">
            <w:pPr>
              <w:rPr>
                <w:rFonts w:ascii="Verdana" w:hAnsi="Verdana"/>
              </w:rPr>
            </w:pPr>
          </w:p>
        </w:tc>
        <w:tc>
          <w:tcPr>
            <w:tcW w:w="426" w:type="dxa"/>
            <w:tcBorders>
              <w:top w:val="nil"/>
              <w:left w:val="nil"/>
              <w:bottom w:val="nil"/>
              <w:right w:val="nil"/>
            </w:tcBorders>
          </w:tcPr>
          <w:p w14:paraId="630DAA42" w14:textId="77777777" w:rsidR="008D7D88" w:rsidRPr="0031679F" w:rsidRDefault="008D7D88" w:rsidP="00F01434">
            <w:pPr>
              <w:rPr>
                <w:rFonts w:ascii="Verdana" w:hAnsi="Verdana"/>
              </w:rPr>
            </w:pPr>
          </w:p>
        </w:tc>
        <w:tc>
          <w:tcPr>
            <w:tcW w:w="296" w:type="dxa"/>
            <w:tcBorders>
              <w:top w:val="nil"/>
              <w:left w:val="nil"/>
              <w:bottom w:val="nil"/>
              <w:right w:val="nil"/>
            </w:tcBorders>
          </w:tcPr>
          <w:p w14:paraId="1E499027" w14:textId="77777777" w:rsidR="008D7D88" w:rsidRPr="0031679F" w:rsidRDefault="008D7D88" w:rsidP="00F01434">
            <w:pPr>
              <w:jc w:val="center"/>
              <w:rPr>
                <w:rFonts w:ascii="Verdana" w:hAnsi="Verdana"/>
                <w:b/>
                <w:bCs/>
              </w:rPr>
            </w:pPr>
            <w:r w:rsidRPr="0031679F">
              <w:rPr>
                <w:rFonts w:ascii="Verdana" w:hAnsi="Verdana"/>
                <w:b/>
                <w:bCs/>
              </w:rPr>
              <w:t>.</w:t>
            </w:r>
          </w:p>
        </w:tc>
        <w:tc>
          <w:tcPr>
            <w:tcW w:w="8068" w:type="dxa"/>
            <w:tcBorders>
              <w:top w:val="nil"/>
              <w:left w:val="nil"/>
              <w:bottom w:val="nil"/>
              <w:right w:val="nil"/>
            </w:tcBorders>
          </w:tcPr>
          <w:p w14:paraId="0BFD4B24" w14:textId="1415D8E9" w:rsidR="008D7D88" w:rsidRPr="0031679F" w:rsidRDefault="008D7D88" w:rsidP="00F01434">
            <w:pPr>
              <w:rPr>
                <w:rFonts w:ascii="Verdana" w:hAnsi="Verdana" w:cs="Arial"/>
              </w:rPr>
            </w:pPr>
            <w:r w:rsidRPr="0031679F">
              <w:rPr>
                <w:rFonts w:ascii="Verdana" w:hAnsi="Verdana" w:cs="Arial"/>
              </w:rPr>
              <w:t>the pay budget is forecast by individuals, including teach</w:t>
            </w:r>
            <w:r w:rsidR="001E7DA9">
              <w:rPr>
                <w:rFonts w:ascii="Verdana" w:hAnsi="Verdana" w:cs="Arial"/>
              </w:rPr>
              <w:t>ing post</w:t>
            </w:r>
            <w:r w:rsidRPr="0031679F">
              <w:rPr>
                <w:rFonts w:ascii="Verdana" w:hAnsi="Verdana" w:cs="Arial"/>
              </w:rPr>
              <w:t>s required for the forecast growth in student numbers;</w:t>
            </w:r>
          </w:p>
          <w:p w14:paraId="3ACC6123" w14:textId="6DA27206" w:rsidR="008D7D88" w:rsidRPr="0031679F" w:rsidRDefault="008D7D88" w:rsidP="00F01434">
            <w:pPr>
              <w:rPr>
                <w:rFonts w:ascii="Verdana" w:hAnsi="Verdana"/>
              </w:rPr>
            </w:pPr>
          </w:p>
        </w:tc>
      </w:tr>
      <w:tr w:rsidR="008D7D88" w:rsidRPr="003121E4" w14:paraId="77135F41" w14:textId="77777777" w:rsidTr="00303773">
        <w:tc>
          <w:tcPr>
            <w:tcW w:w="561" w:type="dxa"/>
            <w:tcBorders>
              <w:top w:val="nil"/>
              <w:left w:val="nil"/>
              <w:bottom w:val="nil"/>
              <w:right w:val="nil"/>
            </w:tcBorders>
          </w:tcPr>
          <w:p w14:paraId="0C5A25C5" w14:textId="77777777" w:rsidR="008D7D88" w:rsidRPr="0031679F" w:rsidRDefault="008D7D88" w:rsidP="00F01434">
            <w:pPr>
              <w:rPr>
                <w:rFonts w:ascii="Verdana" w:hAnsi="Verdana"/>
              </w:rPr>
            </w:pPr>
          </w:p>
        </w:tc>
        <w:tc>
          <w:tcPr>
            <w:tcW w:w="426" w:type="dxa"/>
            <w:tcBorders>
              <w:top w:val="nil"/>
              <w:left w:val="nil"/>
              <w:bottom w:val="nil"/>
              <w:right w:val="nil"/>
            </w:tcBorders>
          </w:tcPr>
          <w:p w14:paraId="7967BF18" w14:textId="77777777" w:rsidR="008D7D88" w:rsidRPr="0031679F" w:rsidRDefault="008D7D88" w:rsidP="00F01434">
            <w:pPr>
              <w:rPr>
                <w:rFonts w:ascii="Verdana" w:hAnsi="Verdana"/>
                <w:i/>
                <w:iCs/>
              </w:rPr>
            </w:pPr>
          </w:p>
        </w:tc>
        <w:tc>
          <w:tcPr>
            <w:tcW w:w="296" w:type="dxa"/>
            <w:tcBorders>
              <w:top w:val="nil"/>
              <w:left w:val="nil"/>
              <w:bottom w:val="nil"/>
              <w:right w:val="nil"/>
            </w:tcBorders>
          </w:tcPr>
          <w:p w14:paraId="1C1AF554" w14:textId="77777777" w:rsidR="008D7D88" w:rsidRPr="0031679F" w:rsidRDefault="008D7D88" w:rsidP="00F01434">
            <w:pPr>
              <w:jc w:val="center"/>
              <w:rPr>
                <w:rFonts w:ascii="Verdana" w:hAnsi="Verdana"/>
                <w:b/>
                <w:bCs/>
              </w:rPr>
            </w:pPr>
            <w:r w:rsidRPr="0031679F">
              <w:rPr>
                <w:rFonts w:ascii="Verdana" w:hAnsi="Verdana"/>
                <w:b/>
                <w:bCs/>
              </w:rPr>
              <w:t>.</w:t>
            </w:r>
          </w:p>
        </w:tc>
        <w:tc>
          <w:tcPr>
            <w:tcW w:w="8068" w:type="dxa"/>
            <w:tcBorders>
              <w:top w:val="nil"/>
              <w:left w:val="nil"/>
              <w:bottom w:val="nil"/>
              <w:right w:val="nil"/>
            </w:tcBorders>
          </w:tcPr>
          <w:p w14:paraId="14B32373" w14:textId="3312EDDC" w:rsidR="008D7D88" w:rsidRPr="0031679F" w:rsidRDefault="008D7D88" w:rsidP="00F01434">
            <w:pPr>
              <w:rPr>
                <w:rFonts w:ascii="Verdana" w:hAnsi="Verdana" w:cs="Arial"/>
              </w:rPr>
            </w:pPr>
            <w:r w:rsidRPr="0031679F">
              <w:rPr>
                <w:rFonts w:ascii="Verdana" w:hAnsi="Verdana" w:cs="Arial"/>
              </w:rPr>
              <w:t>a cost-of-living pay rise of 4% for all staff across 2019-20 (1.5%) and 2020-21 (2.5%) is included;</w:t>
            </w:r>
          </w:p>
          <w:p w14:paraId="7BE40EA9" w14:textId="7CBA5DF3" w:rsidR="008D7D88" w:rsidRPr="0031679F" w:rsidRDefault="008D7D88" w:rsidP="00F01434">
            <w:pPr>
              <w:rPr>
                <w:rFonts w:ascii="Verdana" w:hAnsi="Verdana"/>
              </w:rPr>
            </w:pPr>
          </w:p>
        </w:tc>
      </w:tr>
      <w:tr w:rsidR="008D7D88" w:rsidRPr="003121E4" w14:paraId="50D92D26" w14:textId="77777777" w:rsidTr="00303773">
        <w:tc>
          <w:tcPr>
            <w:tcW w:w="561" w:type="dxa"/>
            <w:tcBorders>
              <w:top w:val="nil"/>
              <w:left w:val="nil"/>
              <w:bottom w:val="nil"/>
              <w:right w:val="nil"/>
            </w:tcBorders>
          </w:tcPr>
          <w:p w14:paraId="3D3A362D" w14:textId="77777777" w:rsidR="008D7D88" w:rsidRPr="0031679F" w:rsidRDefault="008D7D88" w:rsidP="00F01434">
            <w:pPr>
              <w:rPr>
                <w:rFonts w:ascii="Verdana" w:hAnsi="Verdana"/>
              </w:rPr>
            </w:pPr>
          </w:p>
        </w:tc>
        <w:tc>
          <w:tcPr>
            <w:tcW w:w="426" w:type="dxa"/>
            <w:tcBorders>
              <w:top w:val="nil"/>
              <w:left w:val="nil"/>
              <w:bottom w:val="nil"/>
              <w:right w:val="nil"/>
            </w:tcBorders>
          </w:tcPr>
          <w:p w14:paraId="7D3D3609" w14:textId="77777777" w:rsidR="008D7D88" w:rsidRPr="0031679F" w:rsidRDefault="008D7D88" w:rsidP="00F01434">
            <w:pPr>
              <w:rPr>
                <w:rFonts w:ascii="Verdana" w:hAnsi="Verdana"/>
              </w:rPr>
            </w:pPr>
          </w:p>
        </w:tc>
        <w:tc>
          <w:tcPr>
            <w:tcW w:w="296" w:type="dxa"/>
            <w:tcBorders>
              <w:top w:val="nil"/>
              <w:left w:val="nil"/>
              <w:bottom w:val="nil"/>
              <w:right w:val="nil"/>
            </w:tcBorders>
          </w:tcPr>
          <w:p w14:paraId="304EE15F" w14:textId="77777777" w:rsidR="008D7D88" w:rsidRPr="0031679F" w:rsidRDefault="008D7D88" w:rsidP="00F01434">
            <w:pPr>
              <w:jc w:val="center"/>
              <w:rPr>
                <w:rFonts w:ascii="Verdana" w:hAnsi="Verdana"/>
                <w:b/>
                <w:bCs/>
              </w:rPr>
            </w:pPr>
            <w:r w:rsidRPr="0031679F">
              <w:rPr>
                <w:rFonts w:ascii="Verdana" w:hAnsi="Verdana"/>
                <w:b/>
                <w:bCs/>
              </w:rPr>
              <w:t>.</w:t>
            </w:r>
          </w:p>
        </w:tc>
        <w:tc>
          <w:tcPr>
            <w:tcW w:w="8068" w:type="dxa"/>
            <w:tcBorders>
              <w:top w:val="nil"/>
              <w:left w:val="nil"/>
              <w:bottom w:val="nil"/>
              <w:right w:val="nil"/>
            </w:tcBorders>
          </w:tcPr>
          <w:p w14:paraId="57136B6B" w14:textId="7BDBD867" w:rsidR="008D7D88" w:rsidRPr="0031679F" w:rsidRDefault="0031679F" w:rsidP="00F01434">
            <w:pPr>
              <w:rPr>
                <w:rFonts w:ascii="Verdana" w:hAnsi="Verdana" w:cs="Arial"/>
              </w:rPr>
            </w:pPr>
            <w:r w:rsidRPr="0031679F">
              <w:rPr>
                <w:rFonts w:ascii="Verdana" w:hAnsi="Verdana" w:cs="Arial"/>
              </w:rPr>
              <w:t>t</w:t>
            </w:r>
            <w:r w:rsidR="008D7D88" w:rsidRPr="0031679F">
              <w:rPr>
                <w:rFonts w:ascii="Verdana" w:hAnsi="Verdana" w:cs="Arial"/>
              </w:rPr>
              <w:t xml:space="preserve">he support staff pension rate will rise from 13% to 13.8%, despite the College’s share of the pension scheme being funded at 89% (up from 80% three years ago) - the McCloud </w:t>
            </w:r>
            <w:r w:rsidR="002D260A">
              <w:rPr>
                <w:rFonts w:ascii="Verdana" w:hAnsi="Verdana" w:cs="Arial"/>
              </w:rPr>
              <w:t>judgement</w:t>
            </w:r>
            <w:r w:rsidR="008D7D88" w:rsidRPr="0031679F">
              <w:rPr>
                <w:rFonts w:ascii="Verdana" w:hAnsi="Verdana" w:cs="Arial"/>
              </w:rPr>
              <w:t xml:space="preserve"> ruled it illegal that people within ten years of retirement age receive more favourable treatment in the 2012 pension reform, a decision which is expected to add around 0.4% to future service costs</w:t>
            </w:r>
            <w:r w:rsidRPr="0031679F">
              <w:rPr>
                <w:rFonts w:ascii="Verdana" w:hAnsi="Verdana" w:cs="Arial"/>
              </w:rPr>
              <w:t xml:space="preserve"> (to be </w:t>
            </w:r>
            <w:r w:rsidR="008D7D88" w:rsidRPr="0031679F">
              <w:rPr>
                <w:rFonts w:ascii="Verdana" w:hAnsi="Verdana" w:cs="Arial"/>
              </w:rPr>
              <w:t xml:space="preserve">confirmed </w:t>
            </w:r>
            <w:r w:rsidRPr="0031679F">
              <w:rPr>
                <w:rFonts w:ascii="Verdana" w:hAnsi="Verdana" w:cs="Arial"/>
              </w:rPr>
              <w:t>in</w:t>
            </w:r>
            <w:r w:rsidR="008D7D88" w:rsidRPr="0031679F">
              <w:rPr>
                <w:rFonts w:ascii="Verdana" w:hAnsi="Verdana" w:cs="Arial"/>
              </w:rPr>
              <w:t xml:space="preserve"> April 2020</w:t>
            </w:r>
            <w:r w:rsidRPr="0031679F">
              <w:rPr>
                <w:rFonts w:ascii="Verdana" w:hAnsi="Verdana" w:cs="Arial"/>
              </w:rPr>
              <w:t>);</w:t>
            </w:r>
          </w:p>
          <w:p w14:paraId="7DAC2A21" w14:textId="24E74373" w:rsidR="0031679F" w:rsidRPr="0031679F" w:rsidRDefault="0031679F" w:rsidP="00F01434">
            <w:pPr>
              <w:rPr>
                <w:rFonts w:ascii="Verdana" w:hAnsi="Verdana"/>
              </w:rPr>
            </w:pPr>
          </w:p>
        </w:tc>
      </w:tr>
      <w:tr w:rsidR="008D7D88" w:rsidRPr="003121E4" w14:paraId="14278889" w14:textId="77777777" w:rsidTr="00303773">
        <w:tc>
          <w:tcPr>
            <w:tcW w:w="561" w:type="dxa"/>
            <w:tcBorders>
              <w:top w:val="nil"/>
              <w:left w:val="nil"/>
              <w:bottom w:val="nil"/>
              <w:right w:val="nil"/>
            </w:tcBorders>
          </w:tcPr>
          <w:p w14:paraId="36A5D9B4" w14:textId="77777777" w:rsidR="008D7D88" w:rsidRPr="00AF242E" w:rsidRDefault="008D7D88" w:rsidP="00F01434">
            <w:pPr>
              <w:rPr>
                <w:rFonts w:ascii="Verdana" w:hAnsi="Verdana"/>
              </w:rPr>
            </w:pPr>
          </w:p>
        </w:tc>
        <w:tc>
          <w:tcPr>
            <w:tcW w:w="426" w:type="dxa"/>
            <w:tcBorders>
              <w:top w:val="nil"/>
              <w:left w:val="nil"/>
              <w:bottom w:val="nil"/>
              <w:right w:val="nil"/>
            </w:tcBorders>
          </w:tcPr>
          <w:p w14:paraId="139DB27F" w14:textId="77777777" w:rsidR="008D7D88" w:rsidRPr="00AF242E" w:rsidRDefault="008D7D88" w:rsidP="00F01434">
            <w:pPr>
              <w:rPr>
                <w:rFonts w:ascii="Verdana" w:hAnsi="Verdana"/>
              </w:rPr>
            </w:pPr>
          </w:p>
        </w:tc>
        <w:tc>
          <w:tcPr>
            <w:tcW w:w="296" w:type="dxa"/>
            <w:tcBorders>
              <w:top w:val="nil"/>
              <w:left w:val="nil"/>
              <w:bottom w:val="nil"/>
              <w:right w:val="nil"/>
            </w:tcBorders>
          </w:tcPr>
          <w:p w14:paraId="23D57F64" w14:textId="77777777" w:rsidR="008D7D88" w:rsidRPr="00AF242E" w:rsidRDefault="008D7D88" w:rsidP="00F01434">
            <w:pPr>
              <w:jc w:val="center"/>
              <w:rPr>
                <w:rFonts w:ascii="Verdana" w:hAnsi="Verdana"/>
                <w:b/>
                <w:bCs/>
              </w:rPr>
            </w:pPr>
            <w:r w:rsidRPr="00AF242E">
              <w:rPr>
                <w:rFonts w:ascii="Verdana" w:hAnsi="Verdana"/>
                <w:b/>
                <w:bCs/>
              </w:rPr>
              <w:t>.</w:t>
            </w:r>
          </w:p>
        </w:tc>
        <w:tc>
          <w:tcPr>
            <w:tcW w:w="8068" w:type="dxa"/>
            <w:tcBorders>
              <w:top w:val="nil"/>
              <w:left w:val="nil"/>
              <w:bottom w:val="nil"/>
              <w:right w:val="nil"/>
            </w:tcBorders>
          </w:tcPr>
          <w:p w14:paraId="67AE8918" w14:textId="1D0B25FE" w:rsidR="008D7D88" w:rsidRPr="00AF242E" w:rsidRDefault="0031679F" w:rsidP="00F01434">
            <w:pPr>
              <w:rPr>
                <w:rFonts w:ascii="Verdana" w:hAnsi="Verdana" w:cs="Arial"/>
              </w:rPr>
            </w:pPr>
            <w:r w:rsidRPr="00AF242E">
              <w:rPr>
                <w:rFonts w:ascii="Verdana" w:hAnsi="Verdana" w:cs="Arial"/>
              </w:rPr>
              <w:t xml:space="preserve">the support staff pension scheme cost to employers is capped at 13%, </w:t>
            </w:r>
            <w:r w:rsidR="002D260A">
              <w:rPr>
                <w:rFonts w:ascii="Verdana" w:hAnsi="Verdana" w:cs="Arial"/>
              </w:rPr>
              <w:t>though the</w:t>
            </w:r>
            <w:r w:rsidRPr="00AF242E">
              <w:rPr>
                <w:rFonts w:ascii="Verdana" w:hAnsi="Verdana" w:cs="Arial"/>
              </w:rPr>
              <w:t xml:space="preserve"> cap was suspended (the Teachers’ scheme is capped at 16.48% despite the rate now being over 23%)</w:t>
            </w:r>
            <w:r w:rsidR="002D260A">
              <w:rPr>
                <w:rFonts w:ascii="Verdana" w:hAnsi="Verdana" w:cs="Arial"/>
              </w:rPr>
              <w:t xml:space="preserve"> -</w:t>
            </w:r>
            <w:r w:rsidRPr="00AF242E">
              <w:rPr>
                <w:rFonts w:ascii="Verdana" w:hAnsi="Verdana" w:cs="Arial"/>
              </w:rPr>
              <w:t xml:space="preserve"> </w:t>
            </w:r>
            <w:r w:rsidR="002D260A">
              <w:rPr>
                <w:rFonts w:ascii="Verdana" w:hAnsi="Verdana" w:cs="Arial"/>
              </w:rPr>
              <w:t>bot</w:t>
            </w:r>
            <w:r w:rsidRPr="00AF242E">
              <w:rPr>
                <w:rFonts w:ascii="Verdana" w:hAnsi="Verdana" w:cs="Arial"/>
              </w:rPr>
              <w:t>h caps are expected to be reactivated, but with no timescale currently in place for th</w:t>
            </w:r>
            <w:r w:rsidR="002D260A">
              <w:rPr>
                <w:rFonts w:ascii="Verdana" w:hAnsi="Verdana" w:cs="Arial"/>
              </w:rPr>
              <w:t>e</w:t>
            </w:r>
            <w:r w:rsidRPr="00AF242E">
              <w:rPr>
                <w:rFonts w:ascii="Verdana" w:hAnsi="Verdana" w:cs="Arial"/>
              </w:rPr>
              <w:t xml:space="preserve"> reactivation </w:t>
            </w:r>
            <w:r w:rsidR="002D260A">
              <w:rPr>
                <w:rFonts w:ascii="Verdana" w:hAnsi="Verdana" w:cs="Arial"/>
              </w:rPr>
              <w:t>(</w:t>
            </w:r>
            <w:r w:rsidRPr="00AF242E">
              <w:rPr>
                <w:rFonts w:ascii="Verdana" w:hAnsi="Verdana" w:cs="Arial"/>
              </w:rPr>
              <w:t xml:space="preserve">the best </w:t>
            </w:r>
            <w:r w:rsidR="002D260A">
              <w:rPr>
                <w:rFonts w:ascii="Verdana" w:hAnsi="Verdana" w:cs="Arial"/>
              </w:rPr>
              <w:t xml:space="preserve">available </w:t>
            </w:r>
            <w:r w:rsidRPr="00AF242E">
              <w:rPr>
                <w:rFonts w:ascii="Verdana" w:hAnsi="Verdana" w:cs="Arial"/>
              </w:rPr>
              <w:t>advic</w:t>
            </w:r>
            <w:r w:rsidR="002D260A">
              <w:rPr>
                <w:rFonts w:ascii="Verdana" w:hAnsi="Verdana" w:cs="Arial"/>
              </w:rPr>
              <w:t>e</w:t>
            </w:r>
            <w:r w:rsidRPr="00AF242E">
              <w:rPr>
                <w:rFonts w:ascii="Verdana" w:hAnsi="Verdana" w:cs="Arial"/>
              </w:rPr>
              <w:t xml:space="preserve"> is that these pension rates will apply to the 2020-21 and 2021-22 budgets</w:t>
            </w:r>
            <w:r w:rsidR="002D260A">
              <w:rPr>
                <w:rFonts w:ascii="Verdana" w:hAnsi="Verdana" w:cs="Arial"/>
              </w:rPr>
              <w:t>)</w:t>
            </w:r>
            <w:r w:rsidRPr="00AF242E">
              <w:rPr>
                <w:rFonts w:ascii="Verdana" w:hAnsi="Verdana" w:cs="Arial"/>
              </w:rPr>
              <w:t>;</w:t>
            </w:r>
          </w:p>
          <w:p w14:paraId="5084DD38" w14:textId="5018EFA6" w:rsidR="0031679F" w:rsidRPr="00AF242E" w:rsidRDefault="0031679F" w:rsidP="00F01434">
            <w:pPr>
              <w:rPr>
                <w:rFonts w:ascii="Verdana" w:hAnsi="Verdana"/>
              </w:rPr>
            </w:pPr>
          </w:p>
        </w:tc>
      </w:tr>
      <w:tr w:rsidR="0031679F" w:rsidRPr="003121E4" w14:paraId="0B26D5D1" w14:textId="77777777" w:rsidTr="00303773">
        <w:tc>
          <w:tcPr>
            <w:tcW w:w="561" w:type="dxa"/>
            <w:tcBorders>
              <w:top w:val="nil"/>
              <w:left w:val="nil"/>
              <w:bottom w:val="nil"/>
              <w:right w:val="nil"/>
            </w:tcBorders>
          </w:tcPr>
          <w:p w14:paraId="182FAF50" w14:textId="77777777" w:rsidR="0031679F" w:rsidRPr="00AF242E" w:rsidRDefault="0031679F" w:rsidP="00F01434">
            <w:pPr>
              <w:rPr>
                <w:rFonts w:ascii="Verdana" w:hAnsi="Verdana"/>
              </w:rPr>
            </w:pPr>
          </w:p>
        </w:tc>
        <w:tc>
          <w:tcPr>
            <w:tcW w:w="426" w:type="dxa"/>
            <w:tcBorders>
              <w:top w:val="nil"/>
              <w:left w:val="nil"/>
              <w:bottom w:val="nil"/>
              <w:right w:val="nil"/>
            </w:tcBorders>
          </w:tcPr>
          <w:p w14:paraId="78655884" w14:textId="77777777" w:rsidR="0031679F" w:rsidRPr="00AF242E" w:rsidRDefault="0031679F" w:rsidP="00F01434">
            <w:pPr>
              <w:rPr>
                <w:rFonts w:ascii="Verdana" w:hAnsi="Verdana"/>
              </w:rPr>
            </w:pPr>
          </w:p>
        </w:tc>
        <w:tc>
          <w:tcPr>
            <w:tcW w:w="296" w:type="dxa"/>
            <w:tcBorders>
              <w:top w:val="nil"/>
              <w:left w:val="nil"/>
              <w:bottom w:val="nil"/>
              <w:right w:val="nil"/>
            </w:tcBorders>
          </w:tcPr>
          <w:p w14:paraId="6301B297" w14:textId="59DED384" w:rsidR="0031679F" w:rsidRPr="00AF242E" w:rsidRDefault="0031679F" w:rsidP="00F01434">
            <w:pPr>
              <w:jc w:val="center"/>
              <w:rPr>
                <w:rFonts w:ascii="Verdana" w:hAnsi="Verdana"/>
                <w:b/>
                <w:bCs/>
              </w:rPr>
            </w:pPr>
            <w:r w:rsidRPr="00AF242E">
              <w:rPr>
                <w:rFonts w:ascii="Verdana" w:hAnsi="Verdana"/>
                <w:b/>
                <w:bCs/>
              </w:rPr>
              <w:t>.</w:t>
            </w:r>
          </w:p>
        </w:tc>
        <w:tc>
          <w:tcPr>
            <w:tcW w:w="8068" w:type="dxa"/>
            <w:tcBorders>
              <w:top w:val="nil"/>
              <w:left w:val="nil"/>
              <w:bottom w:val="nil"/>
              <w:right w:val="nil"/>
            </w:tcBorders>
          </w:tcPr>
          <w:p w14:paraId="7618EE17" w14:textId="45A10643" w:rsidR="0031679F" w:rsidRPr="00AF242E" w:rsidRDefault="0031679F" w:rsidP="00F01434">
            <w:pPr>
              <w:rPr>
                <w:rFonts w:ascii="Verdana" w:hAnsi="Verdana" w:cs="Arial"/>
              </w:rPr>
            </w:pPr>
            <w:r w:rsidRPr="00AF242E">
              <w:rPr>
                <w:rFonts w:ascii="Verdana" w:hAnsi="Verdana" w:cs="Arial"/>
              </w:rPr>
              <w:t>the lump sum payments to cover the support staff pension scheme deficit are expected to stay at £60,000, with their underlying cost reducing to £43,000</w:t>
            </w:r>
            <w:r w:rsidR="006F2984">
              <w:rPr>
                <w:rFonts w:ascii="Verdana" w:hAnsi="Verdana" w:cs="Arial"/>
              </w:rPr>
              <w:t>,</w:t>
            </w:r>
            <w:r w:rsidRPr="00AF242E">
              <w:rPr>
                <w:rFonts w:ascii="Verdana" w:hAnsi="Verdana" w:cs="Arial"/>
              </w:rPr>
              <w:t xml:space="preserve"> though the retrospective cost of the McCloud </w:t>
            </w:r>
            <w:r w:rsidR="002D260A">
              <w:rPr>
                <w:rFonts w:ascii="Verdana" w:hAnsi="Verdana" w:cs="Arial"/>
              </w:rPr>
              <w:t>judgement</w:t>
            </w:r>
            <w:r w:rsidRPr="00AF242E">
              <w:rPr>
                <w:rFonts w:ascii="Verdana" w:hAnsi="Verdana" w:cs="Arial"/>
              </w:rPr>
              <w:t xml:space="preserve"> will </w:t>
            </w:r>
            <w:r w:rsidR="006F2984">
              <w:rPr>
                <w:rFonts w:ascii="Verdana" w:hAnsi="Verdana" w:cs="Arial"/>
              </w:rPr>
              <w:t>be</w:t>
            </w:r>
            <w:r w:rsidRPr="00AF242E">
              <w:rPr>
                <w:rFonts w:ascii="Verdana" w:hAnsi="Verdana" w:cs="Arial"/>
              </w:rPr>
              <w:t xml:space="preserve"> £12-15,000 per annum over the next three years</w:t>
            </w:r>
            <w:r w:rsidR="006F2984">
              <w:rPr>
                <w:rFonts w:ascii="Verdana" w:hAnsi="Verdana" w:cs="Arial"/>
              </w:rPr>
              <w:t xml:space="preserve"> – this is </w:t>
            </w:r>
            <w:r w:rsidRPr="00AF242E">
              <w:rPr>
                <w:rFonts w:ascii="Verdana" w:hAnsi="Verdana" w:cs="Arial"/>
              </w:rPr>
              <w:t>to be confirmed in April 2020;</w:t>
            </w:r>
          </w:p>
          <w:p w14:paraId="532D47C3" w14:textId="0524F6B3" w:rsidR="0031679F" w:rsidRPr="00AF242E" w:rsidRDefault="0031679F" w:rsidP="00F01434">
            <w:pPr>
              <w:rPr>
                <w:rFonts w:ascii="Verdana" w:hAnsi="Verdana" w:cs="Arial"/>
              </w:rPr>
            </w:pPr>
          </w:p>
        </w:tc>
      </w:tr>
      <w:tr w:rsidR="0031679F" w:rsidRPr="003121E4" w14:paraId="63758610" w14:textId="77777777" w:rsidTr="00303773">
        <w:tc>
          <w:tcPr>
            <w:tcW w:w="561" w:type="dxa"/>
            <w:tcBorders>
              <w:top w:val="nil"/>
              <w:left w:val="nil"/>
              <w:bottom w:val="nil"/>
              <w:right w:val="nil"/>
            </w:tcBorders>
          </w:tcPr>
          <w:p w14:paraId="6BE55B76" w14:textId="77777777" w:rsidR="0031679F" w:rsidRPr="00AF242E" w:rsidRDefault="0031679F" w:rsidP="00F01434">
            <w:pPr>
              <w:rPr>
                <w:rFonts w:ascii="Verdana" w:hAnsi="Verdana"/>
              </w:rPr>
            </w:pPr>
          </w:p>
        </w:tc>
        <w:tc>
          <w:tcPr>
            <w:tcW w:w="426" w:type="dxa"/>
            <w:tcBorders>
              <w:top w:val="nil"/>
              <w:left w:val="nil"/>
              <w:bottom w:val="nil"/>
              <w:right w:val="nil"/>
            </w:tcBorders>
          </w:tcPr>
          <w:p w14:paraId="58F2A1F8" w14:textId="77777777" w:rsidR="0031679F" w:rsidRPr="00AF242E" w:rsidRDefault="0031679F" w:rsidP="00F01434">
            <w:pPr>
              <w:rPr>
                <w:rFonts w:ascii="Verdana" w:hAnsi="Verdana"/>
              </w:rPr>
            </w:pPr>
          </w:p>
        </w:tc>
        <w:tc>
          <w:tcPr>
            <w:tcW w:w="296" w:type="dxa"/>
            <w:tcBorders>
              <w:top w:val="nil"/>
              <w:left w:val="nil"/>
              <w:bottom w:val="nil"/>
              <w:right w:val="nil"/>
            </w:tcBorders>
          </w:tcPr>
          <w:p w14:paraId="6F3C9AB5" w14:textId="54655ED2" w:rsidR="0031679F" w:rsidRPr="00AF242E" w:rsidRDefault="0031679F" w:rsidP="00F01434">
            <w:pPr>
              <w:jc w:val="center"/>
              <w:rPr>
                <w:rFonts w:ascii="Verdana" w:hAnsi="Verdana"/>
                <w:b/>
                <w:bCs/>
              </w:rPr>
            </w:pPr>
            <w:r w:rsidRPr="00AF242E">
              <w:rPr>
                <w:rFonts w:ascii="Verdana" w:hAnsi="Verdana"/>
                <w:b/>
                <w:bCs/>
              </w:rPr>
              <w:t>.</w:t>
            </w:r>
          </w:p>
        </w:tc>
        <w:tc>
          <w:tcPr>
            <w:tcW w:w="8068" w:type="dxa"/>
            <w:tcBorders>
              <w:top w:val="nil"/>
              <w:left w:val="nil"/>
              <w:bottom w:val="nil"/>
              <w:right w:val="nil"/>
            </w:tcBorders>
          </w:tcPr>
          <w:p w14:paraId="21177451" w14:textId="25B5B1D2" w:rsidR="0031679F" w:rsidRPr="00AF242E" w:rsidRDefault="00AF242E" w:rsidP="00F01434">
            <w:pPr>
              <w:rPr>
                <w:rFonts w:ascii="Verdana" w:hAnsi="Verdana" w:cs="Arial"/>
              </w:rPr>
            </w:pPr>
            <w:r w:rsidRPr="00AF242E">
              <w:rPr>
                <w:rFonts w:ascii="Verdana" w:hAnsi="Verdana" w:cs="Arial"/>
              </w:rPr>
              <w:t xml:space="preserve">staff are auto-enrolled in the applicable pension scheme every three years, even if they have opted out before, with the College not permitted to encourage opting out - the next auto-enrolment will happen on 1st April 2020, when it is assumed for budgetary purposes that all those not in the pension schemes will opt out again (were all to </w:t>
            </w:r>
            <w:r w:rsidR="00E86BE7">
              <w:rPr>
                <w:rFonts w:ascii="Verdana" w:hAnsi="Verdana" w:cs="Arial"/>
              </w:rPr>
              <w:t>remain enrolled</w:t>
            </w:r>
            <w:r w:rsidRPr="00AF242E">
              <w:rPr>
                <w:rFonts w:ascii="Verdana" w:hAnsi="Verdana" w:cs="Arial"/>
              </w:rPr>
              <w:t xml:space="preserve">, the cost would exceed £200,000);     .  </w:t>
            </w:r>
          </w:p>
          <w:p w14:paraId="0307F603" w14:textId="48B3497F" w:rsidR="00AF242E" w:rsidRPr="00AF242E" w:rsidRDefault="00AF242E" w:rsidP="00F01434">
            <w:pPr>
              <w:rPr>
                <w:rFonts w:ascii="Verdana" w:hAnsi="Verdana" w:cs="Arial"/>
              </w:rPr>
            </w:pPr>
          </w:p>
        </w:tc>
      </w:tr>
      <w:tr w:rsidR="0031679F" w:rsidRPr="003121E4" w14:paraId="469193C5" w14:textId="77777777" w:rsidTr="00303773">
        <w:tc>
          <w:tcPr>
            <w:tcW w:w="561" w:type="dxa"/>
            <w:tcBorders>
              <w:top w:val="nil"/>
              <w:left w:val="nil"/>
              <w:bottom w:val="nil"/>
              <w:right w:val="nil"/>
            </w:tcBorders>
          </w:tcPr>
          <w:p w14:paraId="2EA4FDC4" w14:textId="77777777" w:rsidR="0031679F" w:rsidRPr="00AF242E" w:rsidRDefault="0031679F" w:rsidP="00F01434">
            <w:pPr>
              <w:rPr>
                <w:rFonts w:ascii="Verdana" w:hAnsi="Verdana"/>
              </w:rPr>
            </w:pPr>
          </w:p>
        </w:tc>
        <w:tc>
          <w:tcPr>
            <w:tcW w:w="426" w:type="dxa"/>
            <w:tcBorders>
              <w:top w:val="nil"/>
              <w:left w:val="nil"/>
              <w:bottom w:val="nil"/>
              <w:right w:val="nil"/>
            </w:tcBorders>
          </w:tcPr>
          <w:p w14:paraId="0AA80C8B" w14:textId="77777777" w:rsidR="0031679F" w:rsidRPr="00AF242E" w:rsidRDefault="0031679F" w:rsidP="00F01434">
            <w:pPr>
              <w:rPr>
                <w:rFonts w:ascii="Verdana" w:hAnsi="Verdana"/>
              </w:rPr>
            </w:pPr>
          </w:p>
        </w:tc>
        <w:tc>
          <w:tcPr>
            <w:tcW w:w="296" w:type="dxa"/>
            <w:tcBorders>
              <w:top w:val="nil"/>
              <w:left w:val="nil"/>
              <w:bottom w:val="nil"/>
              <w:right w:val="nil"/>
            </w:tcBorders>
          </w:tcPr>
          <w:p w14:paraId="6BF5D6C8" w14:textId="4FF37F65" w:rsidR="0031679F" w:rsidRPr="00AF242E" w:rsidRDefault="0031679F" w:rsidP="00F01434">
            <w:pPr>
              <w:jc w:val="center"/>
              <w:rPr>
                <w:rFonts w:ascii="Verdana" w:hAnsi="Verdana"/>
                <w:b/>
                <w:bCs/>
              </w:rPr>
            </w:pPr>
            <w:r w:rsidRPr="00AF242E">
              <w:rPr>
                <w:rFonts w:ascii="Verdana" w:hAnsi="Verdana"/>
                <w:b/>
                <w:bCs/>
              </w:rPr>
              <w:t>.</w:t>
            </w:r>
          </w:p>
        </w:tc>
        <w:tc>
          <w:tcPr>
            <w:tcW w:w="8068" w:type="dxa"/>
            <w:tcBorders>
              <w:top w:val="nil"/>
              <w:left w:val="nil"/>
              <w:bottom w:val="nil"/>
              <w:right w:val="nil"/>
            </w:tcBorders>
          </w:tcPr>
          <w:p w14:paraId="02C7B727" w14:textId="70C1CAC6" w:rsidR="00AF242E" w:rsidRPr="00AF242E" w:rsidRDefault="00AF242E" w:rsidP="00F01434">
            <w:pPr>
              <w:rPr>
                <w:rFonts w:ascii="Verdana" w:hAnsi="Verdana" w:cs="Arial"/>
              </w:rPr>
            </w:pPr>
            <w:r w:rsidRPr="00AF242E">
              <w:rPr>
                <w:rFonts w:ascii="Verdana" w:hAnsi="Verdana" w:cs="Arial"/>
              </w:rPr>
              <w:t xml:space="preserve">it is assumed that all new staff (or replacement staff) will be enrolled in the appropriate pension scheme; </w:t>
            </w:r>
            <w:r w:rsidRPr="00AF242E">
              <w:rPr>
                <w:rFonts w:ascii="Verdana" w:hAnsi="Verdana" w:cs="Arial"/>
                <w:i/>
                <w:iCs/>
              </w:rPr>
              <w:t>and</w:t>
            </w:r>
            <w:r w:rsidRPr="00AF242E">
              <w:rPr>
                <w:rFonts w:ascii="Verdana" w:hAnsi="Verdana" w:cs="Arial"/>
              </w:rPr>
              <w:t xml:space="preserve">  </w:t>
            </w:r>
          </w:p>
          <w:p w14:paraId="513DAFE4" w14:textId="550D8582" w:rsidR="0031679F" w:rsidRPr="00AF242E" w:rsidRDefault="00AF242E" w:rsidP="00F01434">
            <w:pPr>
              <w:rPr>
                <w:rFonts w:ascii="Verdana" w:hAnsi="Verdana" w:cs="Arial"/>
              </w:rPr>
            </w:pPr>
            <w:r w:rsidRPr="00AF242E">
              <w:rPr>
                <w:rFonts w:ascii="Verdana" w:hAnsi="Verdana" w:cs="Arial"/>
              </w:rPr>
              <w:t xml:space="preserve">  </w:t>
            </w:r>
          </w:p>
        </w:tc>
      </w:tr>
      <w:tr w:rsidR="00AF242E" w:rsidRPr="003121E4" w14:paraId="36A9898B" w14:textId="77777777" w:rsidTr="00303773">
        <w:tc>
          <w:tcPr>
            <w:tcW w:w="561" w:type="dxa"/>
            <w:tcBorders>
              <w:top w:val="nil"/>
              <w:left w:val="nil"/>
              <w:bottom w:val="nil"/>
              <w:right w:val="nil"/>
            </w:tcBorders>
          </w:tcPr>
          <w:p w14:paraId="714182D9" w14:textId="77777777" w:rsidR="00AF242E" w:rsidRPr="00AF242E" w:rsidRDefault="00AF242E" w:rsidP="00F01434">
            <w:pPr>
              <w:rPr>
                <w:rFonts w:ascii="Verdana" w:hAnsi="Verdana"/>
              </w:rPr>
            </w:pPr>
          </w:p>
        </w:tc>
        <w:tc>
          <w:tcPr>
            <w:tcW w:w="426" w:type="dxa"/>
            <w:tcBorders>
              <w:top w:val="nil"/>
              <w:left w:val="nil"/>
              <w:bottom w:val="nil"/>
              <w:right w:val="nil"/>
            </w:tcBorders>
          </w:tcPr>
          <w:p w14:paraId="7945B152" w14:textId="77777777" w:rsidR="00AF242E" w:rsidRPr="00AF242E" w:rsidRDefault="00AF242E" w:rsidP="00F01434">
            <w:pPr>
              <w:rPr>
                <w:rFonts w:ascii="Verdana" w:hAnsi="Verdana"/>
              </w:rPr>
            </w:pPr>
          </w:p>
        </w:tc>
        <w:tc>
          <w:tcPr>
            <w:tcW w:w="296" w:type="dxa"/>
            <w:tcBorders>
              <w:top w:val="nil"/>
              <w:left w:val="nil"/>
              <w:bottom w:val="nil"/>
              <w:right w:val="nil"/>
            </w:tcBorders>
          </w:tcPr>
          <w:p w14:paraId="01B0859D" w14:textId="69958EDA" w:rsidR="00AF242E" w:rsidRPr="00AF242E" w:rsidRDefault="00AF242E" w:rsidP="00F01434">
            <w:pPr>
              <w:jc w:val="center"/>
              <w:rPr>
                <w:rFonts w:ascii="Verdana" w:hAnsi="Verdana"/>
                <w:b/>
                <w:bCs/>
              </w:rPr>
            </w:pPr>
            <w:r w:rsidRPr="00AF242E">
              <w:rPr>
                <w:rFonts w:ascii="Verdana" w:hAnsi="Verdana"/>
                <w:b/>
                <w:bCs/>
              </w:rPr>
              <w:t>.</w:t>
            </w:r>
          </w:p>
        </w:tc>
        <w:tc>
          <w:tcPr>
            <w:tcW w:w="8068" w:type="dxa"/>
            <w:tcBorders>
              <w:top w:val="nil"/>
              <w:left w:val="nil"/>
              <w:bottom w:val="nil"/>
              <w:right w:val="nil"/>
            </w:tcBorders>
          </w:tcPr>
          <w:p w14:paraId="6C027E05" w14:textId="3D09C6D2" w:rsidR="00AF242E" w:rsidRPr="00AF242E" w:rsidRDefault="00AF242E" w:rsidP="00F01434">
            <w:pPr>
              <w:rPr>
                <w:rFonts w:ascii="Verdana" w:hAnsi="Verdana" w:cs="Arial"/>
              </w:rPr>
            </w:pPr>
            <w:r w:rsidRPr="00AF242E">
              <w:rPr>
                <w:rFonts w:ascii="Verdana" w:hAnsi="Verdana" w:cs="Arial"/>
              </w:rPr>
              <w:t>support staff are assumed to be appointed at the bottom of the pay range for their post, with teaching staff assumed to be appointed at spine point 6</w:t>
            </w:r>
            <w:r w:rsidR="002276CA">
              <w:rPr>
                <w:rFonts w:ascii="Verdana" w:hAnsi="Verdana" w:cs="Arial"/>
              </w:rPr>
              <w:t>.</w:t>
            </w:r>
          </w:p>
        </w:tc>
      </w:tr>
    </w:tbl>
    <w:p w14:paraId="721FAC4F" w14:textId="442235C1" w:rsidR="003D4C32" w:rsidRDefault="003D4C32" w:rsidP="004F4C55"/>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429"/>
        <w:gridCol w:w="8355"/>
      </w:tblGrid>
      <w:tr w:rsidR="00AF242E" w:rsidRPr="008D7D88" w14:paraId="74977C38" w14:textId="77777777" w:rsidTr="00303773">
        <w:tc>
          <w:tcPr>
            <w:tcW w:w="538" w:type="dxa"/>
          </w:tcPr>
          <w:p w14:paraId="061B98DA" w14:textId="77777777" w:rsidR="00AF242E" w:rsidRPr="001E1E77" w:rsidRDefault="00AF242E" w:rsidP="00F01434">
            <w:pPr>
              <w:rPr>
                <w:rFonts w:ascii="Verdana" w:hAnsi="Verdana"/>
              </w:rPr>
            </w:pPr>
          </w:p>
        </w:tc>
        <w:tc>
          <w:tcPr>
            <w:tcW w:w="429" w:type="dxa"/>
          </w:tcPr>
          <w:p w14:paraId="6BC39672" w14:textId="77777777" w:rsidR="00AF242E" w:rsidRPr="001E1E77" w:rsidRDefault="00AF242E" w:rsidP="00F01434">
            <w:pPr>
              <w:rPr>
                <w:rFonts w:ascii="Verdana" w:hAnsi="Verdana"/>
                <w:b/>
              </w:rPr>
            </w:pPr>
            <w:r w:rsidRPr="001E1E77">
              <w:rPr>
                <w:rFonts w:ascii="Verdana" w:hAnsi="Verdana"/>
                <w:b/>
              </w:rPr>
              <w:t>.</w:t>
            </w:r>
          </w:p>
        </w:tc>
        <w:tc>
          <w:tcPr>
            <w:tcW w:w="8355" w:type="dxa"/>
          </w:tcPr>
          <w:p w14:paraId="21325B47" w14:textId="40051EDD" w:rsidR="00AF242E" w:rsidRPr="001E1E77" w:rsidRDefault="00AF242E" w:rsidP="00F01434">
            <w:pPr>
              <w:rPr>
                <w:rFonts w:ascii="Verdana" w:hAnsi="Verdana" w:cs="Arial"/>
              </w:rPr>
            </w:pPr>
            <w:r w:rsidRPr="001E1E77">
              <w:rPr>
                <w:rFonts w:ascii="Verdana" w:hAnsi="Verdana" w:cs="Arial"/>
              </w:rPr>
              <w:t>budgetary provision</w:t>
            </w:r>
            <w:r w:rsidR="001E1E77" w:rsidRPr="001E1E77">
              <w:rPr>
                <w:rFonts w:ascii="Verdana" w:hAnsi="Verdana" w:cs="Arial"/>
              </w:rPr>
              <w:t>, including for additional posts,</w:t>
            </w:r>
            <w:r w:rsidRPr="001E1E77">
              <w:rPr>
                <w:rFonts w:ascii="Verdana" w:hAnsi="Verdana" w:cs="Arial"/>
              </w:rPr>
              <w:t xml:space="preserve"> has been made in a range of areas to ensure that the College has the capacity to continue on the course of improvement started in 2016;</w:t>
            </w:r>
          </w:p>
          <w:p w14:paraId="54239853" w14:textId="31764498" w:rsidR="00AF242E" w:rsidRPr="001E1E77" w:rsidRDefault="00AF242E" w:rsidP="00F01434">
            <w:pPr>
              <w:rPr>
                <w:rFonts w:ascii="Verdana" w:hAnsi="Verdana" w:cs="Arial"/>
              </w:rPr>
            </w:pPr>
          </w:p>
        </w:tc>
      </w:tr>
      <w:tr w:rsidR="00AF242E" w:rsidRPr="008D7D88" w14:paraId="148A8672" w14:textId="77777777" w:rsidTr="00303773">
        <w:tc>
          <w:tcPr>
            <w:tcW w:w="538" w:type="dxa"/>
          </w:tcPr>
          <w:p w14:paraId="728568E7" w14:textId="77777777" w:rsidR="00AF242E" w:rsidRPr="001E1E77" w:rsidRDefault="00AF242E" w:rsidP="00F01434">
            <w:pPr>
              <w:rPr>
                <w:rFonts w:ascii="Verdana" w:hAnsi="Verdana"/>
              </w:rPr>
            </w:pPr>
          </w:p>
        </w:tc>
        <w:tc>
          <w:tcPr>
            <w:tcW w:w="429" w:type="dxa"/>
          </w:tcPr>
          <w:p w14:paraId="031649CD" w14:textId="77777777" w:rsidR="00AF242E" w:rsidRPr="001E1E77" w:rsidRDefault="00AF242E" w:rsidP="00F01434">
            <w:pPr>
              <w:rPr>
                <w:rFonts w:ascii="Verdana" w:hAnsi="Verdana"/>
                <w:b/>
              </w:rPr>
            </w:pPr>
            <w:r w:rsidRPr="001E1E77">
              <w:rPr>
                <w:rFonts w:ascii="Verdana" w:hAnsi="Verdana"/>
                <w:b/>
              </w:rPr>
              <w:t>.</w:t>
            </w:r>
          </w:p>
        </w:tc>
        <w:tc>
          <w:tcPr>
            <w:tcW w:w="8355" w:type="dxa"/>
          </w:tcPr>
          <w:p w14:paraId="322A0388" w14:textId="745651CC" w:rsidR="00AF242E" w:rsidRPr="001E1E77" w:rsidRDefault="00AF242E" w:rsidP="00F01434">
            <w:pPr>
              <w:rPr>
                <w:rFonts w:ascii="Verdana" w:hAnsi="Verdana" w:cs="Arial"/>
              </w:rPr>
            </w:pPr>
            <w:r w:rsidRPr="001E1E77">
              <w:rPr>
                <w:rFonts w:ascii="Verdana" w:hAnsi="Verdana" w:cs="Arial"/>
              </w:rPr>
              <w:t>the College could return to a surplus position</w:t>
            </w:r>
            <w:r w:rsidR="001E1E77" w:rsidRPr="001E1E77">
              <w:rPr>
                <w:rFonts w:ascii="Verdana" w:hAnsi="Verdana" w:cs="Arial"/>
              </w:rPr>
              <w:t xml:space="preserve"> in 2020-21</w:t>
            </w:r>
            <w:r w:rsidRPr="001E1E77">
              <w:rPr>
                <w:rFonts w:ascii="Verdana" w:hAnsi="Verdana" w:cs="Arial"/>
              </w:rPr>
              <w:t xml:space="preserve"> by not recruiting to some of these additional posts</w:t>
            </w:r>
            <w:r w:rsidR="001E1E77" w:rsidRPr="001E1E77">
              <w:rPr>
                <w:rFonts w:ascii="Verdana" w:hAnsi="Verdana" w:cs="Arial"/>
              </w:rPr>
              <w:t>, but</w:t>
            </w:r>
            <w:r w:rsidRPr="001E1E77">
              <w:rPr>
                <w:rFonts w:ascii="Verdana" w:hAnsi="Verdana" w:cs="Arial"/>
              </w:rPr>
              <w:t xml:space="preserve"> </w:t>
            </w:r>
            <w:r w:rsidR="001E1E77" w:rsidRPr="001E1E77">
              <w:rPr>
                <w:rFonts w:ascii="Verdana" w:hAnsi="Verdana" w:cs="Arial"/>
              </w:rPr>
              <w:t>it is expected that in</w:t>
            </w:r>
            <w:r w:rsidRPr="001E1E77">
              <w:rPr>
                <w:rFonts w:ascii="Verdana" w:hAnsi="Verdana" w:cs="Arial"/>
              </w:rPr>
              <w:t xml:space="preserve"> </w:t>
            </w:r>
            <w:r w:rsidR="001E1E77" w:rsidRPr="001E1E77">
              <w:rPr>
                <w:rFonts w:ascii="Verdana" w:hAnsi="Verdana" w:cs="Arial"/>
              </w:rPr>
              <w:t>2021-22</w:t>
            </w:r>
            <w:r w:rsidRPr="001E1E77">
              <w:rPr>
                <w:rFonts w:ascii="Verdana" w:hAnsi="Verdana" w:cs="Arial"/>
              </w:rPr>
              <w:t xml:space="preserve"> continued growth</w:t>
            </w:r>
            <w:r w:rsidR="001E1E77" w:rsidRPr="001E1E77">
              <w:rPr>
                <w:rFonts w:ascii="Verdana" w:hAnsi="Verdana" w:cs="Arial"/>
              </w:rPr>
              <w:t xml:space="preserve"> in student enrolments</w:t>
            </w:r>
            <w:r w:rsidRPr="001E1E77">
              <w:rPr>
                <w:rFonts w:ascii="Verdana" w:hAnsi="Verdana" w:cs="Arial"/>
              </w:rPr>
              <w:t xml:space="preserve"> and revenue funding increases will return the College to surplus</w:t>
            </w:r>
            <w:r w:rsidR="001E1E77" w:rsidRPr="001E1E77">
              <w:rPr>
                <w:rFonts w:ascii="Verdana" w:hAnsi="Verdana" w:cs="Arial"/>
              </w:rPr>
              <w:t>;</w:t>
            </w:r>
          </w:p>
          <w:p w14:paraId="43FB236B" w14:textId="56450DAA" w:rsidR="001E1E77" w:rsidRPr="001E1E77" w:rsidRDefault="001E1E77" w:rsidP="00F01434">
            <w:pPr>
              <w:rPr>
                <w:rFonts w:ascii="Verdana" w:hAnsi="Verdana" w:cs="Arial"/>
              </w:rPr>
            </w:pPr>
          </w:p>
        </w:tc>
      </w:tr>
      <w:tr w:rsidR="00AF242E" w:rsidRPr="008D7D88" w14:paraId="600FA690" w14:textId="77777777" w:rsidTr="00303773">
        <w:tc>
          <w:tcPr>
            <w:tcW w:w="538" w:type="dxa"/>
          </w:tcPr>
          <w:p w14:paraId="21549204" w14:textId="77777777" w:rsidR="00AF242E" w:rsidRPr="001E1E77" w:rsidRDefault="00AF242E" w:rsidP="00F01434">
            <w:pPr>
              <w:rPr>
                <w:rFonts w:ascii="Verdana" w:hAnsi="Verdana"/>
              </w:rPr>
            </w:pPr>
          </w:p>
        </w:tc>
        <w:tc>
          <w:tcPr>
            <w:tcW w:w="429" w:type="dxa"/>
          </w:tcPr>
          <w:p w14:paraId="44726BAF" w14:textId="77777777" w:rsidR="00AF242E" w:rsidRPr="001E1E77" w:rsidRDefault="00AF242E" w:rsidP="00F01434">
            <w:pPr>
              <w:rPr>
                <w:rFonts w:ascii="Verdana" w:hAnsi="Verdana"/>
                <w:b/>
              </w:rPr>
            </w:pPr>
            <w:r w:rsidRPr="001E1E77">
              <w:rPr>
                <w:rFonts w:ascii="Verdana" w:hAnsi="Verdana"/>
                <w:b/>
              </w:rPr>
              <w:t>.</w:t>
            </w:r>
          </w:p>
        </w:tc>
        <w:tc>
          <w:tcPr>
            <w:tcW w:w="8355" w:type="dxa"/>
          </w:tcPr>
          <w:p w14:paraId="7D338611" w14:textId="62AE0B58" w:rsidR="00AF242E" w:rsidRPr="001E1E77" w:rsidRDefault="001E1E77" w:rsidP="00F01434">
            <w:pPr>
              <w:rPr>
                <w:rFonts w:ascii="Verdana" w:hAnsi="Verdana" w:cs="Arial"/>
              </w:rPr>
            </w:pPr>
            <w:r w:rsidRPr="001E1E77">
              <w:rPr>
                <w:rFonts w:ascii="Verdana" w:hAnsi="Verdana" w:cs="Arial"/>
              </w:rPr>
              <w:t xml:space="preserve">in order to be assured that these additional posts are sustainable, some </w:t>
            </w:r>
            <w:r w:rsidR="00E86BE7">
              <w:rPr>
                <w:rFonts w:ascii="Verdana" w:hAnsi="Verdana" w:cs="Arial"/>
              </w:rPr>
              <w:t xml:space="preserve">staff </w:t>
            </w:r>
            <w:r w:rsidRPr="001E1E77">
              <w:rPr>
                <w:rFonts w:ascii="Verdana" w:hAnsi="Verdana" w:cs="Arial"/>
              </w:rPr>
              <w:t xml:space="preserve">may not be recruited until after </w:t>
            </w:r>
            <w:r w:rsidR="00E86BE7">
              <w:rPr>
                <w:rFonts w:ascii="Verdana" w:hAnsi="Verdana" w:cs="Arial"/>
              </w:rPr>
              <w:t xml:space="preserve">student </w:t>
            </w:r>
            <w:r w:rsidRPr="001E1E77">
              <w:rPr>
                <w:rFonts w:ascii="Verdana" w:hAnsi="Verdana" w:cs="Arial"/>
              </w:rPr>
              <w:t xml:space="preserve">enrolment (with a consequent cost reduction) or initially </w:t>
            </w:r>
            <w:r w:rsidR="00E86BE7">
              <w:rPr>
                <w:rFonts w:ascii="Verdana" w:hAnsi="Verdana" w:cs="Arial"/>
              </w:rPr>
              <w:t xml:space="preserve">be </w:t>
            </w:r>
            <w:r w:rsidRPr="001E1E77">
              <w:rPr>
                <w:rFonts w:ascii="Verdana" w:hAnsi="Verdana" w:cs="Arial"/>
              </w:rPr>
              <w:t>recruited on fixed term contracts;</w:t>
            </w:r>
          </w:p>
          <w:p w14:paraId="518B1774" w14:textId="352C3D2C" w:rsidR="001E1E77" w:rsidRPr="001E1E77" w:rsidRDefault="001E1E77" w:rsidP="00F01434">
            <w:pPr>
              <w:rPr>
                <w:rFonts w:ascii="Verdana" w:hAnsi="Verdana" w:cs="Arial"/>
              </w:rPr>
            </w:pPr>
          </w:p>
        </w:tc>
      </w:tr>
      <w:tr w:rsidR="00AF242E" w:rsidRPr="008D7D88" w14:paraId="6B5B6BEA" w14:textId="77777777" w:rsidTr="00303773">
        <w:tc>
          <w:tcPr>
            <w:tcW w:w="538" w:type="dxa"/>
          </w:tcPr>
          <w:p w14:paraId="5375D1F4" w14:textId="77777777" w:rsidR="00AF242E" w:rsidRPr="001E1E77" w:rsidRDefault="00AF242E" w:rsidP="00F01434">
            <w:pPr>
              <w:rPr>
                <w:rFonts w:ascii="Verdana" w:hAnsi="Verdana"/>
              </w:rPr>
            </w:pPr>
          </w:p>
        </w:tc>
        <w:tc>
          <w:tcPr>
            <w:tcW w:w="429" w:type="dxa"/>
          </w:tcPr>
          <w:p w14:paraId="6A047034" w14:textId="77777777" w:rsidR="00AF242E" w:rsidRPr="001E1E77" w:rsidRDefault="00AF242E" w:rsidP="00F01434">
            <w:pPr>
              <w:rPr>
                <w:rFonts w:ascii="Verdana" w:hAnsi="Verdana"/>
                <w:b/>
              </w:rPr>
            </w:pPr>
            <w:r w:rsidRPr="001E1E77">
              <w:rPr>
                <w:rFonts w:ascii="Verdana" w:hAnsi="Verdana"/>
                <w:b/>
              </w:rPr>
              <w:t>.</w:t>
            </w:r>
          </w:p>
        </w:tc>
        <w:tc>
          <w:tcPr>
            <w:tcW w:w="8355" w:type="dxa"/>
          </w:tcPr>
          <w:p w14:paraId="7146A421" w14:textId="49AA8463" w:rsidR="00AF242E" w:rsidRPr="001E1E77" w:rsidRDefault="001E1E77" w:rsidP="00F01434">
            <w:pPr>
              <w:rPr>
                <w:rFonts w:ascii="Verdana" w:hAnsi="Verdana" w:cs="Arial"/>
                <w:i/>
                <w:iCs/>
              </w:rPr>
            </w:pPr>
            <w:r w:rsidRPr="001E1E77">
              <w:rPr>
                <w:rFonts w:ascii="Verdana" w:hAnsi="Verdana" w:cs="Arial"/>
              </w:rPr>
              <w:t xml:space="preserve">non-pay cost cuts made in 2019-20 have been reversed, and areas which have been particularly underfunded, such as marketing and staff recruitment, have had their resources increased; </w:t>
            </w:r>
            <w:r w:rsidRPr="001E1E77">
              <w:rPr>
                <w:rFonts w:ascii="Verdana" w:hAnsi="Verdana" w:cs="Arial"/>
                <w:i/>
                <w:iCs/>
              </w:rPr>
              <w:t>and</w:t>
            </w:r>
          </w:p>
          <w:p w14:paraId="1A5C8B5F" w14:textId="42271B14" w:rsidR="001E1E77" w:rsidRPr="001E1E77" w:rsidRDefault="001E1E77" w:rsidP="00F01434">
            <w:pPr>
              <w:rPr>
                <w:rFonts w:ascii="Verdana" w:hAnsi="Verdana" w:cs="Arial"/>
              </w:rPr>
            </w:pPr>
          </w:p>
        </w:tc>
      </w:tr>
      <w:tr w:rsidR="00AF242E" w:rsidRPr="008D7D88" w14:paraId="0445A204" w14:textId="77777777" w:rsidTr="00303773">
        <w:tc>
          <w:tcPr>
            <w:tcW w:w="538" w:type="dxa"/>
          </w:tcPr>
          <w:p w14:paraId="2D47D6E3" w14:textId="77777777" w:rsidR="00AF242E" w:rsidRPr="001E1E77" w:rsidRDefault="00AF242E" w:rsidP="00F01434">
            <w:pPr>
              <w:rPr>
                <w:rFonts w:ascii="Verdana" w:hAnsi="Verdana"/>
              </w:rPr>
            </w:pPr>
          </w:p>
        </w:tc>
        <w:tc>
          <w:tcPr>
            <w:tcW w:w="429" w:type="dxa"/>
          </w:tcPr>
          <w:p w14:paraId="380B8514" w14:textId="77777777" w:rsidR="00AF242E" w:rsidRPr="001E1E77" w:rsidRDefault="00AF242E" w:rsidP="00F01434">
            <w:pPr>
              <w:rPr>
                <w:rFonts w:ascii="Verdana" w:hAnsi="Verdana"/>
                <w:b/>
              </w:rPr>
            </w:pPr>
            <w:r w:rsidRPr="001E1E77">
              <w:rPr>
                <w:rFonts w:ascii="Verdana" w:hAnsi="Verdana"/>
                <w:b/>
              </w:rPr>
              <w:t>.</w:t>
            </w:r>
          </w:p>
        </w:tc>
        <w:tc>
          <w:tcPr>
            <w:tcW w:w="8355" w:type="dxa"/>
          </w:tcPr>
          <w:p w14:paraId="2CFD161A" w14:textId="44A9FF53" w:rsidR="00AF242E" w:rsidRPr="001E1E77" w:rsidRDefault="001E1E77" w:rsidP="00F01434">
            <w:pPr>
              <w:rPr>
                <w:rFonts w:ascii="Verdana" w:hAnsi="Verdana" w:cs="Arial"/>
              </w:rPr>
            </w:pPr>
            <w:r w:rsidRPr="001E1E77">
              <w:rPr>
                <w:rFonts w:ascii="Verdana" w:hAnsi="Verdana" w:cs="Arial"/>
              </w:rPr>
              <w:t xml:space="preserve">an improvement budget </w:t>
            </w:r>
            <w:r w:rsidR="00E86BE7">
              <w:rPr>
                <w:rFonts w:ascii="Verdana" w:hAnsi="Verdana" w:cs="Arial"/>
              </w:rPr>
              <w:t>(</w:t>
            </w:r>
            <w:r w:rsidR="00E86BE7" w:rsidRPr="001E1E77">
              <w:rPr>
                <w:rFonts w:ascii="Verdana" w:hAnsi="Verdana" w:cs="Arial"/>
              </w:rPr>
              <w:t>£126,000</w:t>
            </w:r>
            <w:r w:rsidR="00E86BE7">
              <w:rPr>
                <w:rFonts w:ascii="Verdana" w:hAnsi="Verdana" w:cs="Arial"/>
              </w:rPr>
              <w:t>)</w:t>
            </w:r>
            <w:r w:rsidR="00E86BE7" w:rsidRPr="001E1E77">
              <w:rPr>
                <w:rFonts w:ascii="Verdana" w:hAnsi="Verdana" w:cs="Arial"/>
              </w:rPr>
              <w:t xml:space="preserve"> </w:t>
            </w:r>
            <w:r w:rsidRPr="001E1E77">
              <w:rPr>
                <w:rFonts w:ascii="Verdana" w:hAnsi="Verdana" w:cs="Arial"/>
              </w:rPr>
              <w:t>has been included to spend on upgrading</w:t>
            </w:r>
            <w:r w:rsidR="00E86BE7">
              <w:rPr>
                <w:rFonts w:ascii="Verdana" w:hAnsi="Verdana" w:cs="Arial"/>
              </w:rPr>
              <w:t xml:space="preserve"> or</w:t>
            </w:r>
            <w:r w:rsidRPr="001E1E77">
              <w:rPr>
                <w:rFonts w:ascii="Verdana" w:hAnsi="Verdana" w:cs="Arial"/>
              </w:rPr>
              <w:t xml:space="preserve"> improving college facilities.</w:t>
            </w:r>
          </w:p>
        </w:tc>
      </w:tr>
    </w:tbl>
    <w:p w14:paraId="6F750C0B" w14:textId="785C0784" w:rsidR="003D4C32" w:rsidRDefault="003D4C32" w:rsidP="004F4C55"/>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8807"/>
      </w:tblGrid>
      <w:tr w:rsidR="001E1E77" w:rsidRPr="00D5467F" w14:paraId="74B9526A" w14:textId="77777777" w:rsidTr="00303773">
        <w:tc>
          <w:tcPr>
            <w:tcW w:w="544" w:type="dxa"/>
            <w:tcBorders>
              <w:top w:val="nil"/>
              <w:left w:val="nil"/>
              <w:bottom w:val="nil"/>
              <w:right w:val="nil"/>
            </w:tcBorders>
          </w:tcPr>
          <w:p w14:paraId="037884F3" w14:textId="77777777" w:rsidR="001E1E77" w:rsidRPr="0009514A" w:rsidRDefault="001E1E77" w:rsidP="00F01434">
            <w:pPr>
              <w:rPr>
                <w:rFonts w:ascii="Verdana" w:hAnsi="Verdana"/>
                <w:b/>
                <w:color w:val="FF0000"/>
              </w:rPr>
            </w:pPr>
          </w:p>
        </w:tc>
        <w:tc>
          <w:tcPr>
            <w:tcW w:w="8807" w:type="dxa"/>
            <w:tcBorders>
              <w:top w:val="nil"/>
              <w:left w:val="nil"/>
              <w:bottom w:val="nil"/>
              <w:right w:val="nil"/>
            </w:tcBorders>
          </w:tcPr>
          <w:p w14:paraId="2C9D9DA8" w14:textId="73434277" w:rsidR="001E1E77" w:rsidRDefault="00F56545" w:rsidP="00F01434">
            <w:pPr>
              <w:contextualSpacing/>
              <w:rPr>
                <w:rFonts w:ascii="Verdana" w:hAnsi="Verdana" w:cs="Arial"/>
              </w:rPr>
            </w:pPr>
            <w:r>
              <w:rPr>
                <w:rFonts w:ascii="Verdana" w:hAnsi="Verdana" w:cs="Arial"/>
              </w:rPr>
              <w:t>It was noted that the ESFA funding assessment for 2020-21 will not be confirmed until 31 March 2020, though estimates of income and expenditure for the year are required by the ESFA on or before 29 February.  A similar lack of confirmation also attends a number of other public grants about which assumptions had been made in the budget.</w:t>
            </w:r>
          </w:p>
          <w:p w14:paraId="7659D786" w14:textId="6FAE191A" w:rsidR="00F56545" w:rsidRDefault="00F56545" w:rsidP="00F01434">
            <w:pPr>
              <w:contextualSpacing/>
              <w:rPr>
                <w:rFonts w:ascii="Verdana" w:hAnsi="Verdana" w:cs="Arial"/>
              </w:rPr>
            </w:pPr>
          </w:p>
          <w:p w14:paraId="0505EA2B" w14:textId="4B15B0C4" w:rsidR="00F56545" w:rsidRDefault="00F56545" w:rsidP="00F01434">
            <w:pPr>
              <w:contextualSpacing/>
              <w:rPr>
                <w:rFonts w:ascii="Verdana" w:hAnsi="Verdana" w:cs="Arial"/>
              </w:rPr>
            </w:pPr>
            <w:r>
              <w:rPr>
                <w:rFonts w:ascii="Verdana" w:hAnsi="Verdana" w:cs="Arial"/>
              </w:rPr>
              <w:t>Given the context of lagged ESFA funding, the Committee expressed itself comfortable with a second consecutive year in deficit prior to returning to a planned surplus in 2021-22.</w:t>
            </w:r>
          </w:p>
          <w:p w14:paraId="1A2B2C44" w14:textId="054DF71C" w:rsidR="00F56545" w:rsidRDefault="00F56545" w:rsidP="00F01434">
            <w:pPr>
              <w:contextualSpacing/>
              <w:rPr>
                <w:rFonts w:ascii="Verdana" w:hAnsi="Verdana" w:cs="Arial"/>
              </w:rPr>
            </w:pPr>
          </w:p>
          <w:p w14:paraId="0CF55AC4" w14:textId="7BB1777F" w:rsidR="005C6C0F" w:rsidRDefault="00F56545" w:rsidP="00F01434">
            <w:pPr>
              <w:contextualSpacing/>
              <w:rPr>
                <w:rFonts w:ascii="Verdana" w:hAnsi="Verdana" w:cs="Arial"/>
              </w:rPr>
            </w:pPr>
            <w:r>
              <w:rPr>
                <w:rFonts w:ascii="Verdana" w:hAnsi="Verdana" w:cs="Arial"/>
              </w:rPr>
              <w:t>The Vice-Principal: Corporate Services stated</w:t>
            </w:r>
            <w:r w:rsidR="005C6C0F">
              <w:rPr>
                <w:rFonts w:ascii="Verdana" w:hAnsi="Verdana" w:cs="Arial"/>
              </w:rPr>
              <w:t xml:space="preserve"> with confidence</w:t>
            </w:r>
            <w:r>
              <w:rPr>
                <w:rFonts w:ascii="Verdana" w:hAnsi="Verdana" w:cs="Arial"/>
              </w:rPr>
              <w:t xml:space="preserve"> that he did not expect the College contribution to the Local Government Pension Scheme to rise above the 2019-20 level</w:t>
            </w:r>
            <w:r w:rsidR="005C6C0F">
              <w:rPr>
                <w:rFonts w:ascii="Verdana" w:hAnsi="Verdana" w:cs="Arial"/>
              </w:rPr>
              <w:t xml:space="preserve">, and had budgeted accordingly.  Whilst the overall Scheme is 80% funded, the College’s section is 89% funded as a </w:t>
            </w:r>
            <w:r w:rsidR="005511E8">
              <w:rPr>
                <w:rFonts w:ascii="Verdana" w:hAnsi="Verdana" w:cs="Arial"/>
              </w:rPr>
              <w:t>consequence</w:t>
            </w:r>
            <w:r w:rsidR="005C6C0F">
              <w:rPr>
                <w:rFonts w:ascii="Verdana" w:hAnsi="Verdana" w:cs="Arial"/>
              </w:rPr>
              <w:t xml:space="preserve"> of </w:t>
            </w:r>
            <w:r w:rsidR="005511E8">
              <w:rPr>
                <w:rFonts w:ascii="Verdana" w:hAnsi="Verdana" w:cs="Arial"/>
              </w:rPr>
              <w:t>the</w:t>
            </w:r>
            <w:r w:rsidR="005C6C0F">
              <w:rPr>
                <w:rFonts w:ascii="Verdana" w:hAnsi="Verdana" w:cs="Arial"/>
              </w:rPr>
              <w:t xml:space="preserve"> previous strategy of making </w:t>
            </w:r>
            <w:r w:rsidR="005511E8">
              <w:rPr>
                <w:rFonts w:ascii="Verdana" w:hAnsi="Verdana" w:cs="Arial"/>
              </w:rPr>
              <w:t xml:space="preserve">accelerated </w:t>
            </w:r>
            <w:r w:rsidR="005C6C0F">
              <w:rPr>
                <w:rFonts w:ascii="Verdana" w:hAnsi="Verdana" w:cs="Arial"/>
              </w:rPr>
              <w:t xml:space="preserve">deficit payments.  </w:t>
            </w:r>
            <w:r w:rsidR="005511E8">
              <w:rPr>
                <w:rFonts w:ascii="Verdana" w:hAnsi="Verdana" w:cs="Arial"/>
              </w:rPr>
              <w:t>As a result</w:t>
            </w:r>
            <w:r w:rsidR="003370A8">
              <w:rPr>
                <w:rFonts w:ascii="Verdana" w:hAnsi="Verdana" w:cs="Arial"/>
              </w:rPr>
              <w:t>, and contrary to the experience of several other colleges,</w:t>
            </w:r>
            <w:r w:rsidR="005C6C0F">
              <w:rPr>
                <w:rFonts w:ascii="Verdana" w:hAnsi="Verdana" w:cs="Arial"/>
              </w:rPr>
              <w:t xml:space="preserve"> a formal charge over College assets is not being </w:t>
            </w:r>
            <w:r w:rsidR="005511E8">
              <w:rPr>
                <w:rFonts w:ascii="Verdana" w:hAnsi="Verdana" w:cs="Arial"/>
              </w:rPr>
              <w:t>sought</w:t>
            </w:r>
            <w:r w:rsidR="005C6C0F">
              <w:rPr>
                <w:rFonts w:ascii="Verdana" w:hAnsi="Verdana" w:cs="Arial"/>
              </w:rPr>
              <w:t xml:space="preserve"> nor are substantial demands for arrears being made.</w:t>
            </w:r>
          </w:p>
          <w:p w14:paraId="24A2AEA7" w14:textId="74CFD704" w:rsidR="00F01434" w:rsidRDefault="00F01434" w:rsidP="00F01434">
            <w:pPr>
              <w:contextualSpacing/>
              <w:rPr>
                <w:rFonts w:ascii="Verdana" w:hAnsi="Verdana" w:cs="Arial"/>
              </w:rPr>
            </w:pPr>
          </w:p>
          <w:p w14:paraId="6478B6E7" w14:textId="679DABBB" w:rsidR="00F01434" w:rsidRDefault="003370A8" w:rsidP="00F01434">
            <w:pPr>
              <w:contextualSpacing/>
              <w:rPr>
                <w:rFonts w:ascii="Verdana" w:hAnsi="Verdana" w:cs="Arial"/>
              </w:rPr>
            </w:pPr>
            <w:r>
              <w:rPr>
                <w:rFonts w:ascii="Verdana" w:hAnsi="Verdana" w:cs="Arial"/>
              </w:rPr>
              <w:t>It was noted that the Corporation’s agreement in principle to the Accelerated Learning Academy (formerly “Newly-Arrived Academy”) will be sought at the meeting to be held on 15 February 2020.</w:t>
            </w:r>
          </w:p>
          <w:p w14:paraId="7E81F430" w14:textId="77777777" w:rsidR="00F01434" w:rsidRDefault="00F01434" w:rsidP="00F01434">
            <w:pPr>
              <w:contextualSpacing/>
              <w:rPr>
                <w:rFonts w:ascii="Verdana" w:hAnsi="Verdana" w:cs="Arial"/>
              </w:rPr>
            </w:pPr>
          </w:p>
          <w:p w14:paraId="5A28A3A1" w14:textId="6711A417" w:rsidR="00F01434" w:rsidRDefault="00F01434" w:rsidP="00F01434">
            <w:pPr>
              <w:contextualSpacing/>
              <w:rPr>
                <w:rFonts w:ascii="Verdana" w:hAnsi="Verdana" w:cs="Arial"/>
              </w:rPr>
            </w:pPr>
            <w:r>
              <w:rPr>
                <w:rFonts w:ascii="Verdana" w:hAnsi="Verdana" w:cs="Arial"/>
              </w:rPr>
              <w:t xml:space="preserve">The outline estimates of income and expenditure for 2020-21 were approved </w:t>
            </w:r>
            <w:r w:rsidR="009C7232">
              <w:rPr>
                <w:rFonts w:ascii="Verdana" w:hAnsi="Verdana" w:cs="Arial"/>
              </w:rPr>
              <w:t>as a basis for further development</w:t>
            </w:r>
            <w:r w:rsidR="003370A8">
              <w:rPr>
                <w:rFonts w:ascii="Verdana" w:hAnsi="Verdana" w:cs="Arial"/>
              </w:rPr>
              <w:t xml:space="preserve"> within the College with a report to the Committee at its next meeting.</w:t>
            </w:r>
          </w:p>
          <w:p w14:paraId="2AD0E67D" w14:textId="2B2724F9" w:rsidR="003370A8" w:rsidRDefault="003370A8" w:rsidP="00F01434">
            <w:pPr>
              <w:contextualSpacing/>
              <w:rPr>
                <w:rFonts w:ascii="Verdana" w:hAnsi="Verdana" w:cs="Arial"/>
              </w:rPr>
            </w:pPr>
          </w:p>
          <w:p w14:paraId="17C23CF3" w14:textId="16C7E891" w:rsidR="003370A8" w:rsidRDefault="003370A8" w:rsidP="00F01434">
            <w:pPr>
              <w:contextualSpacing/>
              <w:rPr>
                <w:rFonts w:ascii="Verdana" w:hAnsi="Verdana" w:cs="Arial"/>
              </w:rPr>
            </w:pPr>
            <w:r>
              <w:rPr>
                <w:rFonts w:ascii="Verdana" w:hAnsi="Verdana" w:cs="Arial"/>
              </w:rPr>
              <w:t>The Committee also recommended that, at its meeting on 15 February 2020, the Corporation approve the inclusion of the 2020-21 estimates considered under this agendum in the ESFA Financial Forecast 2020-22.</w:t>
            </w:r>
          </w:p>
          <w:p w14:paraId="41910D55" w14:textId="46738E58" w:rsidR="00E86BE7" w:rsidRPr="00D5467F" w:rsidRDefault="00E86BE7" w:rsidP="00F01434">
            <w:pPr>
              <w:contextualSpacing/>
              <w:rPr>
                <w:rFonts w:ascii="Verdana" w:hAnsi="Verdana" w:cs="Arial"/>
              </w:rPr>
            </w:pPr>
          </w:p>
        </w:tc>
      </w:tr>
      <w:tr w:rsidR="00F01434" w:rsidRPr="0009514A" w14:paraId="49029009" w14:textId="77777777" w:rsidTr="00303773">
        <w:tc>
          <w:tcPr>
            <w:tcW w:w="544" w:type="dxa"/>
            <w:tcBorders>
              <w:top w:val="nil"/>
              <w:left w:val="nil"/>
              <w:bottom w:val="nil"/>
              <w:right w:val="nil"/>
            </w:tcBorders>
          </w:tcPr>
          <w:p w14:paraId="4FA69BE6" w14:textId="315B23A4" w:rsidR="00F01434" w:rsidRPr="0009514A" w:rsidRDefault="00F01434" w:rsidP="00F01434">
            <w:pPr>
              <w:rPr>
                <w:rFonts w:ascii="Verdana" w:hAnsi="Verdana"/>
                <w:b/>
                <w:color w:val="FF0000"/>
              </w:rPr>
            </w:pPr>
            <w:r w:rsidRPr="00F01434">
              <w:rPr>
                <w:rFonts w:ascii="Verdana" w:hAnsi="Verdana"/>
                <w:b/>
              </w:rPr>
              <w:t>8</w:t>
            </w:r>
          </w:p>
        </w:tc>
        <w:tc>
          <w:tcPr>
            <w:tcW w:w="8807" w:type="dxa"/>
            <w:tcBorders>
              <w:top w:val="nil"/>
              <w:left w:val="nil"/>
              <w:bottom w:val="nil"/>
              <w:right w:val="nil"/>
            </w:tcBorders>
          </w:tcPr>
          <w:p w14:paraId="24B4EA37" w14:textId="77777777" w:rsidR="00F01434" w:rsidRDefault="00F01434" w:rsidP="00F01434">
            <w:pPr>
              <w:pStyle w:val="NoSpacing"/>
              <w:rPr>
                <w:rFonts w:ascii="Verdana" w:hAnsi="Verdana"/>
                <w:b/>
              </w:rPr>
            </w:pPr>
            <w:r>
              <w:rPr>
                <w:rFonts w:ascii="Verdana" w:hAnsi="Verdana"/>
                <w:b/>
              </w:rPr>
              <w:t>ESFA Financial Forecast 2020-22</w:t>
            </w:r>
          </w:p>
          <w:p w14:paraId="304377DB" w14:textId="77777777" w:rsidR="00F01434" w:rsidRPr="00702927" w:rsidRDefault="00F01434" w:rsidP="00F01434">
            <w:pPr>
              <w:contextualSpacing/>
              <w:rPr>
                <w:rFonts w:ascii="Verdana" w:hAnsi="Verdana" w:cs="Arial"/>
              </w:rPr>
            </w:pPr>
          </w:p>
          <w:p w14:paraId="2759E221" w14:textId="77777777" w:rsidR="00F01434" w:rsidRPr="00F01434" w:rsidRDefault="00F01434" w:rsidP="00F01434">
            <w:pPr>
              <w:contextualSpacing/>
              <w:rPr>
                <w:rFonts w:ascii="Verdana" w:hAnsi="Verdana" w:cs="Arial"/>
              </w:rPr>
            </w:pPr>
            <w:r w:rsidRPr="00F01434">
              <w:rPr>
                <w:rFonts w:ascii="Verdana" w:hAnsi="Verdana" w:cs="Arial"/>
              </w:rPr>
              <w:t>A report, prepared by the Vice Principal: Corporate Services was received and considered.</w:t>
            </w:r>
          </w:p>
          <w:p w14:paraId="3E44D019" w14:textId="77777777" w:rsidR="00F01434" w:rsidRPr="00702927" w:rsidRDefault="00F01434" w:rsidP="00F01434">
            <w:pPr>
              <w:contextualSpacing/>
              <w:rPr>
                <w:rFonts w:ascii="Verdana" w:hAnsi="Verdana" w:cs="Arial"/>
              </w:rPr>
            </w:pPr>
          </w:p>
          <w:p w14:paraId="06693251" w14:textId="19AAA97E" w:rsidR="00F01434" w:rsidRDefault="00F01434" w:rsidP="00F01434">
            <w:pPr>
              <w:contextualSpacing/>
              <w:rPr>
                <w:rFonts w:ascii="Verdana" w:hAnsi="Verdana" w:cs="Arial"/>
              </w:rPr>
            </w:pPr>
            <w:r>
              <w:rPr>
                <w:rFonts w:ascii="Verdana" w:hAnsi="Verdana" w:cs="Arial"/>
              </w:rPr>
              <w:t xml:space="preserve">It was noted that the first year comprises the estimates for 2020-21, considered and </w:t>
            </w:r>
            <w:r w:rsidR="003370A8">
              <w:rPr>
                <w:rFonts w:ascii="Verdana" w:hAnsi="Verdana" w:cs="Arial"/>
              </w:rPr>
              <w:t>recommended for approval</w:t>
            </w:r>
            <w:r>
              <w:rPr>
                <w:rFonts w:ascii="Verdana" w:hAnsi="Verdana" w:cs="Arial"/>
              </w:rPr>
              <w:t xml:space="preserve"> </w:t>
            </w:r>
            <w:r w:rsidR="00E86BE7">
              <w:rPr>
                <w:rFonts w:ascii="Verdana" w:hAnsi="Verdana" w:cs="Arial"/>
              </w:rPr>
              <w:t>under Agendum 7</w:t>
            </w:r>
            <w:r>
              <w:rPr>
                <w:rFonts w:ascii="Verdana" w:hAnsi="Verdana" w:cs="Arial"/>
              </w:rPr>
              <w:t xml:space="preserve"> for submission to the ESFA.</w:t>
            </w:r>
          </w:p>
          <w:p w14:paraId="23CBEBF9" w14:textId="77777777" w:rsidR="00F01434" w:rsidRDefault="00F01434" w:rsidP="00F01434">
            <w:pPr>
              <w:contextualSpacing/>
              <w:rPr>
                <w:rFonts w:ascii="Verdana" w:hAnsi="Verdana" w:cs="Arial"/>
              </w:rPr>
            </w:pPr>
          </w:p>
          <w:p w14:paraId="70F02D30" w14:textId="6BD76DBC" w:rsidR="00F01434" w:rsidRPr="00F01434" w:rsidRDefault="00F01434" w:rsidP="00F01434">
            <w:pPr>
              <w:contextualSpacing/>
              <w:rPr>
                <w:rFonts w:ascii="Verdana" w:hAnsi="Verdana" w:cs="Arial"/>
              </w:rPr>
            </w:pPr>
            <w:r>
              <w:rPr>
                <w:rFonts w:ascii="Verdana" w:hAnsi="Verdana" w:cs="Arial"/>
              </w:rPr>
              <w:t>The following main financial performance indicators were noted as follows:</w:t>
            </w:r>
          </w:p>
        </w:tc>
      </w:tr>
    </w:tbl>
    <w:p w14:paraId="7D99472A" w14:textId="61C66FE1" w:rsidR="003D4C32" w:rsidRDefault="003D4C32" w:rsidP="004F4C55"/>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534"/>
        <w:gridCol w:w="1286"/>
        <w:gridCol w:w="1276"/>
        <w:gridCol w:w="1283"/>
        <w:gridCol w:w="1410"/>
      </w:tblGrid>
      <w:tr w:rsidR="00FF14EA" w14:paraId="6C8884C4" w14:textId="77777777" w:rsidTr="00303773">
        <w:tc>
          <w:tcPr>
            <w:tcW w:w="562" w:type="dxa"/>
          </w:tcPr>
          <w:p w14:paraId="18EDC2D2" w14:textId="77777777" w:rsidR="00F01434" w:rsidRPr="001A31D6" w:rsidRDefault="00F01434" w:rsidP="00F01434">
            <w:pPr>
              <w:rPr>
                <w:rFonts w:ascii="Verdana" w:hAnsi="Verdana"/>
              </w:rPr>
            </w:pPr>
          </w:p>
        </w:tc>
        <w:tc>
          <w:tcPr>
            <w:tcW w:w="3534" w:type="dxa"/>
          </w:tcPr>
          <w:p w14:paraId="7457C41C" w14:textId="03E86398" w:rsidR="00F01434" w:rsidRPr="001A31D6" w:rsidRDefault="00F01434" w:rsidP="00F01434">
            <w:pPr>
              <w:rPr>
                <w:rFonts w:ascii="Verdana" w:hAnsi="Verdana"/>
              </w:rPr>
            </w:pPr>
            <w:r w:rsidRPr="001A31D6">
              <w:rPr>
                <w:rFonts w:ascii="Verdana" w:hAnsi="Verdana" w:cs="Arial"/>
                <w:b/>
              </w:rPr>
              <w:t>Financial Indicator</w:t>
            </w:r>
          </w:p>
        </w:tc>
        <w:tc>
          <w:tcPr>
            <w:tcW w:w="1286" w:type="dxa"/>
          </w:tcPr>
          <w:p w14:paraId="660B4D7F" w14:textId="054162A3" w:rsidR="00F01434" w:rsidRPr="001A31D6" w:rsidRDefault="00F01434" w:rsidP="00F01434">
            <w:pPr>
              <w:jc w:val="right"/>
              <w:rPr>
                <w:rFonts w:ascii="Verdana" w:hAnsi="Verdana"/>
              </w:rPr>
            </w:pPr>
            <w:r w:rsidRPr="001A31D6">
              <w:rPr>
                <w:rFonts w:ascii="Verdana" w:hAnsi="Verdana" w:cs="Arial"/>
                <w:b/>
              </w:rPr>
              <w:t>2018-19</w:t>
            </w:r>
          </w:p>
        </w:tc>
        <w:tc>
          <w:tcPr>
            <w:tcW w:w="1276" w:type="dxa"/>
          </w:tcPr>
          <w:p w14:paraId="5AA8ED8F" w14:textId="3871C555" w:rsidR="00F01434" w:rsidRPr="001A31D6" w:rsidRDefault="00F01434" w:rsidP="00F01434">
            <w:pPr>
              <w:jc w:val="right"/>
              <w:rPr>
                <w:rFonts w:ascii="Verdana" w:hAnsi="Verdana"/>
              </w:rPr>
            </w:pPr>
            <w:r w:rsidRPr="001A31D6">
              <w:rPr>
                <w:rFonts w:ascii="Verdana" w:hAnsi="Verdana" w:cs="Arial"/>
                <w:b/>
              </w:rPr>
              <w:t>2019-20</w:t>
            </w:r>
          </w:p>
        </w:tc>
        <w:tc>
          <w:tcPr>
            <w:tcW w:w="1283" w:type="dxa"/>
          </w:tcPr>
          <w:p w14:paraId="1DAE5A6C" w14:textId="7FAC179B" w:rsidR="00F01434" w:rsidRPr="001A31D6" w:rsidRDefault="00F01434" w:rsidP="00F01434">
            <w:pPr>
              <w:jc w:val="right"/>
              <w:rPr>
                <w:rFonts w:ascii="Verdana" w:hAnsi="Verdana"/>
              </w:rPr>
            </w:pPr>
            <w:r w:rsidRPr="001A31D6">
              <w:rPr>
                <w:rFonts w:ascii="Verdana" w:hAnsi="Verdana" w:cs="Arial"/>
                <w:b/>
              </w:rPr>
              <w:t>2020-21</w:t>
            </w:r>
          </w:p>
        </w:tc>
        <w:tc>
          <w:tcPr>
            <w:tcW w:w="1410" w:type="dxa"/>
          </w:tcPr>
          <w:p w14:paraId="44CFA20C" w14:textId="08128B53" w:rsidR="00F01434" w:rsidRPr="001A31D6" w:rsidRDefault="00F01434" w:rsidP="00F01434">
            <w:pPr>
              <w:jc w:val="right"/>
              <w:rPr>
                <w:rFonts w:ascii="Verdana" w:hAnsi="Verdana"/>
              </w:rPr>
            </w:pPr>
            <w:r w:rsidRPr="001A31D6">
              <w:rPr>
                <w:rFonts w:ascii="Verdana" w:hAnsi="Verdana" w:cs="Arial"/>
                <w:b/>
              </w:rPr>
              <w:t>2021-22</w:t>
            </w:r>
          </w:p>
        </w:tc>
      </w:tr>
      <w:tr w:rsidR="00FF14EA" w14:paraId="3E9B4FB2" w14:textId="77777777" w:rsidTr="00303773">
        <w:tc>
          <w:tcPr>
            <w:tcW w:w="562" w:type="dxa"/>
          </w:tcPr>
          <w:p w14:paraId="4C5A4E4F" w14:textId="77777777" w:rsidR="00F01434" w:rsidRPr="001A31D6" w:rsidRDefault="00F01434" w:rsidP="00F01434">
            <w:pPr>
              <w:rPr>
                <w:rFonts w:ascii="Verdana" w:hAnsi="Verdana"/>
              </w:rPr>
            </w:pPr>
          </w:p>
        </w:tc>
        <w:tc>
          <w:tcPr>
            <w:tcW w:w="3534" w:type="dxa"/>
          </w:tcPr>
          <w:p w14:paraId="3F7B1753" w14:textId="77777777" w:rsidR="00F01434" w:rsidRPr="001A31D6" w:rsidRDefault="00F01434" w:rsidP="00F01434">
            <w:pPr>
              <w:rPr>
                <w:rFonts w:ascii="Verdana" w:hAnsi="Verdana"/>
              </w:rPr>
            </w:pPr>
          </w:p>
        </w:tc>
        <w:tc>
          <w:tcPr>
            <w:tcW w:w="1286" w:type="dxa"/>
          </w:tcPr>
          <w:p w14:paraId="703A90D5" w14:textId="1171F39C" w:rsidR="00F01434" w:rsidRPr="001A31D6" w:rsidRDefault="00F01434" w:rsidP="00F01434">
            <w:pPr>
              <w:jc w:val="right"/>
              <w:rPr>
                <w:rFonts w:ascii="Verdana" w:hAnsi="Verdana"/>
                <w:i/>
                <w:iCs/>
              </w:rPr>
            </w:pPr>
            <w:r w:rsidRPr="001A31D6">
              <w:rPr>
                <w:rFonts w:ascii="Verdana" w:hAnsi="Verdana" w:cs="Arial"/>
                <w:i/>
                <w:iCs/>
                <w:szCs w:val="18"/>
              </w:rPr>
              <w:t>Actual</w:t>
            </w:r>
          </w:p>
        </w:tc>
        <w:tc>
          <w:tcPr>
            <w:tcW w:w="1276" w:type="dxa"/>
          </w:tcPr>
          <w:p w14:paraId="11D338BD" w14:textId="5B9B6C4E" w:rsidR="00F01434" w:rsidRPr="001A31D6" w:rsidRDefault="00F01434" w:rsidP="00F01434">
            <w:pPr>
              <w:jc w:val="right"/>
              <w:rPr>
                <w:rFonts w:ascii="Verdana" w:hAnsi="Verdana"/>
                <w:i/>
                <w:iCs/>
              </w:rPr>
            </w:pPr>
            <w:r w:rsidRPr="001A31D6">
              <w:rPr>
                <w:rFonts w:ascii="Verdana" w:hAnsi="Verdana" w:cs="Arial"/>
                <w:i/>
                <w:iCs/>
                <w:szCs w:val="18"/>
              </w:rPr>
              <w:t>Predicted</w:t>
            </w:r>
          </w:p>
        </w:tc>
        <w:tc>
          <w:tcPr>
            <w:tcW w:w="1283" w:type="dxa"/>
          </w:tcPr>
          <w:p w14:paraId="6F3459CA" w14:textId="7496D4DC" w:rsidR="00F01434" w:rsidRPr="001A31D6" w:rsidRDefault="00F01434" w:rsidP="00F01434">
            <w:pPr>
              <w:jc w:val="right"/>
              <w:rPr>
                <w:rFonts w:ascii="Verdana" w:hAnsi="Verdana"/>
                <w:i/>
                <w:iCs/>
              </w:rPr>
            </w:pPr>
            <w:r w:rsidRPr="001A31D6">
              <w:rPr>
                <w:rFonts w:ascii="Verdana" w:hAnsi="Verdana" w:cs="Arial"/>
                <w:i/>
                <w:iCs/>
                <w:szCs w:val="18"/>
              </w:rPr>
              <w:t>Budget</w:t>
            </w:r>
          </w:p>
        </w:tc>
        <w:tc>
          <w:tcPr>
            <w:tcW w:w="1410" w:type="dxa"/>
          </w:tcPr>
          <w:p w14:paraId="46657DE3" w14:textId="5970E4AC" w:rsidR="00F01434" w:rsidRPr="001A31D6" w:rsidRDefault="00F01434" w:rsidP="00F01434">
            <w:pPr>
              <w:jc w:val="right"/>
              <w:rPr>
                <w:rFonts w:ascii="Verdana" w:hAnsi="Verdana"/>
                <w:i/>
                <w:iCs/>
              </w:rPr>
            </w:pPr>
            <w:r w:rsidRPr="001A31D6">
              <w:rPr>
                <w:rFonts w:ascii="Verdana" w:hAnsi="Verdana" w:cs="Arial"/>
                <w:i/>
                <w:iCs/>
                <w:szCs w:val="18"/>
              </w:rPr>
              <w:t>Budget</w:t>
            </w:r>
          </w:p>
        </w:tc>
      </w:tr>
      <w:tr w:rsidR="00FF14EA" w14:paraId="638F7FEE" w14:textId="77777777" w:rsidTr="00303773">
        <w:tc>
          <w:tcPr>
            <w:tcW w:w="562" w:type="dxa"/>
          </w:tcPr>
          <w:p w14:paraId="674D3E85" w14:textId="77777777" w:rsidR="00F01434" w:rsidRPr="001A31D6" w:rsidRDefault="00F01434" w:rsidP="00F01434">
            <w:pPr>
              <w:rPr>
                <w:rFonts w:ascii="Verdana" w:hAnsi="Verdana"/>
              </w:rPr>
            </w:pPr>
          </w:p>
        </w:tc>
        <w:tc>
          <w:tcPr>
            <w:tcW w:w="3534" w:type="dxa"/>
          </w:tcPr>
          <w:p w14:paraId="196472DF" w14:textId="77777777" w:rsidR="00F01434" w:rsidRPr="001A31D6" w:rsidRDefault="00F01434" w:rsidP="00F01434">
            <w:pPr>
              <w:rPr>
                <w:rFonts w:ascii="Verdana" w:hAnsi="Verdana"/>
              </w:rPr>
            </w:pPr>
          </w:p>
        </w:tc>
        <w:tc>
          <w:tcPr>
            <w:tcW w:w="1286" w:type="dxa"/>
          </w:tcPr>
          <w:p w14:paraId="3D97A6D5" w14:textId="77777777" w:rsidR="00F01434" w:rsidRPr="001A31D6" w:rsidRDefault="00F01434" w:rsidP="00F01434">
            <w:pPr>
              <w:jc w:val="right"/>
              <w:rPr>
                <w:rFonts w:ascii="Verdana" w:hAnsi="Verdana"/>
              </w:rPr>
            </w:pPr>
          </w:p>
        </w:tc>
        <w:tc>
          <w:tcPr>
            <w:tcW w:w="1276" w:type="dxa"/>
          </w:tcPr>
          <w:p w14:paraId="7DE820B4" w14:textId="77777777" w:rsidR="00F01434" w:rsidRPr="001A31D6" w:rsidRDefault="00F01434" w:rsidP="00F01434">
            <w:pPr>
              <w:jc w:val="right"/>
              <w:rPr>
                <w:rFonts w:ascii="Verdana" w:hAnsi="Verdana"/>
              </w:rPr>
            </w:pPr>
          </w:p>
        </w:tc>
        <w:tc>
          <w:tcPr>
            <w:tcW w:w="1283" w:type="dxa"/>
          </w:tcPr>
          <w:p w14:paraId="4D3B85BD" w14:textId="77777777" w:rsidR="00F01434" w:rsidRPr="001A31D6" w:rsidRDefault="00F01434" w:rsidP="00F01434">
            <w:pPr>
              <w:jc w:val="right"/>
              <w:rPr>
                <w:rFonts w:ascii="Verdana" w:hAnsi="Verdana"/>
              </w:rPr>
            </w:pPr>
          </w:p>
        </w:tc>
        <w:tc>
          <w:tcPr>
            <w:tcW w:w="1410" w:type="dxa"/>
          </w:tcPr>
          <w:p w14:paraId="7F86704F" w14:textId="77777777" w:rsidR="00F01434" w:rsidRPr="001A31D6" w:rsidRDefault="00F01434" w:rsidP="00F01434">
            <w:pPr>
              <w:jc w:val="right"/>
              <w:rPr>
                <w:rFonts w:ascii="Verdana" w:hAnsi="Verdana"/>
              </w:rPr>
            </w:pPr>
          </w:p>
        </w:tc>
      </w:tr>
      <w:tr w:rsidR="00FF14EA" w14:paraId="734F35D0" w14:textId="77777777" w:rsidTr="00303773">
        <w:tc>
          <w:tcPr>
            <w:tcW w:w="562" w:type="dxa"/>
          </w:tcPr>
          <w:p w14:paraId="132BC9C5" w14:textId="77777777" w:rsidR="00F01434" w:rsidRPr="001A31D6" w:rsidRDefault="00F01434" w:rsidP="00F01434">
            <w:pPr>
              <w:rPr>
                <w:rFonts w:ascii="Verdana" w:hAnsi="Verdana"/>
              </w:rPr>
            </w:pPr>
          </w:p>
        </w:tc>
        <w:tc>
          <w:tcPr>
            <w:tcW w:w="3534" w:type="dxa"/>
          </w:tcPr>
          <w:p w14:paraId="5D669685" w14:textId="44715B35" w:rsidR="00F01434" w:rsidRPr="001A31D6" w:rsidRDefault="00F01434" w:rsidP="00F01434">
            <w:pPr>
              <w:widowControl w:val="0"/>
              <w:adjustRightInd w:val="0"/>
              <w:textAlignment w:val="baseline"/>
              <w:rPr>
                <w:rFonts w:ascii="Verdana" w:hAnsi="Verdana" w:cs="Arial"/>
                <w:szCs w:val="18"/>
              </w:rPr>
            </w:pPr>
            <w:r w:rsidRPr="001A31D6">
              <w:rPr>
                <w:rFonts w:ascii="Verdana" w:hAnsi="Verdana" w:cs="Arial"/>
                <w:szCs w:val="18"/>
              </w:rPr>
              <w:t xml:space="preserve">Operating </w:t>
            </w:r>
            <w:r w:rsidR="00FF14EA">
              <w:rPr>
                <w:rFonts w:ascii="Verdana" w:hAnsi="Verdana" w:cs="Arial"/>
                <w:szCs w:val="18"/>
              </w:rPr>
              <w:t>S</w:t>
            </w:r>
            <w:r w:rsidRPr="001A31D6">
              <w:rPr>
                <w:rFonts w:ascii="Verdana" w:hAnsi="Verdana" w:cs="Arial"/>
                <w:szCs w:val="18"/>
              </w:rPr>
              <w:t>urplus/(</w:t>
            </w:r>
            <w:r w:rsidR="00FF14EA">
              <w:rPr>
                <w:rFonts w:ascii="Verdana" w:hAnsi="Verdana" w:cs="Arial"/>
                <w:szCs w:val="18"/>
              </w:rPr>
              <w:t>D</w:t>
            </w:r>
            <w:r w:rsidRPr="001A31D6">
              <w:rPr>
                <w:rFonts w:ascii="Verdana" w:hAnsi="Verdana" w:cs="Arial"/>
                <w:szCs w:val="18"/>
              </w:rPr>
              <w:t>eficit):</w:t>
            </w:r>
          </w:p>
          <w:p w14:paraId="11E84B28" w14:textId="5BC14770" w:rsidR="00F01434" w:rsidRPr="001A31D6" w:rsidRDefault="00FF14EA" w:rsidP="00F01434">
            <w:pPr>
              <w:rPr>
                <w:rFonts w:ascii="Verdana" w:hAnsi="Verdana"/>
              </w:rPr>
            </w:pPr>
            <w:r>
              <w:rPr>
                <w:rFonts w:ascii="Verdana" w:hAnsi="Verdana" w:cs="Arial"/>
                <w:szCs w:val="18"/>
              </w:rPr>
              <w:t>p</w:t>
            </w:r>
            <w:r w:rsidR="00F01434" w:rsidRPr="001A31D6">
              <w:rPr>
                <w:rFonts w:ascii="Verdana" w:hAnsi="Verdana" w:cs="Arial"/>
                <w:szCs w:val="18"/>
              </w:rPr>
              <w:t>rojected</w:t>
            </w:r>
          </w:p>
        </w:tc>
        <w:tc>
          <w:tcPr>
            <w:tcW w:w="1286" w:type="dxa"/>
          </w:tcPr>
          <w:p w14:paraId="1798070A" w14:textId="532E3916" w:rsidR="00F01434" w:rsidRPr="001A31D6" w:rsidRDefault="00F01434" w:rsidP="00F01434">
            <w:pPr>
              <w:jc w:val="right"/>
              <w:rPr>
                <w:rFonts w:ascii="Verdana" w:hAnsi="Verdana"/>
              </w:rPr>
            </w:pPr>
            <w:r w:rsidRPr="001A31D6">
              <w:rPr>
                <w:rFonts w:ascii="Verdana" w:hAnsi="Verdana" w:cs="Arial"/>
                <w:szCs w:val="18"/>
              </w:rPr>
              <w:t>26</w:t>
            </w:r>
          </w:p>
        </w:tc>
        <w:tc>
          <w:tcPr>
            <w:tcW w:w="1276" w:type="dxa"/>
          </w:tcPr>
          <w:p w14:paraId="3E52C561" w14:textId="2F50E0E7" w:rsidR="00F01434" w:rsidRPr="001A31D6" w:rsidRDefault="00F01434" w:rsidP="00F01434">
            <w:pPr>
              <w:jc w:val="right"/>
              <w:rPr>
                <w:rFonts w:ascii="Verdana" w:hAnsi="Verdana"/>
              </w:rPr>
            </w:pPr>
            <w:r w:rsidRPr="001A31D6">
              <w:rPr>
                <w:rFonts w:ascii="Verdana" w:hAnsi="Verdana" w:cs="Arial"/>
                <w:szCs w:val="18"/>
              </w:rPr>
              <w:t>(230)</w:t>
            </w:r>
          </w:p>
        </w:tc>
        <w:tc>
          <w:tcPr>
            <w:tcW w:w="1283" w:type="dxa"/>
          </w:tcPr>
          <w:p w14:paraId="086ADD4E" w14:textId="4CD0C493" w:rsidR="00F01434" w:rsidRPr="001A31D6" w:rsidRDefault="00F01434" w:rsidP="00F01434">
            <w:pPr>
              <w:jc w:val="right"/>
              <w:rPr>
                <w:rFonts w:ascii="Verdana" w:hAnsi="Verdana"/>
              </w:rPr>
            </w:pPr>
            <w:r w:rsidRPr="001A31D6">
              <w:rPr>
                <w:rFonts w:ascii="Verdana" w:hAnsi="Verdana" w:cs="Arial"/>
                <w:szCs w:val="18"/>
              </w:rPr>
              <w:t>(70)</w:t>
            </w:r>
          </w:p>
        </w:tc>
        <w:tc>
          <w:tcPr>
            <w:tcW w:w="1410" w:type="dxa"/>
          </w:tcPr>
          <w:p w14:paraId="06B89C42" w14:textId="00122043" w:rsidR="00F01434" w:rsidRPr="001A31D6" w:rsidRDefault="00F01434" w:rsidP="00F01434">
            <w:pPr>
              <w:jc w:val="right"/>
              <w:rPr>
                <w:rFonts w:ascii="Verdana" w:hAnsi="Verdana"/>
              </w:rPr>
            </w:pPr>
            <w:r w:rsidRPr="001A31D6">
              <w:rPr>
                <w:rFonts w:ascii="Verdana" w:hAnsi="Verdana" w:cs="Arial"/>
                <w:szCs w:val="18"/>
              </w:rPr>
              <w:t>70</w:t>
            </w:r>
          </w:p>
        </w:tc>
      </w:tr>
      <w:tr w:rsidR="00FF14EA" w14:paraId="361C91EB" w14:textId="77777777" w:rsidTr="00303773">
        <w:tc>
          <w:tcPr>
            <w:tcW w:w="562" w:type="dxa"/>
          </w:tcPr>
          <w:p w14:paraId="40D0625A" w14:textId="77777777" w:rsidR="00F01434" w:rsidRPr="001A31D6" w:rsidRDefault="00F01434" w:rsidP="00F01434">
            <w:pPr>
              <w:rPr>
                <w:rFonts w:ascii="Verdana" w:hAnsi="Verdana"/>
              </w:rPr>
            </w:pPr>
          </w:p>
        </w:tc>
        <w:tc>
          <w:tcPr>
            <w:tcW w:w="3534" w:type="dxa"/>
          </w:tcPr>
          <w:p w14:paraId="1559DEDB" w14:textId="37C9D411" w:rsidR="00F01434" w:rsidRPr="001A31D6" w:rsidRDefault="00F01434" w:rsidP="00F01434">
            <w:pPr>
              <w:rPr>
                <w:rFonts w:ascii="Verdana" w:hAnsi="Verdana"/>
              </w:rPr>
            </w:pPr>
            <w:r w:rsidRPr="001A31D6">
              <w:rPr>
                <w:rFonts w:ascii="Verdana" w:hAnsi="Verdana" w:cs="Arial"/>
                <w:szCs w:val="18"/>
              </w:rPr>
              <w:t xml:space="preserve">Financial Health Grade – </w:t>
            </w:r>
            <w:r w:rsidR="00FF14EA">
              <w:rPr>
                <w:rFonts w:ascii="Verdana" w:hAnsi="Verdana" w:cs="Arial"/>
                <w:szCs w:val="18"/>
              </w:rPr>
              <w:t>T</w:t>
            </w:r>
            <w:r w:rsidRPr="001A31D6">
              <w:rPr>
                <w:rFonts w:ascii="Verdana" w:hAnsi="Verdana" w:cs="Arial"/>
                <w:szCs w:val="18"/>
              </w:rPr>
              <w:t xml:space="preserve">otal </w:t>
            </w:r>
            <w:r w:rsidR="00FF14EA">
              <w:rPr>
                <w:rFonts w:ascii="Verdana" w:hAnsi="Verdana" w:cs="Arial"/>
                <w:szCs w:val="18"/>
              </w:rPr>
              <w:t>P</w:t>
            </w:r>
            <w:r w:rsidRPr="001A31D6">
              <w:rPr>
                <w:rFonts w:ascii="Verdana" w:hAnsi="Verdana" w:cs="Arial"/>
                <w:szCs w:val="18"/>
              </w:rPr>
              <w:t>oints</w:t>
            </w:r>
          </w:p>
        </w:tc>
        <w:tc>
          <w:tcPr>
            <w:tcW w:w="1286" w:type="dxa"/>
          </w:tcPr>
          <w:p w14:paraId="33C727F7" w14:textId="1F66CE7C" w:rsidR="00F01434" w:rsidRPr="001A31D6" w:rsidRDefault="00F01434" w:rsidP="00F01434">
            <w:pPr>
              <w:jc w:val="right"/>
              <w:rPr>
                <w:rFonts w:ascii="Verdana" w:hAnsi="Verdana"/>
              </w:rPr>
            </w:pPr>
            <w:r w:rsidRPr="001A31D6">
              <w:rPr>
                <w:rFonts w:ascii="Verdana" w:hAnsi="Verdana" w:cs="Arial"/>
                <w:szCs w:val="18"/>
              </w:rPr>
              <w:t>230</w:t>
            </w:r>
          </w:p>
        </w:tc>
        <w:tc>
          <w:tcPr>
            <w:tcW w:w="1276" w:type="dxa"/>
          </w:tcPr>
          <w:p w14:paraId="7A54EF3E" w14:textId="460C3141" w:rsidR="00F01434" w:rsidRPr="001A31D6" w:rsidRDefault="00F01434" w:rsidP="00F01434">
            <w:pPr>
              <w:jc w:val="right"/>
              <w:rPr>
                <w:rFonts w:ascii="Verdana" w:hAnsi="Verdana"/>
              </w:rPr>
            </w:pPr>
            <w:r w:rsidRPr="001A31D6">
              <w:rPr>
                <w:rFonts w:ascii="Verdana" w:hAnsi="Verdana" w:cs="Arial"/>
                <w:szCs w:val="18"/>
              </w:rPr>
              <w:t>200</w:t>
            </w:r>
          </w:p>
        </w:tc>
        <w:tc>
          <w:tcPr>
            <w:tcW w:w="1283" w:type="dxa"/>
          </w:tcPr>
          <w:p w14:paraId="276B066D" w14:textId="5CCA6C05" w:rsidR="00F01434" w:rsidRPr="001A31D6" w:rsidRDefault="00F01434" w:rsidP="00F01434">
            <w:pPr>
              <w:jc w:val="right"/>
              <w:rPr>
                <w:rFonts w:ascii="Verdana" w:hAnsi="Verdana"/>
              </w:rPr>
            </w:pPr>
            <w:r w:rsidRPr="001A31D6">
              <w:rPr>
                <w:rFonts w:ascii="Verdana" w:hAnsi="Verdana" w:cs="Arial"/>
                <w:szCs w:val="18"/>
              </w:rPr>
              <w:t>220</w:t>
            </w:r>
          </w:p>
        </w:tc>
        <w:tc>
          <w:tcPr>
            <w:tcW w:w="1410" w:type="dxa"/>
          </w:tcPr>
          <w:p w14:paraId="4FE24276" w14:textId="5C9EDAC0" w:rsidR="00F01434" w:rsidRPr="001A31D6" w:rsidRDefault="00F01434" w:rsidP="00F01434">
            <w:pPr>
              <w:jc w:val="right"/>
              <w:rPr>
                <w:rFonts w:ascii="Verdana" w:hAnsi="Verdana"/>
              </w:rPr>
            </w:pPr>
            <w:r w:rsidRPr="001A31D6">
              <w:rPr>
                <w:rFonts w:ascii="Verdana" w:hAnsi="Verdana" w:cs="Arial"/>
                <w:szCs w:val="18"/>
              </w:rPr>
              <w:t>230</w:t>
            </w:r>
          </w:p>
        </w:tc>
      </w:tr>
      <w:tr w:rsidR="00FF14EA" w14:paraId="5A6D398E" w14:textId="77777777" w:rsidTr="00303773">
        <w:tc>
          <w:tcPr>
            <w:tcW w:w="562" w:type="dxa"/>
          </w:tcPr>
          <w:p w14:paraId="0116B12D" w14:textId="77777777" w:rsidR="00F01434" w:rsidRPr="001A31D6" w:rsidRDefault="00F01434" w:rsidP="00F01434">
            <w:pPr>
              <w:rPr>
                <w:rFonts w:ascii="Verdana" w:hAnsi="Verdana"/>
              </w:rPr>
            </w:pPr>
          </w:p>
        </w:tc>
        <w:tc>
          <w:tcPr>
            <w:tcW w:w="3534" w:type="dxa"/>
          </w:tcPr>
          <w:p w14:paraId="5E97C5CA" w14:textId="344EE6EB" w:rsidR="00F01434" w:rsidRPr="001A31D6" w:rsidRDefault="00F01434" w:rsidP="00F01434">
            <w:pPr>
              <w:rPr>
                <w:rFonts w:ascii="Verdana" w:hAnsi="Verdana"/>
              </w:rPr>
            </w:pPr>
            <w:r w:rsidRPr="001A31D6">
              <w:rPr>
                <w:rFonts w:ascii="Verdana" w:hAnsi="Verdana" w:cs="Arial"/>
                <w:szCs w:val="18"/>
              </w:rPr>
              <w:t xml:space="preserve">Financial Health Grade – </w:t>
            </w:r>
            <w:r w:rsidR="00FF14EA">
              <w:rPr>
                <w:rFonts w:ascii="Verdana" w:hAnsi="Verdana" w:cs="Arial"/>
                <w:szCs w:val="18"/>
              </w:rPr>
              <w:t>C</w:t>
            </w:r>
            <w:r w:rsidRPr="001A31D6">
              <w:rPr>
                <w:rFonts w:ascii="Verdana" w:hAnsi="Verdana" w:cs="Arial"/>
                <w:szCs w:val="18"/>
              </w:rPr>
              <w:t>ategory</w:t>
            </w:r>
          </w:p>
        </w:tc>
        <w:tc>
          <w:tcPr>
            <w:tcW w:w="1286" w:type="dxa"/>
          </w:tcPr>
          <w:p w14:paraId="7F8BCA4B" w14:textId="4D537658" w:rsidR="00F01434" w:rsidRPr="001A31D6" w:rsidRDefault="00F01434" w:rsidP="00F01434">
            <w:pPr>
              <w:jc w:val="right"/>
              <w:rPr>
                <w:rFonts w:ascii="Verdana" w:hAnsi="Verdana"/>
              </w:rPr>
            </w:pPr>
            <w:r w:rsidRPr="001A31D6">
              <w:rPr>
                <w:rFonts w:ascii="Verdana" w:hAnsi="Verdana" w:cs="Arial"/>
                <w:szCs w:val="18"/>
              </w:rPr>
              <w:t>Good</w:t>
            </w:r>
          </w:p>
        </w:tc>
        <w:tc>
          <w:tcPr>
            <w:tcW w:w="1276" w:type="dxa"/>
          </w:tcPr>
          <w:p w14:paraId="30DCAAD7" w14:textId="15EFF5AC" w:rsidR="00F01434" w:rsidRPr="001A31D6" w:rsidRDefault="00F01434" w:rsidP="00F01434">
            <w:pPr>
              <w:jc w:val="right"/>
              <w:rPr>
                <w:rFonts w:ascii="Verdana" w:hAnsi="Verdana"/>
              </w:rPr>
            </w:pPr>
            <w:r w:rsidRPr="001A31D6">
              <w:rPr>
                <w:rFonts w:ascii="Verdana" w:hAnsi="Verdana" w:cs="Arial"/>
                <w:szCs w:val="18"/>
              </w:rPr>
              <w:t>Good</w:t>
            </w:r>
          </w:p>
        </w:tc>
        <w:tc>
          <w:tcPr>
            <w:tcW w:w="1283" w:type="dxa"/>
          </w:tcPr>
          <w:p w14:paraId="1C92BCDE" w14:textId="31B089F2" w:rsidR="00F01434" w:rsidRPr="001A31D6" w:rsidRDefault="00F01434" w:rsidP="00F01434">
            <w:pPr>
              <w:jc w:val="right"/>
              <w:rPr>
                <w:rFonts w:ascii="Verdana" w:hAnsi="Verdana"/>
              </w:rPr>
            </w:pPr>
            <w:r w:rsidRPr="001A31D6">
              <w:rPr>
                <w:rFonts w:ascii="Verdana" w:hAnsi="Verdana" w:cs="Arial"/>
                <w:szCs w:val="18"/>
              </w:rPr>
              <w:t>Good</w:t>
            </w:r>
          </w:p>
        </w:tc>
        <w:tc>
          <w:tcPr>
            <w:tcW w:w="1410" w:type="dxa"/>
          </w:tcPr>
          <w:p w14:paraId="4464646B" w14:textId="5CA8E72C" w:rsidR="00F01434" w:rsidRPr="001A31D6" w:rsidRDefault="00F01434" w:rsidP="00F01434">
            <w:pPr>
              <w:jc w:val="right"/>
              <w:rPr>
                <w:rFonts w:ascii="Verdana" w:hAnsi="Verdana"/>
              </w:rPr>
            </w:pPr>
            <w:r w:rsidRPr="001A31D6">
              <w:rPr>
                <w:rFonts w:ascii="Verdana" w:hAnsi="Verdana" w:cs="Arial"/>
                <w:szCs w:val="18"/>
              </w:rPr>
              <w:t>Good</w:t>
            </w:r>
          </w:p>
        </w:tc>
      </w:tr>
      <w:tr w:rsidR="00FF14EA" w14:paraId="1E1B7F7E" w14:textId="77777777" w:rsidTr="00303773">
        <w:tc>
          <w:tcPr>
            <w:tcW w:w="562" w:type="dxa"/>
          </w:tcPr>
          <w:p w14:paraId="2B45F0E0" w14:textId="77777777" w:rsidR="00F01434" w:rsidRPr="001A31D6" w:rsidRDefault="00F01434" w:rsidP="00F01434">
            <w:pPr>
              <w:rPr>
                <w:rFonts w:ascii="Verdana" w:hAnsi="Verdana"/>
              </w:rPr>
            </w:pPr>
          </w:p>
        </w:tc>
        <w:tc>
          <w:tcPr>
            <w:tcW w:w="3534" w:type="dxa"/>
          </w:tcPr>
          <w:p w14:paraId="56B97027" w14:textId="67F2132C" w:rsidR="00F01434" w:rsidRPr="001A31D6" w:rsidRDefault="00F01434" w:rsidP="00F01434">
            <w:pPr>
              <w:widowControl w:val="0"/>
              <w:adjustRightInd w:val="0"/>
              <w:textAlignment w:val="baseline"/>
              <w:rPr>
                <w:rFonts w:ascii="Verdana" w:hAnsi="Verdana" w:cs="Arial"/>
                <w:szCs w:val="18"/>
              </w:rPr>
            </w:pPr>
            <w:r w:rsidRPr="001A31D6">
              <w:rPr>
                <w:rFonts w:ascii="Verdana" w:hAnsi="Verdana" w:cs="Arial"/>
                <w:szCs w:val="18"/>
              </w:rPr>
              <w:t xml:space="preserve">Pay </w:t>
            </w:r>
            <w:r w:rsidR="00FF14EA">
              <w:rPr>
                <w:rFonts w:ascii="Verdana" w:hAnsi="Verdana" w:cs="Arial"/>
                <w:szCs w:val="18"/>
              </w:rPr>
              <w:t>C</w:t>
            </w:r>
            <w:r w:rsidRPr="001A31D6">
              <w:rPr>
                <w:rFonts w:ascii="Verdana" w:hAnsi="Verdana" w:cs="Arial"/>
                <w:szCs w:val="18"/>
              </w:rPr>
              <w:t xml:space="preserve">osts (excl. </w:t>
            </w:r>
            <w:r w:rsidR="00FF14EA">
              <w:rPr>
                <w:rFonts w:ascii="Verdana" w:hAnsi="Verdana" w:cs="Arial"/>
                <w:szCs w:val="18"/>
              </w:rPr>
              <w:t>R</w:t>
            </w:r>
            <w:r w:rsidRPr="001A31D6">
              <w:rPr>
                <w:rFonts w:ascii="Verdana" w:hAnsi="Verdana" w:cs="Arial"/>
                <w:szCs w:val="18"/>
              </w:rPr>
              <w:t>estructuring)</w:t>
            </w:r>
            <w:r w:rsidR="00FF14EA">
              <w:rPr>
                <w:rFonts w:ascii="Verdana" w:hAnsi="Verdana" w:cs="Arial"/>
                <w:szCs w:val="18"/>
              </w:rPr>
              <w:t xml:space="preserve"> as a % of T</w:t>
            </w:r>
            <w:r w:rsidRPr="001A31D6">
              <w:rPr>
                <w:rFonts w:ascii="Verdana" w:hAnsi="Verdana" w:cs="Arial"/>
                <w:szCs w:val="18"/>
              </w:rPr>
              <w:t xml:space="preserve">otal </w:t>
            </w:r>
            <w:r w:rsidR="00FF14EA">
              <w:rPr>
                <w:rFonts w:ascii="Verdana" w:hAnsi="Verdana" w:cs="Arial"/>
                <w:szCs w:val="18"/>
              </w:rPr>
              <w:t>I</w:t>
            </w:r>
            <w:r w:rsidRPr="001A31D6">
              <w:rPr>
                <w:rFonts w:ascii="Verdana" w:hAnsi="Verdana" w:cs="Arial"/>
                <w:szCs w:val="18"/>
              </w:rPr>
              <w:t>ncome:</w:t>
            </w:r>
          </w:p>
          <w:p w14:paraId="3536979E" w14:textId="23107AF6" w:rsidR="00F01434" w:rsidRPr="001A31D6" w:rsidRDefault="00F01434" w:rsidP="00F01434">
            <w:pPr>
              <w:rPr>
                <w:rFonts w:ascii="Verdana" w:hAnsi="Verdana"/>
              </w:rPr>
            </w:pPr>
            <w:r w:rsidRPr="001A31D6">
              <w:rPr>
                <w:rFonts w:ascii="Verdana" w:hAnsi="Verdana" w:cs="Arial"/>
                <w:szCs w:val="18"/>
              </w:rPr>
              <w:t>Projected</w:t>
            </w:r>
          </w:p>
        </w:tc>
        <w:tc>
          <w:tcPr>
            <w:tcW w:w="1286" w:type="dxa"/>
          </w:tcPr>
          <w:p w14:paraId="0A6364DD" w14:textId="4A49ED55" w:rsidR="00F01434" w:rsidRPr="001A31D6" w:rsidRDefault="00F01434" w:rsidP="00F01434">
            <w:pPr>
              <w:jc w:val="right"/>
              <w:rPr>
                <w:rFonts w:ascii="Verdana" w:hAnsi="Verdana"/>
              </w:rPr>
            </w:pPr>
            <w:r w:rsidRPr="001A31D6">
              <w:rPr>
                <w:rFonts w:ascii="Verdana" w:hAnsi="Verdana" w:cs="Arial"/>
                <w:szCs w:val="18"/>
              </w:rPr>
              <w:t>65.48%</w:t>
            </w:r>
          </w:p>
        </w:tc>
        <w:tc>
          <w:tcPr>
            <w:tcW w:w="1276" w:type="dxa"/>
          </w:tcPr>
          <w:p w14:paraId="22212B4F" w14:textId="1122B80A" w:rsidR="00F01434" w:rsidRPr="001A31D6" w:rsidRDefault="00F01434" w:rsidP="00F01434">
            <w:pPr>
              <w:jc w:val="right"/>
              <w:rPr>
                <w:rFonts w:ascii="Verdana" w:hAnsi="Verdana"/>
              </w:rPr>
            </w:pPr>
            <w:r w:rsidRPr="001A31D6">
              <w:rPr>
                <w:rFonts w:ascii="Verdana" w:hAnsi="Verdana" w:cs="Arial"/>
                <w:szCs w:val="18"/>
              </w:rPr>
              <w:t>70.48%</w:t>
            </w:r>
          </w:p>
        </w:tc>
        <w:tc>
          <w:tcPr>
            <w:tcW w:w="1283" w:type="dxa"/>
          </w:tcPr>
          <w:p w14:paraId="6D8731F0" w14:textId="7BFB0928" w:rsidR="00F01434" w:rsidRPr="001A31D6" w:rsidRDefault="00F01434" w:rsidP="00F01434">
            <w:pPr>
              <w:jc w:val="right"/>
              <w:rPr>
                <w:rFonts w:ascii="Verdana" w:hAnsi="Verdana"/>
              </w:rPr>
            </w:pPr>
            <w:r w:rsidRPr="001A31D6">
              <w:rPr>
                <w:rFonts w:ascii="Verdana" w:hAnsi="Verdana" w:cs="Arial"/>
                <w:szCs w:val="18"/>
              </w:rPr>
              <w:t>70.88%</w:t>
            </w:r>
          </w:p>
        </w:tc>
        <w:tc>
          <w:tcPr>
            <w:tcW w:w="1410" w:type="dxa"/>
          </w:tcPr>
          <w:p w14:paraId="7693C5E3" w14:textId="689B4634" w:rsidR="00F01434" w:rsidRPr="001A31D6" w:rsidRDefault="00F01434" w:rsidP="00F01434">
            <w:pPr>
              <w:jc w:val="right"/>
              <w:rPr>
                <w:rFonts w:ascii="Verdana" w:hAnsi="Verdana"/>
              </w:rPr>
            </w:pPr>
            <w:r w:rsidRPr="001A31D6">
              <w:rPr>
                <w:rFonts w:ascii="Verdana" w:hAnsi="Verdana" w:cs="Arial"/>
                <w:szCs w:val="18"/>
              </w:rPr>
              <w:t>69.25%</w:t>
            </w:r>
          </w:p>
        </w:tc>
      </w:tr>
      <w:tr w:rsidR="00FF14EA" w14:paraId="3ED80880" w14:textId="77777777" w:rsidTr="00303773">
        <w:tc>
          <w:tcPr>
            <w:tcW w:w="562" w:type="dxa"/>
          </w:tcPr>
          <w:p w14:paraId="1FF6B927" w14:textId="77777777" w:rsidR="00F01434" w:rsidRPr="001A31D6" w:rsidRDefault="00F01434" w:rsidP="00F01434">
            <w:pPr>
              <w:rPr>
                <w:rFonts w:ascii="Verdana" w:hAnsi="Verdana"/>
              </w:rPr>
            </w:pPr>
          </w:p>
        </w:tc>
        <w:tc>
          <w:tcPr>
            <w:tcW w:w="3534" w:type="dxa"/>
          </w:tcPr>
          <w:p w14:paraId="5A64146E" w14:textId="77777777" w:rsidR="00F01434" w:rsidRDefault="00F01434" w:rsidP="001A31D6">
            <w:pPr>
              <w:widowControl w:val="0"/>
              <w:adjustRightInd w:val="0"/>
              <w:textAlignment w:val="baseline"/>
              <w:rPr>
                <w:rFonts w:ascii="Verdana" w:hAnsi="Verdana" w:cs="Arial"/>
                <w:szCs w:val="18"/>
              </w:rPr>
            </w:pPr>
            <w:r w:rsidRPr="001A31D6">
              <w:rPr>
                <w:rFonts w:ascii="Verdana" w:hAnsi="Verdana" w:cs="Arial"/>
                <w:szCs w:val="18"/>
              </w:rPr>
              <w:t xml:space="preserve">Available Reserves as a </w:t>
            </w:r>
            <w:r w:rsidR="00FF14EA">
              <w:rPr>
                <w:rFonts w:ascii="Verdana" w:hAnsi="Verdana" w:cs="Arial"/>
                <w:szCs w:val="18"/>
              </w:rPr>
              <w:t>%</w:t>
            </w:r>
            <w:r w:rsidRPr="001A31D6">
              <w:rPr>
                <w:rFonts w:ascii="Verdana" w:hAnsi="Verdana" w:cs="Arial"/>
                <w:szCs w:val="18"/>
              </w:rPr>
              <w:t xml:space="preserve"> of </w:t>
            </w:r>
            <w:r w:rsidR="00FF14EA">
              <w:rPr>
                <w:rFonts w:ascii="Verdana" w:hAnsi="Verdana" w:cs="Arial"/>
                <w:szCs w:val="18"/>
              </w:rPr>
              <w:t>I</w:t>
            </w:r>
            <w:r w:rsidRPr="001A31D6">
              <w:rPr>
                <w:rFonts w:ascii="Verdana" w:hAnsi="Verdana" w:cs="Arial"/>
                <w:szCs w:val="18"/>
              </w:rPr>
              <w:t xml:space="preserve">ncome: </w:t>
            </w:r>
            <w:r w:rsidR="001A31D6" w:rsidRPr="001A31D6">
              <w:rPr>
                <w:rFonts w:ascii="Verdana" w:hAnsi="Verdana" w:cs="Arial"/>
                <w:szCs w:val="18"/>
              </w:rPr>
              <w:t xml:space="preserve"> </w:t>
            </w:r>
            <w:r w:rsidRPr="001A31D6">
              <w:rPr>
                <w:rFonts w:ascii="Verdana" w:hAnsi="Verdana" w:cs="Arial"/>
                <w:szCs w:val="18"/>
              </w:rPr>
              <w:t>Projected</w:t>
            </w:r>
          </w:p>
          <w:p w14:paraId="5729BF5E" w14:textId="421FD611" w:rsidR="003370A8" w:rsidRPr="001A31D6" w:rsidRDefault="003370A8" w:rsidP="001A31D6">
            <w:pPr>
              <w:widowControl w:val="0"/>
              <w:adjustRightInd w:val="0"/>
              <w:textAlignment w:val="baseline"/>
              <w:rPr>
                <w:rFonts w:ascii="Verdana" w:hAnsi="Verdana" w:cs="Arial"/>
                <w:szCs w:val="18"/>
              </w:rPr>
            </w:pPr>
          </w:p>
        </w:tc>
        <w:tc>
          <w:tcPr>
            <w:tcW w:w="1286" w:type="dxa"/>
          </w:tcPr>
          <w:p w14:paraId="779F6DCF" w14:textId="3EEAC4F7" w:rsidR="00F01434" w:rsidRPr="001A31D6" w:rsidRDefault="00F01434" w:rsidP="00F01434">
            <w:pPr>
              <w:jc w:val="right"/>
              <w:rPr>
                <w:rFonts w:ascii="Verdana" w:hAnsi="Verdana"/>
              </w:rPr>
            </w:pPr>
            <w:r w:rsidRPr="001A31D6">
              <w:rPr>
                <w:rFonts w:ascii="Verdana" w:hAnsi="Verdana" w:cs="Arial"/>
                <w:szCs w:val="18"/>
              </w:rPr>
              <w:t>38%</w:t>
            </w:r>
          </w:p>
        </w:tc>
        <w:tc>
          <w:tcPr>
            <w:tcW w:w="1276" w:type="dxa"/>
          </w:tcPr>
          <w:p w14:paraId="3A449749" w14:textId="4F93025C" w:rsidR="00F01434" w:rsidRPr="001A31D6" w:rsidRDefault="00F01434" w:rsidP="00F01434">
            <w:pPr>
              <w:jc w:val="right"/>
              <w:rPr>
                <w:rFonts w:ascii="Verdana" w:hAnsi="Verdana"/>
              </w:rPr>
            </w:pPr>
            <w:r w:rsidRPr="001A31D6">
              <w:rPr>
                <w:rFonts w:ascii="Verdana" w:hAnsi="Verdana" w:cs="Arial"/>
                <w:szCs w:val="18"/>
              </w:rPr>
              <w:t>75%</w:t>
            </w:r>
          </w:p>
        </w:tc>
        <w:tc>
          <w:tcPr>
            <w:tcW w:w="1283" w:type="dxa"/>
          </w:tcPr>
          <w:p w14:paraId="746C935F" w14:textId="55CE59F7" w:rsidR="00F01434" w:rsidRPr="001A31D6" w:rsidRDefault="00F01434" w:rsidP="00F01434">
            <w:pPr>
              <w:jc w:val="right"/>
              <w:rPr>
                <w:rFonts w:ascii="Verdana" w:hAnsi="Verdana"/>
              </w:rPr>
            </w:pPr>
            <w:r w:rsidRPr="001A31D6">
              <w:rPr>
                <w:rFonts w:ascii="Verdana" w:hAnsi="Verdana" w:cs="Arial"/>
                <w:szCs w:val="18"/>
              </w:rPr>
              <w:t>65%</w:t>
            </w:r>
          </w:p>
        </w:tc>
        <w:tc>
          <w:tcPr>
            <w:tcW w:w="1410" w:type="dxa"/>
          </w:tcPr>
          <w:p w14:paraId="045EAB23" w14:textId="685E2AB3" w:rsidR="00F01434" w:rsidRPr="001A31D6" w:rsidRDefault="00F01434" w:rsidP="00F01434">
            <w:pPr>
              <w:jc w:val="right"/>
              <w:rPr>
                <w:rFonts w:ascii="Verdana" w:hAnsi="Verdana"/>
              </w:rPr>
            </w:pPr>
            <w:r w:rsidRPr="001A31D6">
              <w:rPr>
                <w:rFonts w:ascii="Verdana" w:hAnsi="Verdana" w:cs="Arial"/>
                <w:szCs w:val="18"/>
              </w:rPr>
              <w:t>63%</w:t>
            </w:r>
          </w:p>
        </w:tc>
      </w:tr>
      <w:tr w:rsidR="003370A8" w14:paraId="5051A9FB" w14:textId="77777777" w:rsidTr="00303773">
        <w:tc>
          <w:tcPr>
            <w:tcW w:w="562" w:type="dxa"/>
          </w:tcPr>
          <w:p w14:paraId="00CAE57B" w14:textId="77777777" w:rsidR="003370A8" w:rsidRPr="001A31D6" w:rsidRDefault="003370A8" w:rsidP="003370A8">
            <w:pPr>
              <w:rPr>
                <w:rFonts w:ascii="Verdana" w:hAnsi="Verdana"/>
              </w:rPr>
            </w:pPr>
          </w:p>
        </w:tc>
        <w:tc>
          <w:tcPr>
            <w:tcW w:w="3534" w:type="dxa"/>
          </w:tcPr>
          <w:p w14:paraId="27FCE72F" w14:textId="77777777" w:rsidR="003370A8" w:rsidRDefault="003370A8" w:rsidP="003370A8">
            <w:pPr>
              <w:rPr>
                <w:rFonts w:ascii="Verdana" w:hAnsi="Verdana" w:cs="Arial"/>
                <w:szCs w:val="18"/>
              </w:rPr>
            </w:pPr>
            <w:r w:rsidRPr="001A31D6">
              <w:rPr>
                <w:rFonts w:ascii="Verdana" w:hAnsi="Verdana" w:cs="Arial"/>
                <w:szCs w:val="18"/>
              </w:rPr>
              <w:t xml:space="preserve">Cash </w:t>
            </w:r>
            <w:r>
              <w:rPr>
                <w:rFonts w:ascii="Verdana" w:hAnsi="Verdana" w:cs="Arial"/>
                <w:szCs w:val="18"/>
              </w:rPr>
              <w:t>B</w:t>
            </w:r>
            <w:r w:rsidRPr="001A31D6">
              <w:rPr>
                <w:rFonts w:ascii="Verdana" w:hAnsi="Verdana" w:cs="Arial"/>
                <w:szCs w:val="18"/>
              </w:rPr>
              <w:t>alances as at 31 July each year</w:t>
            </w:r>
          </w:p>
          <w:p w14:paraId="02D23E09" w14:textId="3B14CCAD" w:rsidR="006F2984" w:rsidRPr="001A31D6" w:rsidRDefault="006F2984" w:rsidP="003370A8">
            <w:pPr>
              <w:rPr>
                <w:rFonts w:ascii="Verdana" w:hAnsi="Verdana"/>
              </w:rPr>
            </w:pPr>
          </w:p>
        </w:tc>
        <w:tc>
          <w:tcPr>
            <w:tcW w:w="1286" w:type="dxa"/>
          </w:tcPr>
          <w:p w14:paraId="56A28209" w14:textId="2D2C9CFD" w:rsidR="003370A8" w:rsidRPr="001A31D6" w:rsidRDefault="003370A8" w:rsidP="003370A8">
            <w:pPr>
              <w:jc w:val="right"/>
              <w:rPr>
                <w:rFonts w:ascii="Verdana" w:hAnsi="Verdana"/>
              </w:rPr>
            </w:pPr>
            <w:r w:rsidRPr="001A31D6">
              <w:rPr>
                <w:rFonts w:ascii="Verdana" w:hAnsi="Verdana" w:cs="Arial"/>
                <w:szCs w:val="18"/>
              </w:rPr>
              <w:t>£1.974m</w:t>
            </w:r>
          </w:p>
        </w:tc>
        <w:tc>
          <w:tcPr>
            <w:tcW w:w="1276" w:type="dxa"/>
          </w:tcPr>
          <w:p w14:paraId="33638366" w14:textId="238F632A" w:rsidR="003370A8" w:rsidRPr="001A31D6" w:rsidRDefault="003370A8" w:rsidP="003370A8">
            <w:pPr>
              <w:jc w:val="right"/>
              <w:rPr>
                <w:rFonts w:ascii="Verdana" w:hAnsi="Verdana"/>
              </w:rPr>
            </w:pPr>
            <w:r w:rsidRPr="001A31D6">
              <w:rPr>
                <w:rFonts w:ascii="Verdana" w:hAnsi="Verdana" w:cs="Arial"/>
                <w:szCs w:val="18"/>
              </w:rPr>
              <w:t>£1.591m</w:t>
            </w:r>
          </w:p>
        </w:tc>
        <w:tc>
          <w:tcPr>
            <w:tcW w:w="1283" w:type="dxa"/>
          </w:tcPr>
          <w:p w14:paraId="0BB4AF68" w14:textId="4EDC0026" w:rsidR="003370A8" w:rsidRPr="001A31D6" w:rsidRDefault="003370A8" w:rsidP="003370A8">
            <w:pPr>
              <w:jc w:val="right"/>
              <w:rPr>
                <w:rFonts w:ascii="Verdana" w:hAnsi="Verdana"/>
              </w:rPr>
            </w:pPr>
            <w:r w:rsidRPr="001A31D6">
              <w:rPr>
                <w:rFonts w:ascii="Verdana" w:hAnsi="Verdana" w:cs="Arial"/>
                <w:szCs w:val="18"/>
              </w:rPr>
              <w:t>£1.730m</w:t>
            </w:r>
          </w:p>
        </w:tc>
        <w:tc>
          <w:tcPr>
            <w:tcW w:w="1410" w:type="dxa"/>
          </w:tcPr>
          <w:p w14:paraId="2DB9E9F8" w14:textId="68FE8CFE" w:rsidR="003370A8" w:rsidRPr="001A31D6" w:rsidRDefault="003370A8" w:rsidP="003370A8">
            <w:pPr>
              <w:jc w:val="right"/>
              <w:rPr>
                <w:rFonts w:ascii="Verdana" w:hAnsi="Verdana"/>
              </w:rPr>
            </w:pPr>
            <w:r w:rsidRPr="001A31D6">
              <w:rPr>
                <w:rFonts w:ascii="Verdana" w:hAnsi="Verdana" w:cs="Arial"/>
                <w:szCs w:val="18"/>
              </w:rPr>
              <w:t>£1.857m</w:t>
            </w:r>
          </w:p>
        </w:tc>
      </w:tr>
      <w:tr w:rsidR="003370A8" w14:paraId="03B8DF58" w14:textId="77777777" w:rsidTr="00303773">
        <w:tc>
          <w:tcPr>
            <w:tcW w:w="562" w:type="dxa"/>
          </w:tcPr>
          <w:p w14:paraId="67F2E8AF" w14:textId="77777777" w:rsidR="003370A8" w:rsidRPr="001A31D6" w:rsidRDefault="003370A8" w:rsidP="003370A8">
            <w:pPr>
              <w:rPr>
                <w:rFonts w:ascii="Verdana" w:hAnsi="Verdana"/>
              </w:rPr>
            </w:pPr>
          </w:p>
        </w:tc>
        <w:tc>
          <w:tcPr>
            <w:tcW w:w="3534" w:type="dxa"/>
          </w:tcPr>
          <w:p w14:paraId="6CD56DFE" w14:textId="2F759734" w:rsidR="006F2984" w:rsidRPr="001A31D6" w:rsidRDefault="003370A8" w:rsidP="003370A8">
            <w:pPr>
              <w:widowControl w:val="0"/>
              <w:adjustRightInd w:val="0"/>
              <w:textAlignment w:val="baseline"/>
              <w:rPr>
                <w:rFonts w:ascii="Verdana" w:hAnsi="Verdana" w:cs="Arial"/>
                <w:szCs w:val="18"/>
              </w:rPr>
            </w:pPr>
            <w:r w:rsidRPr="001A31D6">
              <w:rPr>
                <w:rFonts w:ascii="Verdana" w:hAnsi="Verdana" w:cs="Arial"/>
                <w:szCs w:val="18"/>
              </w:rPr>
              <w:t xml:space="preserve">Cash </w:t>
            </w:r>
            <w:r>
              <w:rPr>
                <w:rFonts w:ascii="Verdana" w:hAnsi="Verdana" w:cs="Arial"/>
                <w:szCs w:val="18"/>
              </w:rPr>
              <w:t>D</w:t>
            </w:r>
            <w:r w:rsidRPr="001A31D6">
              <w:rPr>
                <w:rFonts w:ascii="Verdana" w:hAnsi="Verdana" w:cs="Arial"/>
                <w:szCs w:val="18"/>
              </w:rPr>
              <w:t xml:space="preserve">ays in </w:t>
            </w:r>
            <w:r>
              <w:rPr>
                <w:rFonts w:ascii="Verdana" w:hAnsi="Verdana" w:cs="Arial"/>
                <w:szCs w:val="18"/>
              </w:rPr>
              <w:t>H</w:t>
            </w:r>
            <w:r w:rsidRPr="001A31D6">
              <w:rPr>
                <w:rFonts w:ascii="Verdana" w:hAnsi="Verdana" w:cs="Arial"/>
                <w:szCs w:val="18"/>
              </w:rPr>
              <w:t>and: Projected</w:t>
            </w:r>
          </w:p>
        </w:tc>
        <w:tc>
          <w:tcPr>
            <w:tcW w:w="1286" w:type="dxa"/>
          </w:tcPr>
          <w:p w14:paraId="52E9A31B" w14:textId="014EEEDE" w:rsidR="003370A8" w:rsidRPr="001A31D6" w:rsidRDefault="003370A8" w:rsidP="003370A8">
            <w:pPr>
              <w:jc w:val="right"/>
              <w:rPr>
                <w:rFonts w:ascii="Verdana" w:hAnsi="Verdana" w:cs="Arial"/>
                <w:szCs w:val="18"/>
              </w:rPr>
            </w:pPr>
            <w:r w:rsidRPr="001A31D6">
              <w:rPr>
                <w:rFonts w:ascii="Verdana" w:hAnsi="Verdana" w:cs="Arial"/>
                <w:szCs w:val="18"/>
              </w:rPr>
              <w:t>76</w:t>
            </w:r>
          </w:p>
        </w:tc>
        <w:tc>
          <w:tcPr>
            <w:tcW w:w="1276" w:type="dxa"/>
          </w:tcPr>
          <w:p w14:paraId="78C2D80B" w14:textId="77777777" w:rsidR="003370A8" w:rsidRPr="001A31D6" w:rsidRDefault="003370A8" w:rsidP="003370A8">
            <w:pPr>
              <w:widowControl w:val="0"/>
              <w:adjustRightInd w:val="0"/>
              <w:jc w:val="right"/>
              <w:textAlignment w:val="baseline"/>
              <w:rPr>
                <w:rFonts w:ascii="Verdana" w:hAnsi="Verdana" w:cs="Arial"/>
                <w:szCs w:val="18"/>
              </w:rPr>
            </w:pPr>
            <w:r w:rsidRPr="001A31D6">
              <w:rPr>
                <w:rFonts w:ascii="Verdana" w:hAnsi="Verdana" w:cs="Arial"/>
                <w:szCs w:val="18"/>
              </w:rPr>
              <w:t>63</w:t>
            </w:r>
          </w:p>
          <w:p w14:paraId="68232A22" w14:textId="76D8330B" w:rsidR="003370A8" w:rsidRPr="001A31D6" w:rsidRDefault="003370A8" w:rsidP="003370A8">
            <w:pPr>
              <w:jc w:val="right"/>
              <w:rPr>
                <w:rFonts w:ascii="Verdana" w:hAnsi="Verdana"/>
              </w:rPr>
            </w:pPr>
          </w:p>
        </w:tc>
        <w:tc>
          <w:tcPr>
            <w:tcW w:w="1283" w:type="dxa"/>
          </w:tcPr>
          <w:p w14:paraId="281446B3" w14:textId="65E71D13" w:rsidR="003370A8" w:rsidRPr="001A31D6" w:rsidRDefault="003370A8" w:rsidP="003370A8">
            <w:pPr>
              <w:jc w:val="right"/>
              <w:rPr>
                <w:rFonts w:ascii="Verdana" w:hAnsi="Verdana"/>
              </w:rPr>
            </w:pPr>
            <w:r w:rsidRPr="001A31D6">
              <w:rPr>
                <w:rFonts w:ascii="Verdana" w:hAnsi="Verdana" w:cs="Arial"/>
                <w:szCs w:val="18"/>
              </w:rPr>
              <w:t>60</w:t>
            </w:r>
          </w:p>
        </w:tc>
        <w:tc>
          <w:tcPr>
            <w:tcW w:w="1410" w:type="dxa"/>
          </w:tcPr>
          <w:p w14:paraId="2CE90D88" w14:textId="6E533E23" w:rsidR="003370A8" w:rsidRPr="001A31D6" w:rsidRDefault="003370A8" w:rsidP="003370A8">
            <w:pPr>
              <w:jc w:val="right"/>
              <w:rPr>
                <w:rFonts w:ascii="Verdana" w:hAnsi="Verdana"/>
              </w:rPr>
            </w:pPr>
            <w:r w:rsidRPr="001A31D6">
              <w:rPr>
                <w:rFonts w:ascii="Verdana" w:hAnsi="Verdana" w:cs="Arial"/>
                <w:szCs w:val="18"/>
              </w:rPr>
              <w:t>60</w:t>
            </w:r>
          </w:p>
        </w:tc>
      </w:tr>
    </w:tbl>
    <w:p w14:paraId="588F4A80" w14:textId="77777777" w:rsidR="006F2984" w:rsidRDefault="006F2984" w:rsidP="00FF14EA">
      <w:pPr>
        <w:rPr>
          <w:rFonts w:ascii="Verdana" w:hAnsi="Verdana" w:cs="Arial"/>
        </w:rPr>
      </w:pPr>
    </w:p>
    <w:tbl>
      <w:tblPr>
        <w:tblW w:w="9351" w:type="dxa"/>
        <w:tblLook w:val="04A0" w:firstRow="1" w:lastRow="0" w:firstColumn="1" w:lastColumn="0" w:noHBand="0" w:noVBand="1"/>
      </w:tblPr>
      <w:tblGrid>
        <w:gridCol w:w="544"/>
        <w:gridCol w:w="8807"/>
      </w:tblGrid>
      <w:tr w:rsidR="00FF14EA" w:rsidRPr="00F01434" w14:paraId="7704D0DC" w14:textId="77777777" w:rsidTr="00303773">
        <w:tc>
          <w:tcPr>
            <w:tcW w:w="544" w:type="dxa"/>
          </w:tcPr>
          <w:p w14:paraId="2E62A29F" w14:textId="77777777" w:rsidR="00FF14EA" w:rsidRPr="00FF14EA" w:rsidRDefault="00FF14EA" w:rsidP="008100B2">
            <w:pPr>
              <w:rPr>
                <w:rFonts w:ascii="Verdana" w:hAnsi="Verdana"/>
                <w:b/>
                <w:color w:val="FF0000"/>
              </w:rPr>
            </w:pPr>
          </w:p>
        </w:tc>
        <w:tc>
          <w:tcPr>
            <w:tcW w:w="8807" w:type="dxa"/>
          </w:tcPr>
          <w:p w14:paraId="19056B0F" w14:textId="562261ED" w:rsidR="00FF14EA" w:rsidRPr="00FF14EA" w:rsidRDefault="00FF14EA" w:rsidP="008100B2">
            <w:pPr>
              <w:rPr>
                <w:rFonts w:ascii="Verdana" w:hAnsi="Verdana" w:cs="Arial"/>
              </w:rPr>
            </w:pPr>
            <w:r w:rsidRPr="00FF14EA">
              <w:rPr>
                <w:rFonts w:ascii="Verdana" w:hAnsi="Verdana" w:cs="Arial"/>
              </w:rPr>
              <w:t>Reserves as a percentage of income increases in 2019</w:t>
            </w:r>
            <w:r w:rsidR="00E86BE7">
              <w:rPr>
                <w:rFonts w:ascii="Verdana" w:hAnsi="Verdana" w:cs="Arial"/>
              </w:rPr>
              <w:t>-</w:t>
            </w:r>
            <w:r w:rsidRPr="00FF14EA">
              <w:rPr>
                <w:rFonts w:ascii="Verdana" w:hAnsi="Verdana" w:cs="Arial"/>
              </w:rPr>
              <w:t>20 due to the pension fund change</w:t>
            </w:r>
            <w:r w:rsidR="006F2984">
              <w:rPr>
                <w:rFonts w:ascii="Verdana" w:hAnsi="Verdana" w:cs="Arial"/>
              </w:rPr>
              <w:t>, but</w:t>
            </w:r>
            <w:r w:rsidR="00E86BE7">
              <w:rPr>
                <w:rFonts w:ascii="Verdana" w:hAnsi="Verdana" w:cs="Arial"/>
              </w:rPr>
              <w:t xml:space="preserve"> </w:t>
            </w:r>
            <w:r w:rsidRPr="00FF14EA">
              <w:rPr>
                <w:rFonts w:ascii="Verdana" w:hAnsi="Verdana" w:cs="Arial"/>
              </w:rPr>
              <w:t>then declines as income rises.</w:t>
            </w:r>
          </w:p>
          <w:p w14:paraId="7FE8D8E4" w14:textId="0A6394DF" w:rsidR="00FF14EA" w:rsidRDefault="00FF14EA" w:rsidP="008100B2">
            <w:pPr>
              <w:contextualSpacing/>
              <w:rPr>
                <w:rFonts w:ascii="Verdana" w:hAnsi="Verdana" w:cs="Arial"/>
              </w:rPr>
            </w:pPr>
          </w:p>
          <w:p w14:paraId="2952DD65" w14:textId="6B042FE0" w:rsidR="00303773" w:rsidRDefault="00303773" w:rsidP="008100B2">
            <w:pPr>
              <w:contextualSpacing/>
              <w:rPr>
                <w:rFonts w:ascii="Verdana" w:hAnsi="Verdana" w:cs="Arial"/>
              </w:rPr>
            </w:pPr>
          </w:p>
          <w:p w14:paraId="1AAD8975" w14:textId="0E7F0255" w:rsidR="00303773" w:rsidRDefault="00303773" w:rsidP="008100B2">
            <w:pPr>
              <w:contextualSpacing/>
              <w:rPr>
                <w:rFonts w:ascii="Verdana" w:hAnsi="Verdana" w:cs="Arial"/>
              </w:rPr>
            </w:pPr>
          </w:p>
          <w:p w14:paraId="39892C87" w14:textId="5E7E12FA" w:rsidR="00303773" w:rsidRDefault="00303773" w:rsidP="008100B2">
            <w:pPr>
              <w:contextualSpacing/>
              <w:rPr>
                <w:rFonts w:ascii="Verdana" w:hAnsi="Verdana" w:cs="Arial"/>
              </w:rPr>
            </w:pPr>
          </w:p>
          <w:p w14:paraId="25AAFC27" w14:textId="77777777" w:rsidR="00303773" w:rsidRDefault="00303773" w:rsidP="008100B2">
            <w:pPr>
              <w:contextualSpacing/>
              <w:rPr>
                <w:rFonts w:ascii="Verdana" w:hAnsi="Verdana" w:cs="Arial"/>
              </w:rPr>
            </w:pPr>
          </w:p>
          <w:p w14:paraId="22D596BF" w14:textId="78DFA151" w:rsidR="00FF14EA" w:rsidRPr="00FF14EA" w:rsidRDefault="00FF14EA" w:rsidP="008100B2">
            <w:pPr>
              <w:contextualSpacing/>
              <w:rPr>
                <w:rFonts w:ascii="Verdana" w:hAnsi="Verdana" w:cs="Arial"/>
              </w:rPr>
            </w:pPr>
            <w:r w:rsidRPr="00FF14EA">
              <w:rPr>
                <w:rFonts w:ascii="Verdana" w:hAnsi="Verdana" w:cs="Arial"/>
              </w:rPr>
              <w:t>Staff and student numbers during the planning period were noted as:</w:t>
            </w:r>
          </w:p>
        </w:tc>
      </w:tr>
    </w:tbl>
    <w:p w14:paraId="019CA42A" w14:textId="71527E0D" w:rsidR="00FF14EA" w:rsidRDefault="00FF14EA" w:rsidP="00FF14EA">
      <w:pPr>
        <w:rPr>
          <w:rFonts w:ascii="Verdana" w:hAnsi="Verdana" w:cs="Arial"/>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536"/>
        <w:gridCol w:w="1276"/>
        <w:gridCol w:w="1418"/>
        <w:gridCol w:w="1559"/>
      </w:tblGrid>
      <w:tr w:rsidR="00FF14EA" w:rsidRPr="001A31D6" w14:paraId="00C886BD" w14:textId="77777777" w:rsidTr="00303773">
        <w:tc>
          <w:tcPr>
            <w:tcW w:w="562" w:type="dxa"/>
          </w:tcPr>
          <w:p w14:paraId="023560BC" w14:textId="77777777" w:rsidR="00FF14EA" w:rsidRPr="001A31D6" w:rsidRDefault="00FF14EA" w:rsidP="00FF14EA">
            <w:pPr>
              <w:rPr>
                <w:rFonts w:ascii="Verdana" w:hAnsi="Verdana"/>
              </w:rPr>
            </w:pPr>
          </w:p>
        </w:tc>
        <w:tc>
          <w:tcPr>
            <w:tcW w:w="4536" w:type="dxa"/>
          </w:tcPr>
          <w:p w14:paraId="54CCC7A4" w14:textId="48674E31" w:rsidR="00FF14EA" w:rsidRPr="00FF14EA" w:rsidRDefault="00FF14EA" w:rsidP="00FF14EA">
            <w:pPr>
              <w:rPr>
                <w:rFonts w:ascii="Verdana" w:hAnsi="Verdana"/>
              </w:rPr>
            </w:pPr>
            <w:r w:rsidRPr="00FF14EA">
              <w:rPr>
                <w:rFonts w:ascii="Verdana" w:hAnsi="Verdana" w:cs="Arial"/>
                <w:b/>
              </w:rPr>
              <w:t xml:space="preserve">Key </w:t>
            </w:r>
            <w:r w:rsidR="009B1794">
              <w:rPr>
                <w:rFonts w:ascii="Verdana" w:hAnsi="Verdana" w:cs="Arial"/>
                <w:b/>
              </w:rPr>
              <w:t>A</w:t>
            </w:r>
            <w:r w:rsidRPr="00FF14EA">
              <w:rPr>
                <w:rFonts w:ascii="Verdana" w:hAnsi="Verdana" w:cs="Arial"/>
                <w:b/>
              </w:rPr>
              <w:t>ssumptions</w:t>
            </w:r>
          </w:p>
        </w:tc>
        <w:tc>
          <w:tcPr>
            <w:tcW w:w="1276" w:type="dxa"/>
          </w:tcPr>
          <w:p w14:paraId="42365AB6" w14:textId="77777777" w:rsidR="00FF14EA" w:rsidRPr="00FF14EA" w:rsidRDefault="00FF14EA" w:rsidP="00FF14EA">
            <w:pPr>
              <w:jc w:val="right"/>
              <w:rPr>
                <w:rFonts w:ascii="Verdana" w:hAnsi="Verdana" w:cs="Arial"/>
                <w:b/>
              </w:rPr>
            </w:pPr>
            <w:r w:rsidRPr="00FF14EA">
              <w:rPr>
                <w:rFonts w:ascii="Verdana" w:hAnsi="Verdana" w:cs="Arial"/>
                <w:b/>
              </w:rPr>
              <w:t>2019-20</w:t>
            </w:r>
          </w:p>
          <w:p w14:paraId="4F13B306" w14:textId="7EE2146B" w:rsidR="00FF14EA" w:rsidRPr="00FF14EA" w:rsidRDefault="00FF14EA" w:rsidP="00FF14EA">
            <w:pPr>
              <w:jc w:val="right"/>
              <w:rPr>
                <w:rFonts w:ascii="Verdana" w:hAnsi="Verdana"/>
              </w:rPr>
            </w:pPr>
          </w:p>
        </w:tc>
        <w:tc>
          <w:tcPr>
            <w:tcW w:w="1418" w:type="dxa"/>
          </w:tcPr>
          <w:p w14:paraId="41C7D2DC" w14:textId="32D5A8A5" w:rsidR="00FF14EA" w:rsidRPr="00FF14EA" w:rsidRDefault="00FF14EA" w:rsidP="00FF14EA">
            <w:pPr>
              <w:jc w:val="right"/>
              <w:rPr>
                <w:rFonts w:ascii="Verdana" w:hAnsi="Verdana"/>
              </w:rPr>
            </w:pPr>
            <w:r w:rsidRPr="00FF14EA">
              <w:rPr>
                <w:rFonts w:ascii="Verdana" w:hAnsi="Verdana" w:cs="Arial"/>
                <w:b/>
              </w:rPr>
              <w:t>2020-21</w:t>
            </w:r>
          </w:p>
        </w:tc>
        <w:tc>
          <w:tcPr>
            <w:tcW w:w="1559" w:type="dxa"/>
          </w:tcPr>
          <w:p w14:paraId="29F1080E" w14:textId="49B381DB" w:rsidR="00FF14EA" w:rsidRPr="00FF14EA" w:rsidRDefault="00FF14EA" w:rsidP="00FF14EA">
            <w:pPr>
              <w:jc w:val="right"/>
              <w:rPr>
                <w:rFonts w:ascii="Verdana" w:hAnsi="Verdana"/>
              </w:rPr>
            </w:pPr>
            <w:r w:rsidRPr="00FF14EA">
              <w:rPr>
                <w:rFonts w:ascii="Verdana" w:hAnsi="Verdana" w:cs="Arial"/>
                <w:b/>
              </w:rPr>
              <w:t>2021-22</w:t>
            </w:r>
          </w:p>
        </w:tc>
      </w:tr>
      <w:tr w:rsidR="00FF14EA" w:rsidRPr="001A31D6" w14:paraId="2B74880E" w14:textId="77777777" w:rsidTr="00303773">
        <w:tc>
          <w:tcPr>
            <w:tcW w:w="562" w:type="dxa"/>
          </w:tcPr>
          <w:p w14:paraId="27E5B915" w14:textId="77777777" w:rsidR="00FF14EA" w:rsidRPr="001A31D6" w:rsidRDefault="00FF14EA" w:rsidP="00FF14EA">
            <w:pPr>
              <w:rPr>
                <w:rFonts w:ascii="Verdana" w:hAnsi="Verdana"/>
              </w:rPr>
            </w:pPr>
          </w:p>
        </w:tc>
        <w:tc>
          <w:tcPr>
            <w:tcW w:w="4536" w:type="dxa"/>
          </w:tcPr>
          <w:p w14:paraId="32FA2BDA" w14:textId="4807DBDA" w:rsidR="00FF14EA" w:rsidRPr="00FF14EA" w:rsidRDefault="00FF14EA" w:rsidP="00FF14EA">
            <w:pPr>
              <w:rPr>
                <w:rFonts w:ascii="Verdana" w:hAnsi="Verdana"/>
              </w:rPr>
            </w:pPr>
            <w:r w:rsidRPr="00FF14EA">
              <w:rPr>
                <w:rFonts w:ascii="Verdana" w:hAnsi="Verdana" w:cs="Arial"/>
                <w:szCs w:val="18"/>
              </w:rPr>
              <w:t>Staff numbers – teaching (FTE)</w:t>
            </w:r>
          </w:p>
        </w:tc>
        <w:tc>
          <w:tcPr>
            <w:tcW w:w="1276" w:type="dxa"/>
          </w:tcPr>
          <w:p w14:paraId="42712BA4" w14:textId="708A05A5" w:rsidR="00FF14EA" w:rsidRPr="00FF14EA" w:rsidRDefault="00FF14EA" w:rsidP="00FF14EA">
            <w:pPr>
              <w:jc w:val="right"/>
              <w:rPr>
                <w:rFonts w:ascii="Verdana" w:hAnsi="Verdana"/>
                <w:i/>
                <w:iCs/>
              </w:rPr>
            </w:pPr>
            <w:r w:rsidRPr="00FF14EA">
              <w:rPr>
                <w:rFonts w:ascii="Verdana" w:hAnsi="Verdana" w:cs="Arial"/>
                <w:szCs w:val="18"/>
              </w:rPr>
              <w:t>73</w:t>
            </w:r>
          </w:p>
        </w:tc>
        <w:tc>
          <w:tcPr>
            <w:tcW w:w="1418" w:type="dxa"/>
          </w:tcPr>
          <w:p w14:paraId="0AA401D2" w14:textId="7A0787C5" w:rsidR="00FF14EA" w:rsidRPr="00FF14EA" w:rsidRDefault="00FF14EA" w:rsidP="00FF14EA">
            <w:pPr>
              <w:jc w:val="right"/>
              <w:rPr>
                <w:rFonts w:ascii="Verdana" w:hAnsi="Verdana"/>
                <w:i/>
                <w:iCs/>
              </w:rPr>
            </w:pPr>
            <w:r w:rsidRPr="00FF14EA">
              <w:rPr>
                <w:rFonts w:ascii="Verdana" w:hAnsi="Verdana" w:cs="Arial"/>
                <w:szCs w:val="18"/>
              </w:rPr>
              <w:t>80</w:t>
            </w:r>
          </w:p>
        </w:tc>
        <w:tc>
          <w:tcPr>
            <w:tcW w:w="1559" w:type="dxa"/>
          </w:tcPr>
          <w:p w14:paraId="50E678CE" w14:textId="0DF08216" w:rsidR="00FF14EA" w:rsidRPr="00FF14EA" w:rsidRDefault="00FF14EA" w:rsidP="00FF14EA">
            <w:pPr>
              <w:jc w:val="right"/>
              <w:rPr>
                <w:rFonts w:ascii="Verdana" w:hAnsi="Verdana"/>
                <w:i/>
                <w:iCs/>
              </w:rPr>
            </w:pPr>
            <w:r w:rsidRPr="00FF14EA">
              <w:rPr>
                <w:rFonts w:ascii="Verdana" w:hAnsi="Verdana" w:cs="Arial"/>
                <w:szCs w:val="18"/>
              </w:rPr>
              <w:t>81</w:t>
            </w:r>
          </w:p>
        </w:tc>
      </w:tr>
      <w:tr w:rsidR="00FF14EA" w:rsidRPr="001A31D6" w14:paraId="516E5B44" w14:textId="77777777" w:rsidTr="00303773">
        <w:tc>
          <w:tcPr>
            <w:tcW w:w="562" w:type="dxa"/>
          </w:tcPr>
          <w:p w14:paraId="30944C3E" w14:textId="77777777" w:rsidR="00FF14EA" w:rsidRPr="001A31D6" w:rsidRDefault="00FF14EA" w:rsidP="00FF14EA">
            <w:pPr>
              <w:rPr>
                <w:rFonts w:ascii="Verdana" w:hAnsi="Verdana"/>
              </w:rPr>
            </w:pPr>
          </w:p>
        </w:tc>
        <w:tc>
          <w:tcPr>
            <w:tcW w:w="4536" w:type="dxa"/>
          </w:tcPr>
          <w:p w14:paraId="443DA11E" w14:textId="5EBB40A9" w:rsidR="00FF14EA" w:rsidRPr="00FF14EA" w:rsidRDefault="00FF14EA" w:rsidP="00FF14EA">
            <w:pPr>
              <w:rPr>
                <w:rFonts w:ascii="Verdana" w:hAnsi="Verdana"/>
              </w:rPr>
            </w:pPr>
            <w:r w:rsidRPr="00FF14EA">
              <w:rPr>
                <w:rFonts w:ascii="Verdana" w:hAnsi="Verdana" w:cs="Arial"/>
                <w:szCs w:val="18"/>
              </w:rPr>
              <w:t>Staff numbers – non-teaching (FTE)</w:t>
            </w:r>
          </w:p>
        </w:tc>
        <w:tc>
          <w:tcPr>
            <w:tcW w:w="1276" w:type="dxa"/>
          </w:tcPr>
          <w:p w14:paraId="0B5AD764" w14:textId="50AC75DA" w:rsidR="00FF14EA" w:rsidRPr="00FF14EA" w:rsidRDefault="00FF14EA" w:rsidP="00FF14EA">
            <w:pPr>
              <w:jc w:val="right"/>
              <w:rPr>
                <w:rFonts w:ascii="Verdana" w:hAnsi="Verdana"/>
              </w:rPr>
            </w:pPr>
            <w:r w:rsidRPr="00FF14EA">
              <w:rPr>
                <w:rFonts w:ascii="Verdana" w:hAnsi="Verdana" w:cs="Arial"/>
                <w:szCs w:val="18"/>
              </w:rPr>
              <w:t>57</w:t>
            </w:r>
          </w:p>
        </w:tc>
        <w:tc>
          <w:tcPr>
            <w:tcW w:w="1418" w:type="dxa"/>
          </w:tcPr>
          <w:p w14:paraId="3705C27D" w14:textId="0331F99A" w:rsidR="00FF14EA" w:rsidRPr="00FF14EA" w:rsidRDefault="00FF14EA" w:rsidP="00FF14EA">
            <w:pPr>
              <w:jc w:val="right"/>
              <w:rPr>
                <w:rFonts w:ascii="Verdana" w:hAnsi="Verdana"/>
              </w:rPr>
            </w:pPr>
            <w:r w:rsidRPr="00FF14EA">
              <w:rPr>
                <w:rFonts w:ascii="Verdana" w:hAnsi="Verdana" w:cs="Arial"/>
                <w:szCs w:val="18"/>
              </w:rPr>
              <w:t>76</w:t>
            </w:r>
          </w:p>
        </w:tc>
        <w:tc>
          <w:tcPr>
            <w:tcW w:w="1559" w:type="dxa"/>
          </w:tcPr>
          <w:p w14:paraId="730300DC" w14:textId="2F412E69" w:rsidR="00FF14EA" w:rsidRPr="00FF14EA" w:rsidRDefault="00FF14EA" w:rsidP="00FF14EA">
            <w:pPr>
              <w:jc w:val="right"/>
              <w:rPr>
                <w:rFonts w:ascii="Verdana" w:hAnsi="Verdana"/>
              </w:rPr>
            </w:pPr>
            <w:r w:rsidRPr="00FF14EA">
              <w:rPr>
                <w:rFonts w:ascii="Verdana" w:hAnsi="Verdana" w:cs="Arial"/>
                <w:szCs w:val="18"/>
              </w:rPr>
              <w:t>76</w:t>
            </w:r>
          </w:p>
        </w:tc>
      </w:tr>
      <w:tr w:rsidR="00FF14EA" w:rsidRPr="001A31D6" w14:paraId="0BE1A6B6" w14:textId="77777777" w:rsidTr="00303773">
        <w:tc>
          <w:tcPr>
            <w:tcW w:w="562" w:type="dxa"/>
          </w:tcPr>
          <w:p w14:paraId="11B020AA" w14:textId="77777777" w:rsidR="00FF14EA" w:rsidRPr="001A31D6" w:rsidRDefault="00FF14EA" w:rsidP="00FF14EA">
            <w:pPr>
              <w:rPr>
                <w:rFonts w:ascii="Verdana" w:hAnsi="Verdana"/>
              </w:rPr>
            </w:pPr>
          </w:p>
        </w:tc>
        <w:tc>
          <w:tcPr>
            <w:tcW w:w="4536" w:type="dxa"/>
          </w:tcPr>
          <w:p w14:paraId="6DCA859F" w14:textId="729E4517" w:rsidR="00FF14EA" w:rsidRPr="00FF14EA" w:rsidRDefault="00FF14EA" w:rsidP="00FF14EA">
            <w:pPr>
              <w:rPr>
                <w:rFonts w:ascii="Verdana" w:hAnsi="Verdana"/>
              </w:rPr>
            </w:pPr>
            <w:r w:rsidRPr="00FF14EA">
              <w:rPr>
                <w:rFonts w:ascii="Verdana" w:hAnsi="Verdana" w:cs="Arial"/>
                <w:szCs w:val="18"/>
              </w:rPr>
              <w:t>Total staff numbers (FTE)</w:t>
            </w:r>
          </w:p>
        </w:tc>
        <w:tc>
          <w:tcPr>
            <w:tcW w:w="1276" w:type="dxa"/>
          </w:tcPr>
          <w:p w14:paraId="0D751695" w14:textId="3CCD771F" w:rsidR="00FF14EA" w:rsidRPr="00FF14EA" w:rsidRDefault="00FF14EA" w:rsidP="00FF14EA">
            <w:pPr>
              <w:jc w:val="right"/>
              <w:rPr>
                <w:rFonts w:ascii="Verdana" w:hAnsi="Verdana"/>
              </w:rPr>
            </w:pPr>
            <w:r w:rsidRPr="00FF14EA">
              <w:rPr>
                <w:rFonts w:ascii="Verdana" w:hAnsi="Verdana" w:cs="Arial"/>
                <w:szCs w:val="18"/>
              </w:rPr>
              <w:t>130</w:t>
            </w:r>
          </w:p>
        </w:tc>
        <w:tc>
          <w:tcPr>
            <w:tcW w:w="1418" w:type="dxa"/>
          </w:tcPr>
          <w:p w14:paraId="5FF0024E" w14:textId="315FAC2A" w:rsidR="00FF14EA" w:rsidRPr="00FF14EA" w:rsidRDefault="00FF14EA" w:rsidP="00FF14EA">
            <w:pPr>
              <w:jc w:val="right"/>
              <w:rPr>
                <w:rFonts w:ascii="Verdana" w:hAnsi="Verdana"/>
              </w:rPr>
            </w:pPr>
            <w:r w:rsidRPr="00FF14EA">
              <w:rPr>
                <w:rFonts w:ascii="Verdana" w:hAnsi="Verdana" w:cs="Arial"/>
                <w:szCs w:val="18"/>
              </w:rPr>
              <w:t>156</w:t>
            </w:r>
          </w:p>
        </w:tc>
        <w:tc>
          <w:tcPr>
            <w:tcW w:w="1559" w:type="dxa"/>
          </w:tcPr>
          <w:p w14:paraId="159562AC" w14:textId="3E5CA12C" w:rsidR="00FF14EA" w:rsidRPr="00FF14EA" w:rsidRDefault="00FF14EA" w:rsidP="00FF14EA">
            <w:pPr>
              <w:jc w:val="right"/>
              <w:rPr>
                <w:rFonts w:ascii="Verdana" w:hAnsi="Verdana"/>
              </w:rPr>
            </w:pPr>
            <w:r w:rsidRPr="00FF14EA">
              <w:rPr>
                <w:rFonts w:ascii="Verdana" w:hAnsi="Verdana" w:cs="Arial"/>
                <w:szCs w:val="18"/>
              </w:rPr>
              <w:t>157</w:t>
            </w:r>
          </w:p>
        </w:tc>
      </w:tr>
      <w:tr w:rsidR="00FF14EA" w:rsidRPr="001A31D6" w14:paraId="7CDE1AE0" w14:textId="77777777" w:rsidTr="00303773">
        <w:tc>
          <w:tcPr>
            <w:tcW w:w="562" w:type="dxa"/>
          </w:tcPr>
          <w:p w14:paraId="6AC53B01" w14:textId="77777777" w:rsidR="00FF14EA" w:rsidRPr="001A31D6" w:rsidRDefault="00FF14EA" w:rsidP="00FF14EA">
            <w:pPr>
              <w:rPr>
                <w:rFonts w:ascii="Verdana" w:hAnsi="Verdana"/>
              </w:rPr>
            </w:pPr>
          </w:p>
        </w:tc>
        <w:tc>
          <w:tcPr>
            <w:tcW w:w="4536" w:type="dxa"/>
          </w:tcPr>
          <w:p w14:paraId="5E132850" w14:textId="77777777" w:rsidR="00FF14EA" w:rsidRDefault="00FF14EA" w:rsidP="00FF14EA">
            <w:pPr>
              <w:rPr>
                <w:rFonts w:ascii="Verdana" w:hAnsi="Verdana" w:cs="Arial"/>
                <w:szCs w:val="18"/>
              </w:rPr>
            </w:pPr>
            <w:r w:rsidRPr="00FF14EA">
              <w:rPr>
                <w:rFonts w:ascii="Verdana" w:hAnsi="Verdana" w:cs="Arial"/>
                <w:szCs w:val="18"/>
              </w:rPr>
              <w:t xml:space="preserve">ESFA Funded student numbers per allocation (i.e. a </w:t>
            </w:r>
            <w:proofErr w:type="gramStart"/>
            <w:r w:rsidRPr="00FF14EA">
              <w:rPr>
                <w:rFonts w:ascii="Verdana" w:hAnsi="Verdana" w:cs="Arial"/>
                <w:szCs w:val="18"/>
              </w:rPr>
              <w:t>one year</w:t>
            </w:r>
            <w:proofErr w:type="gramEnd"/>
            <w:r w:rsidRPr="00FF14EA">
              <w:rPr>
                <w:rFonts w:ascii="Verdana" w:hAnsi="Verdana" w:cs="Arial"/>
                <w:szCs w:val="18"/>
              </w:rPr>
              <w:t xml:space="preserve"> time lag)</w:t>
            </w:r>
          </w:p>
          <w:p w14:paraId="2B75799E" w14:textId="52428C74" w:rsidR="004E0ABD" w:rsidRPr="00FF14EA" w:rsidRDefault="004E0ABD" w:rsidP="00FF14EA">
            <w:pPr>
              <w:rPr>
                <w:rFonts w:ascii="Verdana" w:hAnsi="Verdana"/>
              </w:rPr>
            </w:pPr>
          </w:p>
        </w:tc>
        <w:tc>
          <w:tcPr>
            <w:tcW w:w="1276" w:type="dxa"/>
          </w:tcPr>
          <w:p w14:paraId="54C77DBC" w14:textId="3F79ABF0" w:rsidR="00FF14EA" w:rsidRPr="00FF14EA" w:rsidRDefault="00FF14EA" w:rsidP="00FF14EA">
            <w:pPr>
              <w:jc w:val="right"/>
              <w:rPr>
                <w:rFonts w:ascii="Verdana" w:hAnsi="Verdana"/>
              </w:rPr>
            </w:pPr>
            <w:r w:rsidRPr="00FF14EA">
              <w:rPr>
                <w:rFonts w:ascii="Verdana" w:hAnsi="Verdana" w:cs="Arial"/>
                <w:szCs w:val="18"/>
              </w:rPr>
              <w:t>1</w:t>
            </w:r>
            <w:r>
              <w:rPr>
                <w:rFonts w:ascii="Verdana" w:hAnsi="Verdana" w:cs="Arial"/>
                <w:szCs w:val="18"/>
              </w:rPr>
              <w:t>,</w:t>
            </w:r>
            <w:r w:rsidRPr="00FF14EA">
              <w:rPr>
                <w:rFonts w:ascii="Verdana" w:hAnsi="Verdana" w:cs="Arial"/>
                <w:szCs w:val="18"/>
              </w:rPr>
              <w:t>611</w:t>
            </w:r>
          </w:p>
        </w:tc>
        <w:tc>
          <w:tcPr>
            <w:tcW w:w="1418" w:type="dxa"/>
          </w:tcPr>
          <w:p w14:paraId="042F7F40" w14:textId="39C5DE1F" w:rsidR="00FF14EA" w:rsidRPr="00FF14EA" w:rsidRDefault="00FF14EA" w:rsidP="00FF14EA">
            <w:pPr>
              <w:jc w:val="right"/>
              <w:rPr>
                <w:rFonts w:ascii="Verdana" w:hAnsi="Verdana"/>
              </w:rPr>
            </w:pPr>
            <w:r w:rsidRPr="00FF14EA">
              <w:rPr>
                <w:rFonts w:ascii="Verdana" w:hAnsi="Verdana" w:cs="Arial"/>
                <w:szCs w:val="18"/>
              </w:rPr>
              <w:t>1</w:t>
            </w:r>
            <w:r>
              <w:rPr>
                <w:rFonts w:ascii="Verdana" w:hAnsi="Verdana" w:cs="Arial"/>
                <w:szCs w:val="18"/>
              </w:rPr>
              <w:t>,</w:t>
            </w:r>
            <w:r w:rsidRPr="00FF14EA">
              <w:rPr>
                <w:rFonts w:ascii="Verdana" w:hAnsi="Verdana" w:cs="Arial"/>
                <w:szCs w:val="18"/>
              </w:rPr>
              <w:t>709</w:t>
            </w:r>
          </w:p>
        </w:tc>
        <w:tc>
          <w:tcPr>
            <w:tcW w:w="1559" w:type="dxa"/>
          </w:tcPr>
          <w:p w14:paraId="2D316795" w14:textId="76E70D1F" w:rsidR="00FF14EA" w:rsidRPr="00FF14EA" w:rsidRDefault="00FF14EA" w:rsidP="00FF14EA">
            <w:pPr>
              <w:jc w:val="right"/>
              <w:rPr>
                <w:rFonts w:ascii="Verdana" w:hAnsi="Verdana"/>
              </w:rPr>
            </w:pPr>
            <w:r w:rsidRPr="00FF14EA">
              <w:rPr>
                <w:rFonts w:ascii="Verdana" w:hAnsi="Verdana" w:cs="Arial"/>
                <w:szCs w:val="18"/>
              </w:rPr>
              <w:t>1</w:t>
            </w:r>
            <w:r>
              <w:rPr>
                <w:rFonts w:ascii="Verdana" w:hAnsi="Verdana" w:cs="Arial"/>
                <w:szCs w:val="18"/>
              </w:rPr>
              <w:t>,</w:t>
            </w:r>
            <w:r w:rsidRPr="00FF14EA">
              <w:rPr>
                <w:rFonts w:ascii="Verdana" w:hAnsi="Verdana" w:cs="Arial"/>
                <w:szCs w:val="18"/>
              </w:rPr>
              <w:t>820</w:t>
            </w:r>
          </w:p>
        </w:tc>
      </w:tr>
      <w:tr w:rsidR="00FF14EA" w:rsidRPr="001A31D6" w14:paraId="1FEB36B2" w14:textId="77777777" w:rsidTr="00303773">
        <w:tc>
          <w:tcPr>
            <w:tcW w:w="562" w:type="dxa"/>
          </w:tcPr>
          <w:p w14:paraId="6FB9FF9B" w14:textId="77777777" w:rsidR="00FF14EA" w:rsidRPr="001A31D6" w:rsidRDefault="00FF14EA" w:rsidP="00FF14EA">
            <w:pPr>
              <w:rPr>
                <w:rFonts w:ascii="Verdana" w:hAnsi="Verdana"/>
              </w:rPr>
            </w:pPr>
          </w:p>
        </w:tc>
        <w:tc>
          <w:tcPr>
            <w:tcW w:w="4536" w:type="dxa"/>
          </w:tcPr>
          <w:p w14:paraId="4D8FBD71" w14:textId="4342305A" w:rsidR="00FF14EA" w:rsidRPr="00FF14EA" w:rsidRDefault="00FF14EA" w:rsidP="00FF14EA">
            <w:pPr>
              <w:rPr>
                <w:rFonts w:ascii="Verdana" w:hAnsi="Verdana"/>
              </w:rPr>
            </w:pPr>
            <w:r w:rsidRPr="00FF14EA">
              <w:rPr>
                <w:rFonts w:ascii="Verdana" w:hAnsi="Verdana" w:cs="Arial"/>
                <w:szCs w:val="18"/>
              </w:rPr>
              <w:t>Student recruitment in each academic year after 42 days from the start of term in September each year</w:t>
            </w:r>
          </w:p>
        </w:tc>
        <w:tc>
          <w:tcPr>
            <w:tcW w:w="1276" w:type="dxa"/>
          </w:tcPr>
          <w:p w14:paraId="1E6373B1" w14:textId="18EF5181" w:rsidR="00FF14EA" w:rsidRPr="00FF14EA" w:rsidRDefault="00FF14EA" w:rsidP="00FF14EA">
            <w:pPr>
              <w:jc w:val="right"/>
              <w:rPr>
                <w:rFonts w:ascii="Verdana" w:hAnsi="Verdana"/>
              </w:rPr>
            </w:pPr>
            <w:r w:rsidRPr="00FF14EA">
              <w:rPr>
                <w:rFonts w:ascii="Verdana" w:hAnsi="Verdana" w:cs="Arial"/>
                <w:szCs w:val="18"/>
              </w:rPr>
              <w:t>1</w:t>
            </w:r>
            <w:r>
              <w:rPr>
                <w:rFonts w:ascii="Verdana" w:hAnsi="Verdana" w:cs="Arial"/>
                <w:szCs w:val="18"/>
              </w:rPr>
              <w:t>,</w:t>
            </w:r>
            <w:r w:rsidRPr="00FF14EA">
              <w:rPr>
                <w:rFonts w:ascii="Verdana" w:hAnsi="Verdana" w:cs="Arial"/>
                <w:szCs w:val="18"/>
              </w:rPr>
              <w:t>709</w:t>
            </w:r>
          </w:p>
        </w:tc>
        <w:tc>
          <w:tcPr>
            <w:tcW w:w="1418" w:type="dxa"/>
          </w:tcPr>
          <w:p w14:paraId="685A0665" w14:textId="3016836D" w:rsidR="00FF14EA" w:rsidRPr="00FF14EA" w:rsidRDefault="00FF14EA" w:rsidP="00FF14EA">
            <w:pPr>
              <w:jc w:val="right"/>
              <w:rPr>
                <w:rFonts w:ascii="Verdana" w:hAnsi="Verdana"/>
              </w:rPr>
            </w:pPr>
            <w:r w:rsidRPr="00FF14EA">
              <w:rPr>
                <w:rFonts w:ascii="Verdana" w:hAnsi="Verdana" w:cs="Arial"/>
                <w:szCs w:val="18"/>
              </w:rPr>
              <w:t>1</w:t>
            </w:r>
            <w:r>
              <w:rPr>
                <w:rFonts w:ascii="Verdana" w:hAnsi="Verdana" w:cs="Arial"/>
                <w:szCs w:val="18"/>
              </w:rPr>
              <w:t>,</w:t>
            </w:r>
            <w:r w:rsidRPr="00FF14EA">
              <w:rPr>
                <w:rFonts w:ascii="Verdana" w:hAnsi="Verdana" w:cs="Arial"/>
                <w:szCs w:val="18"/>
              </w:rPr>
              <w:t>820</w:t>
            </w:r>
          </w:p>
        </w:tc>
        <w:tc>
          <w:tcPr>
            <w:tcW w:w="1559" w:type="dxa"/>
          </w:tcPr>
          <w:p w14:paraId="60B43A44" w14:textId="6ABCC3F6" w:rsidR="00FF14EA" w:rsidRPr="00FF14EA" w:rsidRDefault="00FF14EA" w:rsidP="00FF14EA">
            <w:pPr>
              <w:jc w:val="right"/>
              <w:rPr>
                <w:rFonts w:ascii="Verdana" w:hAnsi="Verdana"/>
              </w:rPr>
            </w:pPr>
            <w:r w:rsidRPr="00FF14EA">
              <w:rPr>
                <w:rFonts w:ascii="Verdana" w:hAnsi="Verdana" w:cs="Arial"/>
                <w:szCs w:val="18"/>
              </w:rPr>
              <w:t>1</w:t>
            </w:r>
            <w:r>
              <w:rPr>
                <w:rFonts w:ascii="Verdana" w:hAnsi="Verdana" w:cs="Arial"/>
                <w:szCs w:val="18"/>
              </w:rPr>
              <w:t>,</w:t>
            </w:r>
            <w:r w:rsidRPr="00FF14EA">
              <w:rPr>
                <w:rFonts w:ascii="Verdana" w:hAnsi="Verdana" w:cs="Arial"/>
                <w:szCs w:val="18"/>
              </w:rPr>
              <w:t>855</w:t>
            </w:r>
          </w:p>
        </w:tc>
      </w:tr>
      <w:tr w:rsidR="00FF14EA" w:rsidRPr="001A31D6" w14:paraId="651CEEB8" w14:textId="77777777" w:rsidTr="00303773">
        <w:tc>
          <w:tcPr>
            <w:tcW w:w="562" w:type="dxa"/>
          </w:tcPr>
          <w:p w14:paraId="1D9E1AEA" w14:textId="77777777" w:rsidR="00FF14EA" w:rsidRPr="001A31D6" w:rsidRDefault="00FF14EA" w:rsidP="00FF14EA">
            <w:pPr>
              <w:rPr>
                <w:rFonts w:ascii="Verdana" w:hAnsi="Verdana"/>
              </w:rPr>
            </w:pPr>
          </w:p>
        </w:tc>
        <w:tc>
          <w:tcPr>
            <w:tcW w:w="4536" w:type="dxa"/>
          </w:tcPr>
          <w:p w14:paraId="75FC8127" w14:textId="6750DEA2" w:rsidR="00FF14EA" w:rsidRPr="00FF14EA" w:rsidRDefault="00FF14EA" w:rsidP="00FF14EA">
            <w:pPr>
              <w:rPr>
                <w:rFonts w:ascii="Verdana" w:hAnsi="Verdana"/>
              </w:rPr>
            </w:pPr>
            <w:r w:rsidRPr="00FF14EA">
              <w:rPr>
                <w:rFonts w:ascii="Verdana" w:hAnsi="Verdana" w:cs="Arial"/>
                <w:szCs w:val="18"/>
              </w:rPr>
              <w:t>Pay rises</w:t>
            </w:r>
          </w:p>
        </w:tc>
        <w:tc>
          <w:tcPr>
            <w:tcW w:w="1276" w:type="dxa"/>
          </w:tcPr>
          <w:p w14:paraId="72F3A02A" w14:textId="2479E184" w:rsidR="00FF14EA" w:rsidRPr="00FF14EA" w:rsidRDefault="00FF14EA" w:rsidP="00FF14EA">
            <w:pPr>
              <w:jc w:val="right"/>
              <w:rPr>
                <w:rFonts w:ascii="Verdana" w:hAnsi="Verdana"/>
              </w:rPr>
            </w:pPr>
            <w:r w:rsidRPr="00FF14EA">
              <w:rPr>
                <w:rFonts w:ascii="Verdana" w:hAnsi="Verdana" w:cs="Arial"/>
                <w:szCs w:val="18"/>
              </w:rPr>
              <w:t>N/A</w:t>
            </w:r>
          </w:p>
        </w:tc>
        <w:tc>
          <w:tcPr>
            <w:tcW w:w="1418" w:type="dxa"/>
          </w:tcPr>
          <w:p w14:paraId="075453C9" w14:textId="72CD57AC" w:rsidR="00FF14EA" w:rsidRPr="00FF14EA" w:rsidRDefault="00FF14EA" w:rsidP="00FF14EA">
            <w:pPr>
              <w:jc w:val="right"/>
              <w:rPr>
                <w:rFonts w:ascii="Verdana" w:hAnsi="Verdana"/>
              </w:rPr>
            </w:pPr>
            <w:r w:rsidRPr="00FF14EA">
              <w:rPr>
                <w:rFonts w:ascii="Verdana" w:hAnsi="Verdana" w:cs="Arial"/>
                <w:szCs w:val="18"/>
              </w:rPr>
              <w:t>2.5%</w:t>
            </w:r>
          </w:p>
        </w:tc>
        <w:tc>
          <w:tcPr>
            <w:tcW w:w="1559" w:type="dxa"/>
          </w:tcPr>
          <w:p w14:paraId="491F087B" w14:textId="4AA94FB4" w:rsidR="00FF14EA" w:rsidRPr="00FF14EA" w:rsidRDefault="00FF14EA" w:rsidP="00FF14EA">
            <w:pPr>
              <w:jc w:val="right"/>
              <w:rPr>
                <w:rFonts w:ascii="Verdana" w:hAnsi="Verdana"/>
              </w:rPr>
            </w:pPr>
            <w:r w:rsidRPr="00FF14EA">
              <w:rPr>
                <w:rFonts w:ascii="Verdana" w:hAnsi="Verdana" w:cs="Arial"/>
                <w:szCs w:val="18"/>
              </w:rPr>
              <w:t>2.5%</w:t>
            </w:r>
          </w:p>
        </w:tc>
      </w:tr>
      <w:tr w:rsidR="00FF14EA" w:rsidRPr="001A31D6" w14:paraId="68CE4EC4" w14:textId="77777777" w:rsidTr="00303773">
        <w:tc>
          <w:tcPr>
            <w:tcW w:w="562" w:type="dxa"/>
          </w:tcPr>
          <w:p w14:paraId="21FEFBA3" w14:textId="77777777" w:rsidR="00FF14EA" w:rsidRPr="001A31D6" w:rsidRDefault="00FF14EA" w:rsidP="00FF14EA">
            <w:pPr>
              <w:rPr>
                <w:rFonts w:ascii="Verdana" w:hAnsi="Verdana"/>
              </w:rPr>
            </w:pPr>
          </w:p>
        </w:tc>
        <w:tc>
          <w:tcPr>
            <w:tcW w:w="4536" w:type="dxa"/>
          </w:tcPr>
          <w:p w14:paraId="4E085A2E" w14:textId="5C638DB9" w:rsidR="00FF14EA" w:rsidRPr="00FF14EA" w:rsidRDefault="00FF14EA" w:rsidP="00FF14EA">
            <w:pPr>
              <w:widowControl w:val="0"/>
              <w:adjustRightInd w:val="0"/>
              <w:textAlignment w:val="baseline"/>
              <w:rPr>
                <w:rFonts w:ascii="Verdana" w:hAnsi="Verdana" w:cs="Arial"/>
                <w:szCs w:val="18"/>
              </w:rPr>
            </w:pPr>
            <w:r w:rsidRPr="00FF14EA">
              <w:rPr>
                <w:rFonts w:ascii="Verdana" w:hAnsi="Verdana" w:cs="Arial"/>
                <w:szCs w:val="18"/>
              </w:rPr>
              <w:t>Non pay inflation</w:t>
            </w:r>
          </w:p>
        </w:tc>
        <w:tc>
          <w:tcPr>
            <w:tcW w:w="1276" w:type="dxa"/>
          </w:tcPr>
          <w:p w14:paraId="317878DE" w14:textId="7240CA2C" w:rsidR="00FF14EA" w:rsidRPr="00FF14EA" w:rsidRDefault="00FF14EA" w:rsidP="00FF14EA">
            <w:pPr>
              <w:jc w:val="right"/>
              <w:rPr>
                <w:rFonts w:ascii="Verdana" w:hAnsi="Verdana"/>
              </w:rPr>
            </w:pPr>
            <w:r w:rsidRPr="00FF14EA">
              <w:rPr>
                <w:rFonts w:ascii="Verdana" w:hAnsi="Verdana" w:cs="Arial"/>
                <w:szCs w:val="18"/>
              </w:rPr>
              <w:t>N/A</w:t>
            </w:r>
          </w:p>
        </w:tc>
        <w:tc>
          <w:tcPr>
            <w:tcW w:w="1418" w:type="dxa"/>
          </w:tcPr>
          <w:p w14:paraId="75C1B489" w14:textId="3A98DD44" w:rsidR="00FF14EA" w:rsidRPr="00FF14EA" w:rsidRDefault="00FF14EA" w:rsidP="00FF14EA">
            <w:pPr>
              <w:jc w:val="right"/>
              <w:rPr>
                <w:rFonts w:ascii="Verdana" w:hAnsi="Verdana"/>
              </w:rPr>
            </w:pPr>
            <w:r w:rsidRPr="00FF14EA">
              <w:rPr>
                <w:rFonts w:ascii="Verdana" w:hAnsi="Verdana" w:cs="Arial"/>
                <w:szCs w:val="18"/>
              </w:rPr>
              <w:t>2%</w:t>
            </w:r>
          </w:p>
        </w:tc>
        <w:tc>
          <w:tcPr>
            <w:tcW w:w="1559" w:type="dxa"/>
          </w:tcPr>
          <w:p w14:paraId="2337EE72" w14:textId="156D471B" w:rsidR="00FF14EA" w:rsidRPr="00FF14EA" w:rsidRDefault="00FF14EA" w:rsidP="00FF14EA">
            <w:pPr>
              <w:jc w:val="right"/>
              <w:rPr>
                <w:rFonts w:ascii="Verdana" w:hAnsi="Verdana"/>
              </w:rPr>
            </w:pPr>
            <w:r w:rsidRPr="00FF14EA">
              <w:rPr>
                <w:rFonts w:ascii="Verdana" w:hAnsi="Verdana" w:cs="Arial"/>
                <w:szCs w:val="18"/>
              </w:rPr>
              <w:t>2%</w:t>
            </w:r>
          </w:p>
        </w:tc>
      </w:tr>
      <w:tr w:rsidR="00FF14EA" w:rsidRPr="001A31D6" w14:paraId="1FE0749A" w14:textId="77777777" w:rsidTr="00303773">
        <w:tc>
          <w:tcPr>
            <w:tcW w:w="562" w:type="dxa"/>
          </w:tcPr>
          <w:p w14:paraId="4DB0B627" w14:textId="77777777" w:rsidR="00FF14EA" w:rsidRPr="001A31D6" w:rsidRDefault="00FF14EA" w:rsidP="00FF14EA">
            <w:pPr>
              <w:rPr>
                <w:rFonts w:ascii="Verdana" w:hAnsi="Verdana"/>
              </w:rPr>
            </w:pPr>
          </w:p>
        </w:tc>
        <w:tc>
          <w:tcPr>
            <w:tcW w:w="4536" w:type="dxa"/>
          </w:tcPr>
          <w:p w14:paraId="0F48E72A" w14:textId="1C4DA2A3" w:rsidR="00FF14EA" w:rsidRPr="00FF14EA" w:rsidRDefault="00FF14EA" w:rsidP="00FF14EA">
            <w:pPr>
              <w:rPr>
                <w:rFonts w:ascii="Verdana" w:hAnsi="Verdana"/>
              </w:rPr>
            </w:pPr>
            <w:r w:rsidRPr="00FF14EA">
              <w:rPr>
                <w:rFonts w:ascii="Verdana" w:hAnsi="Verdana" w:cs="Arial"/>
                <w:szCs w:val="18"/>
              </w:rPr>
              <w:t>Exam inflation</w:t>
            </w:r>
          </w:p>
        </w:tc>
        <w:tc>
          <w:tcPr>
            <w:tcW w:w="1276" w:type="dxa"/>
          </w:tcPr>
          <w:p w14:paraId="7AD8E66F" w14:textId="69651A29" w:rsidR="00FF14EA" w:rsidRPr="00FF14EA" w:rsidRDefault="00FF14EA" w:rsidP="00FF14EA">
            <w:pPr>
              <w:jc w:val="right"/>
              <w:rPr>
                <w:rFonts w:ascii="Verdana" w:hAnsi="Verdana"/>
              </w:rPr>
            </w:pPr>
            <w:r w:rsidRPr="00FF14EA">
              <w:rPr>
                <w:rFonts w:ascii="Verdana" w:hAnsi="Verdana" w:cs="Arial"/>
                <w:szCs w:val="18"/>
              </w:rPr>
              <w:t>N/A</w:t>
            </w:r>
          </w:p>
        </w:tc>
        <w:tc>
          <w:tcPr>
            <w:tcW w:w="1418" w:type="dxa"/>
          </w:tcPr>
          <w:p w14:paraId="6E0D28A8" w14:textId="66A973A7" w:rsidR="00FF14EA" w:rsidRPr="00FF14EA" w:rsidRDefault="00FF14EA" w:rsidP="00FF14EA">
            <w:pPr>
              <w:jc w:val="right"/>
              <w:rPr>
                <w:rFonts w:ascii="Verdana" w:hAnsi="Verdana"/>
              </w:rPr>
            </w:pPr>
            <w:r w:rsidRPr="00FF14EA">
              <w:rPr>
                <w:rFonts w:ascii="Verdana" w:hAnsi="Verdana" w:cs="Arial"/>
                <w:szCs w:val="18"/>
              </w:rPr>
              <w:t>3%</w:t>
            </w:r>
          </w:p>
        </w:tc>
        <w:tc>
          <w:tcPr>
            <w:tcW w:w="1559" w:type="dxa"/>
          </w:tcPr>
          <w:p w14:paraId="09DDAA73" w14:textId="0DC6C8EE" w:rsidR="00FF14EA" w:rsidRPr="00FF14EA" w:rsidRDefault="00FF14EA" w:rsidP="00FF14EA">
            <w:pPr>
              <w:jc w:val="right"/>
              <w:rPr>
                <w:rFonts w:ascii="Verdana" w:hAnsi="Verdana"/>
              </w:rPr>
            </w:pPr>
            <w:r w:rsidRPr="00FF14EA">
              <w:rPr>
                <w:rFonts w:ascii="Verdana" w:hAnsi="Verdana" w:cs="Arial"/>
                <w:szCs w:val="18"/>
              </w:rPr>
              <w:t>3%</w:t>
            </w:r>
          </w:p>
        </w:tc>
      </w:tr>
      <w:tr w:rsidR="00FF14EA" w:rsidRPr="001A31D6" w14:paraId="22C8A820" w14:textId="77777777" w:rsidTr="00303773">
        <w:tc>
          <w:tcPr>
            <w:tcW w:w="562" w:type="dxa"/>
          </w:tcPr>
          <w:p w14:paraId="00E5F278" w14:textId="77777777" w:rsidR="00FF14EA" w:rsidRPr="001A31D6" w:rsidRDefault="00FF14EA" w:rsidP="00FF14EA">
            <w:pPr>
              <w:rPr>
                <w:rFonts w:ascii="Verdana" w:hAnsi="Verdana"/>
              </w:rPr>
            </w:pPr>
          </w:p>
        </w:tc>
        <w:tc>
          <w:tcPr>
            <w:tcW w:w="4536" w:type="dxa"/>
          </w:tcPr>
          <w:p w14:paraId="109393C1" w14:textId="1E16FE39" w:rsidR="00FF14EA" w:rsidRPr="00FF14EA" w:rsidRDefault="00FF14EA" w:rsidP="00FF14EA">
            <w:pPr>
              <w:widowControl w:val="0"/>
              <w:adjustRightInd w:val="0"/>
              <w:textAlignment w:val="baseline"/>
              <w:rPr>
                <w:rFonts w:ascii="Verdana" w:hAnsi="Verdana" w:cs="Arial"/>
                <w:szCs w:val="18"/>
              </w:rPr>
            </w:pPr>
            <w:r w:rsidRPr="00FF14EA">
              <w:rPr>
                <w:rFonts w:ascii="Verdana" w:hAnsi="Verdana" w:cs="Arial"/>
                <w:szCs w:val="18"/>
              </w:rPr>
              <w:t>IT licence inflation</w:t>
            </w:r>
          </w:p>
        </w:tc>
        <w:tc>
          <w:tcPr>
            <w:tcW w:w="1276" w:type="dxa"/>
          </w:tcPr>
          <w:p w14:paraId="08980266" w14:textId="7323872D" w:rsidR="00FF14EA" w:rsidRPr="00FF14EA" w:rsidRDefault="00FF14EA" w:rsidP="00FF14EA">
            <w:pPr>
              <w:jc w:val="right"/>
              <w:rPr>
                <w:rFonts w:ascii="Verdana" w:hAnsi="Verdana" w:cs="Arial"/>
                <w:szCs w:val="18"/>
              </w:rPr>
            </w:pPr>
            <w:r w:rsidRPr="00FF14EA">
              <w:rPr>
                <w:rFonts w:ascii="Verdana" w:hAnsi="Verdana" w:cs="Arial"/>
                <w:szCs w:val="18"/>
              </w:rPr>
              <w:t>N/A</w:t>
            </w:r>
          </w:p>
        </w:tc>
        <w:tc>
          <w:tcPr>
            <w:tcW w:w="1418" w:type="dxa"/>
          </w:tcPr>
          <w:p w14:paraId="120A46B5" w14:textId="3505CB93" w:rsidR="00FF14EA" w:rsidRPr="00FF14EA" w:rsidRDefault="00FF14EA" w:rsidP="00FF14EA">
            <w:pPr>
              <w:jc w:val="right"/>
              <w:rPr>
                <w:rFonts w:ascii="Verdana" w:hAnsi="Verdana"/>
              </w:rPr>
            </w:pPr>
            <w:r w:rsidRPr="00FF14EA">
              <w:rPr>
                <w:rFonts w:ascii="Verdana" w:hAnsi="Verdana" w:cs="Arial"/>
                <w:szCs w:val="18"/>
              </w:rPr>
              <w:t>5%</w:t>
            </w:r>
          </w:p>
        </w:tc>
        <w:tc>
          <w:tcPr>
            <w:tcW w:w="1559" w:type="dxa"/>
          </w:tcPr>
          <w:p w14:paraId="2F474773" w14:textId="3A5F948E" w:rsidR="00FF14EA" w:rsidRPr="00FF14EA" w:rsidRDefault="00FF14EA" w:rsidP="00FF14EA">
            <w:pPr>
              <w:jc w:val="right"/>
              <w:rPr>
                <w:rFonts w:ascii="Verdana" w:hAnsi="Verdana"/>
              </w:rPr>
            </w:pPr>
            <w:r w:rsidRPr="00FF14EA">
              <w:rPr>
                <w:rFonts w:ascii="Verdana" w:hAnsi="Verdana" w:cs="Arial"/>
                <w:szCs w:val="18"/>
              </w:rPr>
              <w:t>5%</w:t>
            </w:r>
          </w:p>
        </w:tc>
      </w:tr>
    </w:tbl>
    <w:p w14:paraId="2D6D1315" w14:textId="4EAD80DC" w:rsidR="009B1794" w:rsidRDefault="009B1794" w:rsidP="00FF14EA">
      <w:pPr>
        <w:rPr>
          <w:rFonts w:ascii="Verdana" w:hAnsi="Verdana" w:cs="Arial"/>
        </w:rPr>
      </w:pPr>
    </w:p>
    <w:tbl>
      <w:tblPr>
        <w:tblW w:w="9351" w:type="dxa"/>
        <w:tblLook w:val="04A0" w:firstRow="1" w:lastRow="0" w:firstColumn="1" w:lastColumn="0" w:noHBand="0" w:noVBand="1"/>
      </w:tblPr>
      <w:tblGrid>
        <w:gridCol w:w="544"/>
        <w:gridCol w:w="8807"/>
      </w:tblGrid>
      <w:tr w:rsidR="009B1794" w:rsidRPr="00FF14EA" w14:paraId="5399A613" w14:textId="77777777" w:rsidTr="00303773">
        <w:tc>
          <w:tcPr>
            <w:tcW w:w="544" w:type="dxa"/>
          </w:tcPr>
          <w:p w14:paraId="739B6BFF" w14:textId="77777777" w:rsidR="009B1794" w:rsidRPr="00FF14EA" w:rsidRDefault="009B1794" w:rsidP="008100B2">
            <w:pPr>
              <w:rPr>
                <w:rFonts w:ascii="Verdana" w:hAnsi="Verdana"/>
                <w:b/>
                <w:color w:val="FF0000"/>
              </w:rPr>
            </w:pPr>
          </w:p>
        </w:tc>
        <w:tc>
          <w:tcPr>
            <w:tcW w:w="8807" w:type="dxa"/>
          </w:tcPr>
          <w:p w14:paraId="61995D35" w14:textId="6B1E93B4" w:rsidR="009B1794" w:rsidRPr="00FF14EA" w:rsidRDefault="009B1794" w:rsidP="008100B2">
            <w:pPr>
              <w:contextualSpacing/>
              <w:rPr>
                <w:rFonts w:ascii="Verdana" w:hAnsi="Verdana" w:cs="Arial"/>
              </w:rPr>
            </w:pPr>
            <w:r>
              <w:rPr>
                <w:rFonts w:ascii="Verdana" w:hAnsi="Verdana" w:cs="Arial"/>
              </w:rPr>
              <w:t>For 2021-22 the following has been assumed:</w:t>
            </w:r>
          </w:p>
        </w:tc>
      </w:tr>
    </w:tbl>
    <w:p w14:paraId="435E9F7F" w14:textId="77777777" w:rsidR="009B1794" w:rsidRDefault="009B1794" w:rsidP="00FF14EA">
      <w:pPr>
        <w:rPr>
          <w:rFonts w:ascii="Verdana" w:hAnsi="Verdana" w:cs="Arial"/>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429"/>
        <w:gridCol w:w="8355"/>
      </w:tblGrid>
      <w:tr w:rsidR="009B1794" w:rsidRPr="001E1E77" w14:paraId="4F5A3FBD" w14:textId="77777777" w:rsidTr="00303773">
        <w:tc>
          <w:tcPr>
            <w:tcW w:w="538" w:type="dxa"/>
          </w:tcPr>
          <w:p w14:paraId="255E12C9" w14:textId="77777777" w:rsidR="009B1794" w:rsidRPr="009654B8" w:rsidRDefault="009B1794" w:rsidP="008100B2">
            <w:pPr>
              <w:rPr>
                <w:rFonts w:ascii="Verdana" w:hAnsi="Verdana"/>
              </w:rPr>
            </w:pPr>
          </w:p>
        </w:tc>
        <w:tc>
          <w:tcPr>
            <w:tcW w:w="429" w:type="dxa"/>
          </w:tcPr>
          <w:p w14:paraId="25037932" w14:textId="77777777" w:rsidR="009B1794" w:rsidRPr="009654B8" w:rsidRDefault="009B1794" w:rsidP="008100B2">
            <w:pPr>
              <w:rPr>
                <w:rFonts w:ascii="Verdana" w:hAnsi="Verdana"/>
                <w:b/>
              </w:rPr>
            </w:pPr>
            <w:r w:rsidRPr="009654B8">
              <w:rPr>
                <w:rFonts w:ascii="Verdana" w:hAnsi="Verdana"/>
                <w:b/>
              </w:rPr>
              <w:t>.</w:t>
            </w:r>
          </w:p>
        </w:tc>
        <w:tc>
          <w:tcPr>
            <w:tcW w:w="8355" w:type="dxa"/>
          </w:tcPr>
          <w:p w14:paraId="04AFFF8E" w14:textId="35DA6595" w:rsidR="009B1794" w:rsidRPr="009654B8" w:rsidRDefault="009B1794" w:rsidP="008100B2">
            <w:pPr>
              <w:rPr>
                <w:rFonts w:ascii="Verdana" w:hAnsi="Verdana" w:cs="Arial"/>
              </w:rPr>
            </w:pPr>
            <w:r w:rsidRPr="009654B8">
              <w:rPr>
                <w:rFonts w:ascii="Verdana" w:hAnsi="Verdana" w:cs="Arial"/>
              </w:rPr>
              <w:t xml:space="preserve">ESFA mainstream income grows by £700,000 mostly </w:t>
            </w:r>
            <w:r w:rsidR="00E86BE7">
              <w:rPr>
                <w:rFonts w:ascii="Verdana" w:hAnsi="Verdana" w:cs="Arial"/>
              </w:rPr>
              <w:t>because of</w:t>
            </w:r>
            <w:r w:rsidRPr="009654B8">
              <w:rPr>
                <w:rFonts w:ascii="Verdana" w:hAnsi="Verdana" w:cs="Arial"/>
              </w:rPr>
              <w:t xml:space="preserve"> the rise in student numbers in the previous year, plus a 1% rise in the funding rate;</w:t>
            </w:r>
          </w:p>
          <w:p w14:paraId="59DB5BB6" w14:textId="2E120754" w:rsidR="009B1794" w:rsidRPr="009654B8" w:rsidRDefault="009B1794" w:rsidP="008100B2">
            <w:pPr>
              <w:rPr>
                <w:rFonts w:ascii="Verdana" w:hAnsi="Verdana" w:cs="Arial"/>
              </w:rPr>
            </w:pPr>
          </w:p>
        </w:tc>
      </w:tr>
      <w:tr w:rsidR="009B1794" w:rsidRPr="001E1E77" w14:paraId="0755E4DE" w14:textId="77777777" w:rsidTr="00303773">
        <w:tc>
          <w:tcPr>
            <w:tcW w:w="538" w:type="dxa"/>
          </w:tcPr>
          <w:p w14:paraId="544C21B5" w14:textId="77777777" w:rsidR="009B1794" w:rsidRPr="009654B8" w:rsidRDefault="009B1794" w:rsidP="008100B2">
            <w:pPr>
              <w:rPr>
                <w:rFonts w:ascii="Verdana" w:hAnsi="Verdana"/>
              </w:rPr>
            </w:pPr>
          </w:p>
        </w:tc>
        <w:tc>
          <w:tcPr>
            <w:tcW w:w="429" w:type="dxa"/>
          </w:tcPr>
          <w:p w14:paraId="07B5F3C0" w14:textId="77777777" w:rsidR="009B1794" w:rsidRPr="009654B8" w:rsidRDefault="009B1794" w:rsidP="008100B2">
            <w:pPr>
              <w:rPr>
                <w:rFonts w:ascii="Verdana" w:hAnsi="Verdana"/>
                <w:b/>
              </w:rPr>
            </w:pPr>
            <w:r w:rsidRPr="009654B8">
              <w:rPr>
                <w:rFonts w:ascii="Verdana" w:hAnsi="Verdana"/>
                <w:b/>
              </w:rPr>
              <w:t>.</w:t>
            </w:r>
          </w:p>
        </w:tc>
        <w:tc>
          <w:tcPr>
            <w:tcW w:w="8355" w:type="dxa"/>
          </w:tcPr>
          <w:p w14:paraId="0B0AE16C" w14:textId="77777777" w:rsidR="009B1794" w:rsidRPr="009654B8" w:rsidRDefault="009B1794" w:rsidP="008100B2">
            <w:pPr>
              <w:rPr>
                <w:rFonts w:ascii="Verdana" w:hAnsi="Verdana" w:cs="Arial"/>
              </w:rPr>
            </w:pPr>
            <w:r w:rsidRPr="009654B8">
              <w:rPr>
                <w:rFonts w:ascii="Verdana" w:hAnsi="Verdana" w:cs="Arial"/>
              </w:rPr>
              <w:t>the Teachers’ Pension Grant continues to be paid;</w:t>
            </w:r>
          </w:p>
          <w:p w14:paraId="4FB5AA5F" w14:textId="060F10F9" w:rsidR="009B1794" w:rsidRPr="009654B8" w:rsidRDefault="009B1794" w:rsidP="008100B2">
            <w:pPr>
              <w:rPr>
                <w:rFonts w:ascii="Verdana" w:hAnsi="Verdana" w:cs="Arial"/>
              </w:rPr>
            </w:pPr>
          </w:p>
        </w:tc>
      </w:tr>
      <w:tr w:rsidR="009B1794" w:rsidRPr="001E1E77" w14:paraId="5498FDB3" w14:textId="77777777" w:rsidTr="00303773">
        <w:tc>
          <w:tcPr>
            <w:tcW w:w="538" w:type="dxa"/>
          </w:tcPr>
          <w:p w14:paraId="0539D0C6" w14:textId="77777777" w:rsidR="009B1794" w:rsidRPr="009654B8" w:rsidRDefault="009B1794" w:rsidP="008100B2">
            <w:pPr>
              <w:rPr>
                <w:rFonts w:ascii="Verdana" w:hAnsi="Verdana"/>
              </w:rPr>
            </w:pPr>
          </w:p>
        </w:tc>
        <w:tc>
          <w:tcPr>
            <w:tcW w:w="429" w:type="dxa"/>
          </w:tcPr>
          <w:p w14:paraId="160AF148" w14:textId="77777777" w:rsidR="009B1794" w:rsidRPr="009654B8" w:rsidRDefault="009B1794" w:rsidP="008100B2">
            <w:pPr>
              <w:rPr>
                <w:rFonts w:ascii="Verdana" w:hAnsi="Verdana"/>
                <w:b/>
              </w:rPr>
            </w:pPr>
            <w:r w:rsidRPr="009654B8">
              <w:rPr>
                <w:rFonts w:ascii="Verdana" w:hAnsi="Verdana"/>
                <w:b/>
              </w:rPr>
              <w:t>.</w:t>
            </w:r>
          </w:p>
        </w:tc>
        <w:tc>
          <w:tcPr>
            <w:tcW w:w="8355" w:type="dxa"/>
          </w:tcPr>
          <w:p w14:paraId="369B7BC4" w14:textId="5765B0C1" w:rsidR="009B1794" w:rsidRPr="009654B8" w:rsidRDefault="009B1794" w:rsidP="009B1794">
            <w:pPr>
              <w:rPr>
                <w:rFonts w:ascii="Verdana" w:hAnsi="Verdana" w:cs="Arial"/>
              </w:rPr>
            </w:pPr>
            <w:r w:rsidRPr="009654B8">
              <w:rPr>
                <w:rFonts w:ascii="Verdana" w:hAnsi="Verdana" w:cs="Arial"/>
              </w:rPr>
              <w:t>capacity and delivery funds for T levels fall by 50%;</w:t>
            </w:r>
          </w:p>
          <w:p w14:paraId="22A2A4CC" w14:textId="77777777" w:rsidR="009B1794" w:rsidRPr="009654B8" w:rsidRDefault="009B1794" w:rsidP="008100B2">
            <w:pPr>
              <w:rPr>
                <w:rFonts w:ascii="Verdana" w:hAnsi="Verdana" w:cs="Arial"/>
              </w:rPr>
            </w:pPr>
          </w:p>
        </w:tc>
      </w:tr>
      <w:tr w:rsidR="009B1794" w:rsidRPr="001E1E77" w14:paraId="392B4598" w14:textId="77777777" w:rsidTr="00303773">
        <w:tc>
          <w:tcPr>
            <w:tcW w:w="538" w:type="dxa"/>
          </w:tcPr>
          <w:p w14:paraId="0C49A2D5" w14:textId="77777777" w:rsidR="009B1794" w:rsidRPr="009654B8" w:rsidRDefault="009B1794" w:rsidP="008100B2">
            <w:pPr>
              <w:rPr>
                <w:rFonts w:ascii="Verdana" w:hAnsi="Verdana"/>
              </w:rPr>
            </w:pPr>
          </w:p>
        </w:tc>
        <w:tc>
          <w:tcPr>
            <w:tcW w:w="429" w:type="dxa"/>
          </w:tcPr>
          <w:p w14:paraId="7FF880F1" w14:textId="77777777" w:rsidR="009B1794" w:rsidRPr="009654B8" w:rsidRDefault="009B1794" w:rsidP="008100B2">
            <w:pPr>
              <w:rPr>
                <w:rFonts w:ascii="Verdana" w:hAnsi="Verdana"/>
                <w:b/>
              </w:rPr>
            </w:pPr>
            <w:r w:rsidRPr="009654B8">
              <w:rPr>
                <w:rFonts w:ascii="Verdana" w:hAnsi="Verdana"/>
                <w:b/>
              </w:rPr>
              <w:t>.</w:t>
            </w:r>
          </w:p>
        </w:tc>
        <w:tc>
          <w:tcPr>
            <w:tcW w:w="8355" w:type="dxa"/>
          </w:tcPr>
          <w:p w14:paraId="7C354E8F" w14:textId="219BFBD5" w:rsidR="009B1794" w:rsidRPr="009654B8" w:rsidRDefault="009B1794" w:rsidP="009B1794">
            <w:pPr>
              <w:rPr>
                <w:rFonts w:ascii="Verdana" w:hAnsi="Verdana" w:cs="Arial"/>
              </w:rPr>
            </w:pPr>
            <w:r w:rsidRPr="009654B8">
              <w:rPr>
                <w:rFonts w:ascii="Verdana" w:hAnsi="Verdana" w:cs="Arial"/>
              </w:rPr>
              <w:t xml:space="preserve">other income streams continue at the same levels as forecast in 2020-21, though these represent a small proportion of the funding </w:t>
            </w:r>
            <w:r w:rsidR="00E86BE7">
              <w:rPr>
                <w:rFonts w:ascii="Verdana" w:hAnsi="Verdana" w:cs="Arial"/>
              </w:rPr>
              <w:t>and</w:t>
            </w:r>
            <w:r w:rsidRPr="009654B8">
              <w:rPr>
                <w:rFonts w:ascii="Verdana" w:hAnsi="Verdana" w:cs="Arial"/>
              </w:rPr>
              <w:t xml:space="preserve"> will have </w:t>
            </w:r>
            <w:r w:rsidR="00E86BE7">
              <w:rPr>
                <w:rFonts w:ascii="Verdana" w:hAnsi="Verdana" w:cs="Arial"/>
              </w:rPr>
              <w:t xml:space="preserve">only </w:t>
            </w:r>
            <w:r w:rsidRPr="009654B8">
              <w:rPr>
                <w:rFonts w:ascii="Verdana" w:hAnsi="Verdana" w:cs="Arial"/>
              </w:rPr>
              <w:t>a minor effect on the budget;</w:t>
            </w:r>
          </w:p>
          <w:p w14:paraId="393ECC2A" w14:textId="77777777" w:rsidR="009B1794" w:rsidRPr="009654B8" w:rsidRDefault="009B1794" w:rsidP="008100B2">
            <w:pPr>
              <w:rPr>
                <w:rFonts w:ascii="Verdana" w:hAnsi="Verdana" w:cs="Arial"/>
              </w:rPr>
            </w:pPr>
          </w:p>
        </w:tc>
      </w:tr>
      <w:tr w:rsidR="009B1794" w:rsidRPr="001E1E77" w14:paraId="4927FD3F" w14:textId="77777777" w:rsidTr="00303773">
        <w:tc>
          <w:tcPr>
            <w:tcW w:w="538" w:type="dxa"/>
          </w:tcPr>
          <w:p w14:paraId="4C19A5FE" w14:textId="77777777" w:rsidR="009B1794" w:rsidRPr="009654B8" w:rsidRDefault="009B1794" w:rsidP="008100B2">
            <w:pPr>
              <w:rPr>
                <w:rFonts w:ascii="Verdana" w:hAnsi="Verdana"/>
              </w:rPr>
            </w:pPr>
          </w:p>
        </w:tc>
        <w:tc>
          <w:tcPr>
            <w:tcW w:w="429" w:type="dxa"/>
          </w:tcPr>
          <w:p w14:paraId="0F01EFF2" w14:textId="77777777" w:rsidR="009B1794" w:rsidRPr="009654B8" w:rsidRDefault="009B1794" w:rsidP="008100B2">
            <w:pPr>
              <w:rPr>
                <w:rFonts w:ascii="Verdana" w:hAnsi="Verdana"/>
                <w:b/>
              </w:rPr>
            </w:pPr>
            <w:r w:rsidRPr="009654B8">
              <w:rPr>
                <w:rFonts w:ascii="Verdana" w:hAnsi="Verdana"/>
                <w:b/>
              </w:rPr>
              <w:t>.</w:t>
            </w:r>
          </w:p>
        </w:tc>
        <w:tc>
          <w:tcPr>
            <w:tcW w:w="8355" w:type="dxa"/>
          </w:tcPr>
          <w:p w14:paraId="6FCCF319" w14:textId="6D4A3D73" w:rsidR="009B1794" w:rsidRPr="009654B8" w:rsidRDefault="009B1794" w:rsidP="008100B2">
            <w:pPr>
              <w:rPr>
                <w:rFonts w:ascii="Verdana" w:hAnsi="Verdana" w:cs="Arial"/>
              </w:rPr>
            </w:pPr>
            <w:r w:rsidRPr="009654B8">
              <w:rPr>
                <w:rFonts w:ascii="Verdana" w:hAnsi="Verdana" w:cs="Arial"/>
              </w:rPr>
              <w:t>pay rises are 2.5% for all staff, as in 2020</w:t>
            </w:r>
            <w:r w:rsidR="00E86BE7">
              <w:rPr>
                <w:rFonts w:ascii="Verdana" w:hAnsi="Verdana" w:cs="Arial"/>
              </w:rPr>
              <w:t>-</w:t>
            </w:r>
            <w:r w:rsidRPr="009654B8">
              <w:rPr>
                <w:rFonts w:ascii="Verdana" w:hAnsi="Verdana" w:cs="Arial"/>
              </w:rPr>
              <w:t>21;</w:t>
            </w:r>
          </w:p>
          <w:p w14:paraId="585ED541" w14:textId="73DFE7CF" w:rsidR="009B1794" w:rsidRPr="009654B8" w:rsidRDefault="009B1794" w:rsidP="008100B2">
            <w:pPr>
              <w:rPr>
                <w:rFonts w:ascii="Verdana" w:hAnsi="Verdana" w:cs="Arial"/>
              </w:rPr>
            </w:pPr>
          </w:p>
        </w:tc>
      </w:tr>
      <w:tr w:rsidR="009B1794" w:rsidRPr="001E1E77" w14:paraId="36656D0A" w14:textId="77777777" w:rsidTr="00303773">
        <w:tc>
          <w:tcPr>
            <w:tcW w:w="538" w:type="dxa"/>
          </w:tcPr>
          <w:p w14:paraId="23EF072B" w14:textId="77777777" w:rsidR="009B1794" w:rsidRPr="009654B8" w:rsidRDefault="009B1794" w:rsidP="008100B2">
            <w:pPr>
              <w:rPr>
                <w:rFonts w:ascii="Verdana" w:hAnsi="Verdana"/>
              </w:rPr>
            </w:pPr>
          </w:p>
        </w:tc>
        <w:tc>
          <w:tcPr>
            <w:tcW w:w="429" w:type="dxa"/>
          </w:tcPr>
          <w:p w14:paraId="23F2B8A4" w14:textId="61B00E53" w:rsidR="009B1794" w:rsidRPr="009654B8" w:rsidRDefault="009B1794" w:rsidP="008100B2">
            <w:pPr>
              <w:rPr>
                <w:rFonts w:ascii="Verdana" w:hAnsi="Verdana"/>
                <w:b/>
              </w:rPr>
            </w:pPr>
            <w:r w:rsidRPr="009654B8">
              <w:rPr>
                <w:rFonts w:ascii="Verdana" w:hAnsi="Verdana"/>
                <w:b/>
              </w:rPr>
              <w:t>.</w:t>
            </w:r>
          </w:p>
        </w:tc>
        <w:tc>
          <w:tcPr>
            <w:tcW w:w="8355" w:type="dxa"/>
          </w:tcPr>
          <w:p w14:paraId="7B1FF712" w14:textId="1F8A11BF" w:rsidR="009B1794" w:rsidRPr="009654B8" w:rsidRDefault="009B1794" w:rsidP="008100B2">
            <w:pPr>
              <w:rPr>
                <w:rFonts w:ascii="Verdana" w:hAnsi="Verdana" w:cs="Arial"/>
              </w:rPr>
            </w:pPr>
            <w:r w:rsidRPr="009654B8">
              <w:rPr>
                <w:rFonts w:ascii="Verdana" w:hAnsi="Verdana" w:cs="Arial"/>
              </w:rPr>
              <w:t>non-pay inflation is as</w:t>
            </w:r>
            <w:r w:rsidR="00E86BE7">
              <w:rPr>
                <w:rFonts w:ascii="Verdana" w:hAnsi="Verdana" w:cs="Arial"/>
              </w:rPr>
              <w:t xml:space="preserve"> projected</w:t>
            </w:r>
            <w:r w:rsidRPr="009654B8">
              <w:rPr>
                <w:rFonts w:ascii="Verdana" w:hAnsi="Verdana" w:cs="Arial"/>
              </w:rPr>
              <w:t xml:space="preserve"> in the above table (advised by the Association of Colleges);</w:t>
            </w:r>
          </w:p>
          <w:p w14:paraId="31A23203" w14:textId="5BB2F2F8" w:rsidR="009B1794" w:rsidRPr="009654B8" w:rsidRDefault="009B1794" w:rsidP="008100B2">
            <w:pPr>
              <w:rPr>
                <w:rFonts w:ascii="Verdana" w:hAnsi="Verdana" w:cs="Arial"/>
              </w:rPr>
            </w:pPr>
          </w:p>
        </w:tc>
      </w:tr>
      <w:tr w:rsidR="009B1794" w:rsidRPr="001E1E77" w14:paraId="15D7FC3E" w14:textId="77777777" w:rsidTr="00303773">
        <w:tc>
          <w:tcPr>
            <w:tcW w:w="538" w:type="dxa"/>
          </w:tcPr>
          <w:p w14:paraId="6C14EB34" w14:textId="77777777" w:rsidR="009B1794" w:rsidRPr="009654B8" w:rsidRDefault="009B1794" w:rsidP="008100B2">
            <w:pPr>
              <w:rPr>
                <w:rFonts w:ascii="Verdana" w:hAnsi="Verdana"/>
              </w:rPr>
            </w:pPr>
          </w:p>
        </w:tc>
        <w:tc>
          <w:tcPr>
            <w:tcW w:w="429" w:type="dxa"/>
          </w:tcPr>
          <w:p w14:paraId="79900A2C" w14:textId="3A226D41" w:rsidR="009B1794" w:rsidRPr="009654B8" w:rsidRDefault="009B1794" w:rsidP="008100B2">
            <w:pPr>
              <w:rPr>
                <w:rFonts w:ascii="Verdana" w:hAnsi="Verdana"/>
                <w:b/>
              </w:rPr>
            </w:pPr>
            <w:r w:rsidRPr="009654B8">
              <w:rPr>
                <w:rFonts w:ascii="Verdana" w:hAnsi="Verdana"/>
                <w:b/>
              </w:rPr>
              <w:t>.</w:t>
            </w:r>
          </w:p>
        </w:tc>
        <w:tc>
          <w:tcPr>
            <w:tcW w:w="8355" w:type="dxa"/>
          </w:tcPr>
          <w:p w14:paraId="052130DE" w14:textId="77777777" w:rsidR="009B1794" w:rsidRPr="009654B8" w:rsidRDefault="009B1794" w:rsidP="008100B2">
            <w:pPr>
              <w:rPr>
                <w:rFonts w:ascii="Verdana" w:hAnsi="Verdana" w:cs="Arial"/>
              </w:rPr>
            </w:pPr>
            <w:r w:rsidRPr="009654B8">
              <w:rPr>
                <w:rFonts w:ascii="Verdana" w:hAnsi="Verdana" w:cs="Arial"/>
              </w:rPr>
              <w:t>employer national insurance contributions are unchanged;</w:t>
            </w:r>
          </w:p>
          <w:p w14:paraId="25E3238F" w14:textId="2A5E77A8" w:rsidR="009B1794" w:rsidRPr="009654B8" w:rsidRDefault="009B1794" w:rsidP="008100B2">
            <w:pPr>
              <w:rPr>
                <w:rFonts w:ascii="Verdana" w:hAnsi="Verdana" w:cs="Arial"/>
              </w:rPr>
            </w:pPr>
          </w:p>
        </w:tc>
      </w:tr>
      <w:tr w:rsidR="009B1794" w:rsidRPr="001E1E77" w14:paraId="2A11FD11" w14:textId="77777777" w:rsidTr="00303773">
        <w:tc>
          <w:tcPr>
            <w:tcW w:w="538" w:type="dxa"/>
          </w:tcPr>
          <w:p w14:paraId="19F4A174" w14:textId="77777777" w:rsidR="009B1794" w:rsidRPr="009654B8" w:rsidRDefault="009B1794" w:rsidP="008100B2">
            <w:pPr>
              <w:rPr>
                <w:rFonts w:ascii="Verdana" w:hAnsi="Verdana"/>
              </w:rPr>
            </w:pPr>
          </w:p>
        </w:tc>
        <w:tc>
          <w:tcPr>
            <w:tcW w:w="429" w:type="dxa"/>
          </w:tcPr>
          <w:p w14:paraId="58E2AB31" w14:textId="55C62E0E" w:rsidR="009B1794" w:rsidRPr="009654B8" w:rsidRDefault="009B1794" w:rsidP="008100B2">
            <w:pPr>
              <w:rPr>
                <w:rFonts w:ascii="Verdana" w:hAnsi="Verdana"/>
                <w:b/>
              </w:rPr>
            </w:pPr>
            <w:r w:rsidRPr="009654B8">
              <w:rPr>
                <w:rFonts w:ascii="Verdana" w:hAnsi="Verdana"/>
                <w:b/>
              </w:rPr>
              <w:t>.</w:t>
            </w:r>
          </w:p>
        </w:tc>
        <w:tc>
          <w:tcPr>
            <w:tcW w:w="8355" w:type="dxa"/>
          </w:tcPr>
          <w:p w14:paraId="4C42426B" w14:textId="306DB34D" w:rsidR="009B1794" w:rsidRPr="009654B8" w:rsidRDefault="009B1794" w:rsidP="008100B2">
            <w:pPr>
              <w:rPr>
                <w:rFonts w:ascii="Verdana" w:hAnsi="Verdana" w:cs="Arial"/>
                <w:i/>
                <w:iCs/>
              </w:rPr>
            </w:pPr>
            <w:r w:rsidRPr="009654B8">
              <w:rPr>
                <w:rFonts w:ascii="Verdana" w:hAnsi="Verdana" w:cs="Arial"/>
              </w:rPr>
              <w:t>the significant rise in income funds the pay rise, incremental increases and a significant rise in the budget for IT equipment and College refurbishment;</w:t>
            </w:r>
            <w:r w:rsidR="009654B8" w:rsidRPr="009654B8">
              <w:rPr>
                <w:rFonts w:ascii="Verdana" w:hAnsi="Verdana" w:cs="Arial"/>
              </w:rPr>
              <w:t xml:space="preserve"> </w:t>
            </w:r>
            <w:r w:rsidR="009654B8" w:rsidRPr="009654B8">
              <w:rPr>
                <w:rFonts w:ascii="Verdana" w:hAnsi="Verdana" w:cs="Arial"/>
                <w:i/>
                <w:iCs/>
              </w:rPr>
              <w:t>and</w:t>
            </w:r>
          </w:p>
          <w:p w14:paraId="0ACE5EA8" w14:textId="3299AB02" w:rsidR="009B1794" w:rsidRPr="009654B8" w:rsidRDefault="009B1794" w:rsidP="008100B2">
            <w:pPr>
              <w:rPr>
                <w:rFonts w:ascii="Verdana" w:hAnsi="Verdana" w:cs="Arial"/>
              </w:rPr>
            </w:pPr>
          </w:p>
        </w:tc>
      </w:tr>
      <w:tr w:rsidR="009B1794" w:rsidRPr="001E1E77" w14:paraId="37BFEC57" w14:textId="77777777" w:rsidTr="00303773">
        <w:tc>
          <w:tcPr>
            <w:tcW w:w="538" w:type="dxa"/>
          </w:tcPr>
          <w:p w14:paraId="0F264B32" w14:textId="77777777" w:rsidR="009B1794" w:rsidRPr="009654B8" w:rsidRDefault="009B1794" w:rsidP="008100B2">
            <w:pPr>
              <w:rPr>
                <w:rFonts w:ascii="Verdana" w:hAnsi="Verdana"/>
              </w:rPr>
            </w:pPr>
          </w:p>
        </w:tc>
        <w:tc>
          <w:tcPr>
            <w:tcW w:w="429" w:type="dxa"/>
          </w:tcPr>
          <w:p w14:paraId="4B1F84B8" w14:textId="2EE1A7F4" w:rsidR="009B1794" w:rsidRPr="009654B8" w:rsidRDefault="009B1794" w:rsidP="008100B2">
            <w:pPr>
              <w:rPr>
                <w:rFonts w:ascii="Verdana" w:hAnsi="Verdana"/>
                <w:b/>
              </w:rPr>
            </w:pPr>
            <w:r w:rsidRPr="009654B8">
              <w:rPr>
                <w:rFonts w:ascii="Verdana" w:hAnsi="Verdana"/>
                <w:b/>
              </w:rPr>
              <w:t>.</w:t>
            </w:r>
          </w:p>
        </w:tc>
        <w:tc>
          <w:tcPr>
            <w:tcW w:w="8355" w:type="dxa"/>
          </w:tcPr>
          <w:p w14:paraId="13337298" w14:textId="3B1D2D9F" w:rsidR="009B1794" w:rsidRPr="009654B8" w:rsidRDefault="009B1794" w:rsidP="008100B2">
            <w:pPr>
              <w:rPr>
                <w:rFonts w:ascii="Verdana" w:hAnsi="Verdana" w:cs="Arial"/>
              </w:rPr>
            </w:pPr>
            <w:r w:rsidRPr="009654B8">
              <w:rPr>
                <w:rFonts w:ascii="Verdana" w:hAnsi="Verdana" w:cs="Arial"/>
              </w:rPr>
              <w:t>capital expenditure is forecast at £200,000 for the year</w:t>
            </w:r>
            <w:r w:rsidR="002276CA">
              <w:rPr>
                <w:rFonts w:ascii="Verdana" w:hAnsi="Verdana" w:cs="Arial"/>
              </w:rPr>
              <w:t>.</w:t>
            </w:r>
          </w:p>
        </w:tc>
      </w:tr>
    </w:tbl>
    <w:p w14:paraId="1A62A0ED" w14:textId="77777777" w:rsidR="004E0ABD" w:rsidRPr="00FF14EA" w:rsidRDefault="004E0ABD" w:rsidP="00FF14EA">
      <w:pPr>
        <w:rPr>
          <w:rFonts w:ascii="Verdana" w:hAnsi="Verdana" w:cs="Arial"/>
        </w:rPr>
      </w:pPr>
    </w:p>
    <w:tbl>
      <w:tblPr>
        <w:tblW w:w="9351" w:type="dxa"/>
        <w:tblLook w:val="04A0" w:firstRow="1" w:lastRow="0" w:firstColumn="1" w:lastColumn="0" w:noHBand="0" w:noVBand="1"/>
      </w:tblPr>
      <w:tblGrid>
        <w:gridCol w:w="544"/>
        <w:gridCol w:w="8807"/>
      </w:tblGrid>
      <w:tr w:rsidR="009654B8" w:rsidRPr="00FF14EA" w14:paraId="2ACBBC02" w14:textId="77777777" w:rsidTr="00303773">
        <w:tc>
          <w:tcPr>
            <w:tcW w:w="544" w:type="dxa"/>
          </w:tcPr>
          <w:p w14:paraId="0D20DE76" w14:textId="77777777" w:rsidR="009654B8" w:rsidRPr="00FF14EA" w:rsidRDefault="009654B8" w:rsidP="008100B2">
            <w:pPr>
              <w:rPr>
                <w:rFonts w:ascii="Verdana" w:hAnsi="Verdana"/>
                <w:b/>
                <w:color w:val="FF0000"/>
              </w:rPr>
            </w:pPr>
          </w:p>
        </w:tc>
        <w:tc>
          <w:tcPr>
            <w:tcW w:w="8807" w:type="dxa"/>
          </w:tcPr>
          <w:p w14:paraId="4102FDB4" w14:textId="5356617E" w:rsidR="009654B8" w:rsidRPr="00FF14EA" w:rsidRDefault="009654B8" w:rsidP="008100B2">
            <w:pPr>
              <w:contextualSpacing/>
              <w:rPr>
                <w:rFonts w:ascii="Verdana" w:hAnsi="Verdana" w:cs="Arial"/>
              </w:rPr>
            </w:pPr>
            <w:r>
              <w:rPr>
                <w:rFonts w:ascii="Verdana" w:hAnsi="Verdana" w:cs="Arial"/>
              </w:rPr>
              <w:t>In relation to the above assumptions it was noted that:</w:t>
            </w:r>
          </w:p>
        </w:tc>
      </w:tr>
    </w:tbl>
    <w:p w14:paraId="14BEF630" w14:textId="7CF7550B" w:rsidR="008D7D88" w:rsidRDefault="008D7D88" w:rsidP="004F4C55"/>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429"/>
        <w:gridCol w:w="8355"/>
      </w:tblGrid>
      <w:tr w:rsidR="009654B8" w:rsidRPr="009C7232" w14:paraId="3BFBFA4D" w14:textId="77777777" w:rsidTr="00303773">
        <w:tc>
          <w:tcPr>
            <w:tcW w:w="538" w:type="dxa"/>
          </w:tcPr>
          <w:p w14:paraId="5D18E645" w14:textId="77777777" w:rsidR="009654B8" w:rsidRPr="009C7232" w:rsidRDefault="009654B8" w:rsidP="008100B2">
            <w:pPr>
              <w:rPr>
                <w:rFonts w:ascii="Verdana" w:hAnsi="Verdana"/>
              </w:rPr>
            </w:pPr>
          </w:p>
        </w:tc>
        <w:tc>
          <w:tcPr>
            <w:tcW w:w="429" w:type="dxa"/>
          </w:tcPr>
          <w:p w14:paraId="1F46CC3F" w14:textId="77777777" w:rsidR="009654B8" w:rsidRPr="009C7232" w:rsidRDefault="009654B8" w:rsidP="008100B2">
            <w:pPr>
              <w:rPr>
                <w:rFonts w:ascii="Verdana" w:hAnsi="Verdana"/>
                <w:b/>
              </w:rPr>
            </w:pPr>
            <w:r w:rsidRPr="009C7232">
              <w:rPr>
                <w:rFonts w:ascii="Verdana" w:hAnsi="Verdana"/>
                <w:b/>
              </w:rPr>
              <w:t>.</w:t>
            </w:r>
          </w:p>
        </w:tc>
        <w:tc>
          <w:tcPr>
            <w:tcW w:w="8355" w:type="dxa"/>
          </w:tcPr>
          <w:p w14:paraId="7304F771" w14:textId="77777777" w:rsidR="009654B8" w:rsidRPr="009C7232" w:rsidRDefault="009654B8" w:rsidP="008100B2">
            <w:pPr>
              <w:rPr>
                <w:rFonts w:ascii="Verdana" w:hAnsi="Verdana" w:cs="Arial"/>
              </w:rPr>
            </w:pPr>
            <w:r w:rsidRPr="009C7232">
              <w:rPr>
                <w:rFonts w:ascii="Verdana" w:hAnsi="Verdana" w:cs="Arial"/>
              </w:rPr>
              <w:t>the funded student numbers of 1,820 generate significantly extra funding in 2021-22, with the only additional pay cost being for one extra teacher – the rise in student numbers from 1,820 to 1,855 is not anticipated, at this time, to require additional staffing beyond that required in 2020-21;</w:t>
            </w:r>
          </w:p>
          <w:p w14:paraId="435F5991" w14:textId="322FE8DB" w:rsidR="009654B8" w:rsidRPr="009C7232" w:rsidRDefault="009654B8" w:rsidP="008100B2">
            <w:pPr>
              <w:rPr>
                <w:rFonts w:ascii="Verdana" w:hAnsi="Verdana" w:cs="Arial"/>
              </w:rPr>
            </w:pPr>
          </w:p>
        </w:tc>
      </w:tr>
      <w:tr w:rsidR="009654B8" w:rsidRPr="009C7232" w14:paraId="7A429F3F" w14:textId="77777777" w:rsidTr="00303773">
        <w:tc>
          <w:tcPr>
            <w:tcW w:w="538" w:type="dxa"/>
          </w:tcPr>
          <w:p w14:paraId="4CBE21A8" w14:textId="77777777" w:rsidR="009654B8" w:rsidRPr="009C7232" w:rsidRDefault="009654B8" w:rsidP="008100B2">
            <w:pPr>
              <w:rPr>
                <w:rFonts w:ascii="Verdana" w:hAnsi="Verdana"/>
              </w:rPr>
            </w:pPr>
          </w:p>
        </w:tc>
        <w:tc>
          <w:tcPr>
            <w:tcW w:w="429" w:type="dxa"/>
          </w:tcPr>
          <w:p w14:paraId="351E0106" w14:textId="77777777" w:rsidR="009654B8" w:rsidRPr="009C7232" w:rsidRDefault="009654B8" w:rsidP="008100B2">
            <w:pPr>
              <w:rPr>
                <w:rFonts w:ascii="Verdana" w:hAnsi="Verdana"/>
                <w:b/>
              </w:rPr>
            </w:pPr>
            <w:r w:rsidRPr="009C7232">
              <w:rPr>
                <w:rFonts w:ascii="Verdana" w:hAnsi="Verdana"/>
                <w:b/>
              </w:rPr>
              <w:t>.</w:t>
            </w:r>
          </w:p>
        </w:tc>
        <w:tc>
          <w:tcPr>
            <w:tcW w:w="8355" w:type="dxa"/>
          </w:tcPr>
          <w:p w14:paraId="5937F341" w14:textId="77777777" w:rsidR="009654B8" w:rsidRPr="009C7232" w:rsidRDefault="009654B8" w:rsidP="009654B8">
            <w:pPr>
              <w:rPr>
                <w:rFonts w:ascii="Verdana" w:hAnsi="Verdana" w:cs="Arial"/>
                <w:i/>
                <w:iCs/>
              </w:rPr>
            </w:pPr>
            <w:r w:rsidRPr="009C7232">
              <w:rPr>
                <w:rFonts w:ascii="Verdana" w:hAnsi="Verdana" w:cs="Arial"/>
              </w:rPr>
              <w:t xml:space="preserve">the College returns to a surplus position of £70,000 and rises to the highest position in the “Good” category of financial health; </w:t>
            </w:r>
            <w:r w:rsidRPr="009C7232">
              <w:rPr>
                <w:rFonts w:ascii="Verdana" w:hAnsi="Verdana" w:cs="Arial"/>
                <w:i/>
                <w:iCs/>
              </w:rPr>
              <w:t>and</w:t>
            </w:r>
          </w:p>
          <w:p w14:paraId="132E821F" w14:textId="0F4EB30F" w:rsidR="009654B8" w:rsidRPr="009C7232" w:rsidRDefault="009654B8" w:rsidP="009654B8">
            <w:pPr>
              <w:rPr>
                <w:rFonts w:ascii="Verdana" w:hAnsi="Verdana" w:cs="Arial"/>
              </w:rPr>
            </w:pPr>
            <w:r w:rsidRPr="009C7232">
              <w:rPr>
                <w:rFonts w:ascii="Verdana" w:hAnsi="Verdana" w:cs="Arial"/>
              </w:rPr>
              <w:t xml:space="preserve"> </w:t>
            </w:r>
          </w:p>
        </w:tc>
      </w:tr>
      <w:tr w:rsidR="009654B8" w:rsidRPr="009C7232" w14:paraId="68388F8E" w14:textId="77777777" w:rsidTr="00303773">
        <w:tc>
          <w:tcPr>
            <w:tcW w:w="538" w:type="dxa"/>
          </w:tcPr>
          <w:p w14:paraId="68E438BB" w14:textId="77777777" w:rsidR="009654B8" w:rsidRPr="009C7232" w:rsidRDefault="009654B8" w:rsidP="008100B2">
            <w:pPr>
              <w:rPr>
                <w:rFonts w:ascii="Verdana" w:hAnsi="Verdana"/>
              </w:rPr>
            </w:pPr>
          </w:p>
        </w:tc>
        <w:tc>
          <w:tcPr>
            <w:tcW w:w="429" w:type="dxa"/>
          </w:tcPr>
          <w:p w14:paraId="16616016" w14:textId="77777777" w:rsidR="009654B8" w:rsidRPr="009C7232" w:rsidRDefault="009654B8" w:rsidP="008100B2">
            <w:pPr>
              <w:rPr>
                <w:rFonts w:ascii="Verdana" w:hAnsi="Verdana"/>
                <w:b/>
              </w:rPr>
            </w:pPr>
            <w:r w:rsidRPr="009C7232">
              <w:rPr>
                <w:rFonts w:ascii="Verdana" w:hAnsi="Verdana"/>
                <w:b/>
              </w:rPr>
              <w:t>.</w:t>
            </w:r>
          </w:p>
        </w:tc>
        <w:tc>
          <w:tcPr>
            <w:tcW w:w="8355" w:type="dxa"/>
          </w:tcPr>
          <w:p w14:paraId="690B0E82" w14:textId="480102F8" w:rsidR="009654B8" w:rsidRPr="009C7232" w:rsidRDefault="009654B8" w:rsidP="008100B2">
            <w:pPr>
              <w:rPr>
                <w:rFonts w:ascii="Verdana" w:hAnsi="Verdana" w:cs="Arial"/>
              </w:rPr>
            </w:pPr>
            <w:r w:rsidRPr="009C7232">
              <w:rPr>
                <w:rFonts w:ascii="Verdana" w:hAnsi="Verdana" w:cs="Arial"/>
              </w:rPr>
              <w:t>payroll as a percentage of income falls below 70%.</w:t>
            </w:r>
          </w:p>
        </w:tc>
      </w:tr>
    </w:tbl>
    <w:p w14:paraId="08E58ED2" w14:textId="77777777" w:rsidR="004E0ABD" w:rsidRPr="009C7232" w:rsidRDefault="004E0ABD" w:rsidP="004F4C55">
      <w:pPr>
        <w:rPr>
          <w:rFonts w:ascii="Verdana" w:hAnsi="Verdana"/>
        </w:rPr>
      </w:pPr>
    </w:p>
    <w:tbl>
      <w:tblPr>
        <w:tblW w:w="9351" w:type="dxa"/>
        <w:tblLook w:val="04A0" w:firstRow="1" w:lastRow="0" w:firstColumn="1" w:lastColumn="0" w:noHBand="0" w:noVBand="1"/>
      </w:tblPr>
      <w:tblGrid>
        <w:gridCol w:w="544"/>
        <w:gridCol w:w="8807"/>
      </w:tblGrid>
      <w:tr w:rsidR="009654B8" w:rsidRPr="009C7232" w14:paraId="4E304A1C" w14:textId="77777777" w:rsidTr="00303773">
        <w:tc>
          <w:tcPr>
            <w:tcW w:w="544" w:type="dxa"/>
          </w:tcPr>
          <w:p w14:paraId="77BDDE1C" w14:textId="77777777" w:rsidR="009654B8" w:rsidRPr="009C7232" w:rsidRDefault="009654B8" w:rsidP="008100B2">
            <w:pPr>
              <w:rPr>
                <w:rFonts w:ascii="Verdana" w:hAnsi="Verdana"/>
                <w:b/>
                <w:color w:val="FF0000"/>
              </w:rPr>
            </w:pPr>
          </w:p>
        </w:tc>
        <w:tc>
          <w:tcPr>
            <w:tcW w:w="8807" w:type="dxa"/>
          </w:tcPr>
          <w:p w14:paraId="49FEC74A" w14:textId="7EB68D54" w:rsidR="009654B8" w:rsidRPr="009C7232" w:rsidRDefault="009654B8" w:rsidP="008100B2">
            <w:pPr>
              <w:contextualSpacing/>
              <w:rPr>
                <w:rFonts w:ascii="Verdana" w:hAnsi="Verdana" w:cs="Arial"/>
              </w:rPr>
            </w:pPr>
            <w:r w:rsidRPr="009C7232">
              <w:rPr>
                <w:rFonts w:ascii="Verdana" w:hAnsi="Verdana" w:cs="Arial"/>
              </w:rPr>
              <w:t>Summary figures for 2021-22 are:</w:t>
            </w:r>
          </w:p>
        </w:tc>
      </w:tr>
    </w:tbl>
    <w:p w14:paraId="791FFEFE" w14:textId="5B865679" w:rsidR="008D7D88" w:rsidRPr="009C7232" w:rsidRDefault="008D7D88" w:rsidP="004F4C55">
      <w:pPr>
        <w:rPr>
          <w:rFonts w:ascii="Verdana" w:hAnsi="Verdan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663"/>
        <w:gridCol w:w="992"/>
        <w:gridCol w:w="1134"/>
      </w:tblGrid>
      <w:tr w:rsidR="009654B8" w:rsidRPr="003D4C32" w14:paraId="0D129568" w14:textId="77777777" w:rsidTr="00303773">
        <w:tc>
          <w:tcPr>
            <w:tcW w:w="562" w:type="dxa"/>
          </w:tcPr>
          <w:p w14:paraId="63EF9B5D" w14:textId="77777777" w:rsidR="009654B8" w:rsidRDefault="009654B8" w:rsidP="008100B2"/>
        </w:tc>
        <w:tc>
          <w:tcPr>
            <w:tcW w:w="6663" w:type="dxa"/>
          </w:tcPr>
          <w:p w14:paraId="7A281985" w14:textId="77777777" w:rsidR="009654B8" w:rsidRPr="003D4C32" w:rsidRDefault="009654B8" w:rsidP="008100B2">
            <w:pPr>
              <w:rPr>
                <w:rFonts w:ascii="Verdana" w:hAnsi="Verdana"/>
              </w:rPr>
            </w:pPr>
          </w:p>
        </w:tc>
        <w:tc>
          <w:tcPr>
            <w:tcW w:w="992" w:type="dxa"/>
          </w:tcPr>
          <w:p w14:paraId="6F68023E" w14:textId="77777777" w:rsidR="009654B8" w:rsidRDefault="009654B8" w:rsidP="008100B2">
            <w:pPr>
              <w:jc w:val="right"/>
              <w:rPr>
                <w:rFonts w:ascii="Verdana" w:hAnsi="Verdana"/>
                <w:i/>
                <w:iCs/>
              </w:rPr>
            </w:pPr>
            <w:r w:rsidRPr="003D4C32">
              <w:rPr>
                <w:rFonts w:ascii="Verdana" w:hAnsi="Verdana"/>
                <w:i/>
                <w:iCs/>
              </w:rPr>
              <w:t>£000</w:t>
            </w:r>
          </w:p>
          <w:p w14:paraId="042AF957" w14:textId="77777777" w:rsidR="009654B8" w:rsidRPr="003D4C32" w:rsidRDefault="009654B8" w:rsidP="008100B2">
            <w:pPr>
              <w:jc w:val="right"/>
              <w:rPr>
                <w:rFonts w:ascii="Verdana" w:hAnsi="Verdana"/>
                <w:i/>
                <w:iCs/>
              </w:rPr>
            </w:pPr>
          </w:p>
        </w:tc>
        <w:tc>
          <w:tcPr>
            <w:tcW w:w="1134" w:type="dxa"/>
          </w:tcPr>
          <w:p w14:paraId="7FAC38F9" w14:textId="77777777" w:rsidR="009654B8" w:rsidRPr="003D4C32" w:rsidRDefault="009654B8" w:rsidP="008100B2">
            <w:pPr>
              <w:jc w:val="right"/>
              <w:rPr>
                <w:rFonts w:ascii="Verdana" w:hAnsi="Verdana"/>
                <w:i/>
                <w:iCs/>
              </w:rPr>
            </w:pPr>
            <w:r w:rsidRPr="003D4C32">
              <w:rPr>
                <w:rFonts w:ascii="Verdana" w:hAnsi="Verdana"/>
                <w:i/>
                <w:iCs/>
              </w:rPr>
              <w:t>£000</w:t>
            </w:r>
          </w:p>
        </w:tc>
      </w:tr>
      <w:tr w:rsidR="009654B8" w:rsidRPr="003D4C32" w14:paraId="15F4B93F" w14:textId="77777777" w:rsidTr="00303773">
        <w:tc>
          <w:tcPr>
            <w:tcW w:w="562" w:type="dxa"/>
          </w:tcPr>
          <w:p w14:paraId="1CFA6E75" w14:textId="77777777" w:rsidR="009654B8" w:rsidRDefault="009654B8" w:rsidP="008100B2"/>
        </w:tc>
        <w:tc>
          <w:tcPr>
            <w:tcW w:w="6663" w:type="dxa"/>
          </w:tcPr>
          <w:p w14:paraId="4E6C3068" w14:textId="77777777" w:rsidR="009654B8" w:rsidRPr="003D4C32" w:rsidRDefault="009654B8" w:rsidP="008100B2">
            <w:pPr>
              <w:rPr>
                <w:rFonts w:ascii="Verdana" w:hAnsi="Verdana"/>
                <w:i/>
                <w:iCs/>
              </w:rPr>
            </w:pPr>
            <w:r w:rsidRPr="003D4C32">
              <w:rPr>
                <w:rFonts w:ascii="Verdana" w:hAnsi="Verdana"/>
                <w:i/>
                <w:iCs/>
              </w:rPr>
              <w:t>Income:</w:t>
            </w:r>
          </w:p>
        </w:tc>
        <w:tc>
          <w:tcPr>
            <w:tcW w:w="992" w:type="dxa"/>
          </w:tcPr>
          <w:p w14:paraId="2789DE93" w14:textId="77777777" w:rsidR="009654B8" w:rsidRPr="003D4C32" w:rsidRDefault="009654B8" w:rsidP="008100B2">
            <w:pPr>
              <w:jc w:val="right"/>
              <w:rPr>
                <w:rFonts w:ascii="Verdana" w:hAnsi="Verdana"/>
              </w:rPr>
            </w:pPr>
          </w:p>
        </w:tc>
        <w:tc>
          <w:tcPr>
            <w:tcW w:w="1134" w:type="dxa"/>
          </w:tcPr>
          <w:p w14:paraId="6F2C6A3E" w14:textId="77777777" w:rsidR="009654B8" w:rsidRPr="003D4C32" w:rsidRDefault="009654B8" w:rsidP="008100B2">
            <w:pPr>
              <w:jc w:val="right"/>
              <w:rPr>
                <w:rFonts w:ascii="Verdana" w:hAnsi="Verdana"/>
              </w:rPr>
            </w:pPr>
          </w:p>
        </w:tc>
      </w:tr>
      <w:tr w:rsidR="009654B8" w:rsidRPr="003D4C32" w14:paraId="5686F8E5" w14:textId="77777777" w:rsidTr="00303773">
        <w:tc>
          <w:tcPr>
            <w:tcW w:w="562" w:type="dxa"/>
          </w:tcPr>
          <w:p w14:paraId="68736EF1" w14:textId="77777777" w:rsidR="009654B8" w:rsidRDefault="009654B8" w:rsidP="008100B2"/>
        </w:tc>
        <w:tc>
          <w:tcPr>
            <w:tcW w:w="6663" w:type="dxa"/>
          </w:tcPr>
          <w:p w14:paraId="2F73F136" w14:textId="77777777" w:rsidR="009654B8" w:rsidRPr="003D4C32" w:rsidRDefault="009654B8" w:rsidP="008100B2">
            <w:pPr>
              <w:rPr>
                <w:rFonts w:ascii="Verdana" w:hAnsi="Verdana"/>
              </w:rPr>
            </w:pPr>
            <w:r>
              <w:rPr>
                <w:rFonts w:ascii="Verdana" w:hAnsi="Verdana"/>
              </w:rPr>
              <w:t>Mainstream Funding Body</w:t>
            </w:r>
          </w:p>
        </w:tc>
        <w:tc>
          <w:tcPr>
            <w:tcW w:w="992" w:type="dxa"/>
          </w:tcPr>
          <w:p w14:paraId="0DF98068" w14:textId="77777777" w:rsidR="009654B8" w:rsidRPr="003D4C32" w:rsidRDefault="009654B8" w:rsidP="008100B2">
            <w:pPr>
              <w:jc w:val="right"/>
              <w:rPr>
                <w:rFonts w:ascii="Verdana" w:hAnsi="Verdana"/>
              </w:rPr>
            </w:pPr>
          </w:p>
        </w:tc>
        <w:tc>
          <w:tcPr>
            <w:tcW w:w="1134" w:type="dxa"/>
          </w:tcPr>
          <w:p w14:paraId="37BFDCD0" w14:textId="745AD3A7" w:rsidR="009654B8" w:rsidRPr="003D4C32" w:rsidRDefault="009654B8" w:rsidP="008100B2">
            <w:pPr>
              <w:jc w:val="right"/>
              <w:rPr>
                <w:rFonts w:ascii="Verdana" w:hAnsi="Verdana"/>
              </w:rPr>
            </w:pPr>
            <w:r>
              <w:rPr>
                <w:rFonts w:ascii="Verdana" w:hAnsi="Verdana"/>
              </w:rPr>
              <w:t>10,169</w:t>
            </w:r>
          </w:p>
        </w:tc>
      </w:tr>
      <w:tr w:rsidR="009654B8" w:rsidRPr="003D4C32" w14:paraId="14853802" w14:textId="77777777" w:rsidTr="00303773">
        <w:tc>
          <w:tcPr>
            <w:tcW w:w="562" w:type="dxa"/>
          </w:tcPr>
          <w:p w14:paraId="13074129" w14:textId="77777777" w:rsidR="009654B8" w:rsidRDefault="009654B8" w:rsidP="008100B2"/>
        </w:tc>
        <w:tc>
          <w:tcPr>
            <w:tcW w:w="6663" w:type="dxa"/>
          </w:tcPr>
          <w:p w14:paraId="185B7ED0" w14:textId="77777777" w:rsidR="009654B8" w:rsidRPr="003D4C32" w:rsidRDefault="009654B8" w:rsidP="008100B2">
            <w:pPr>
              <w:rPr>
                <w:rFonts w:ascii="Verdana" w:hAnsi="Verdana"/>
              </w:rPr>
            </w:pPr>
            <w:r>
              <w:rPr>
                <w:rFonts w:ascii="Verdana" w:hAnsi="Verdana"/>
              </w:rPr>
              <w:t>ESFA Other</w:t>
            </w:r>
          </w:p>
        </w:tc>
        <w:tc>
          <w:tcPr>
            <w:tcW w:w="992" w:type="dxa"/>
          </w:tcPr>
          <w:p w14:paraId="091CBEE4" w14:textId="77777777" w:rsidR="009654B8" w:rsidRPr="003D4C32" w:rsidRDefault="009654B8" w:rsidP="008100B2">
            <w:pPr>
              <w:jc w:val="right"/>
              <w:rPr>
                <w:rFonts w:ascii="Verdana" w:hAnsi="Verdana"/>
              </w:rPr>
            </w:pPr>
          </w:p>
        </w:tc>
        <w:tc>
          <w:tcPr>
            <w:tcW w:w="1134" w:type="dxa"/>
          </w:tcPr>
          <w:p w14:paraId="2ED3F5B0" w14:textId="6CF4F4F0" w:rsidR="009654B8" w:rsidRPr="003D4C32" w:rsidRDefault="009654B8" w:rsidP="008100B2">
            <w:pPr>
              <w:jc w:val="right"/>
              <w:rPr>
                <w:rFonts w:ascii="Verdana" w:hAnsi="Verdana"/>
              </w:rPr>
            </w:pPr>
            <w:r>
              <w:rPr>
                <w:rFonts w:ascii="Verdana" w:hAnsi="Verdana"/>
              </w:rPr>
              <w:t>481</w:t>
            </w:r>
          </w:p>
        </w:tc>
      </w:tr>
      <w:tr w:rsidR="009654B8" w:rsidRPr="003D4C32" w14:paraId="3757D7B3" w14:textId="77777777" w:rsidTr="00303773">
        <w:tc>
          <w:tcPr>
            <w:tcW w:w="562" w:type="dxa"/>
          </w:tcPr>
          <w:p w14:paraId="55C25AC0" w14:textId="77777777" w:rsidR="009654B8" w:rsidRDefault="009654B8" w:rsidP="008100B2"/>
        </w:tc>
        <w:tc>
          <w:tcPr>
            <w:tcW w:w="6663" w:type="dxa"/>
          </w:tcPr>
          <w:p w14:paraId="1C20502B" w14:textId="77777777" w:rsidR="009654B8" w:rsidRPr="003D4C32" w:rsidRDefault="009654B8" w:rsidP="008100B2">
            <w:pPr>
              <w:rPr>
                <w:rFonts w:ascii="Verdana" w:hAnsi="Verdana"/>
              </w:rPr>
            </w:pPr>
            <w:r>
              <w:rPr>
                <w:rFonts w:ascii="Verdana" w:hAnsi="Verdana"/>
              </w:rPr>
              <w:t>Local Authority</w:t>
            </w:r>
          </w:p>
        </w:tc>
        <w:tc>
          <w:tcPr>
            <w:tcW w:w="992" w:type="dxa"/>
          </w:tcPr>
          <w:p w14:paraId="1EB041FD" w14:textId="77777777" w:rsidR="009654B8" w:rsidRPr="003D4C32" w:rsidRDefault="009654B8" w:rsidP="008100B2">
            <w:pPr>
              <w:jc w:val="right"/>
              <w:rPr>
                <w:rFonts w:ascii="Verdana" w:hAnsi="Verdana"/>
              </w:rPr>
            </w:pPr>
          </w:p>
        </w:tc>
        <w:tc>
          <w:tcPr>
            <w:tcW w:w="1134" w:type="dxa"/>
          </w:tcPr>
          <w:p w14:paraId="6AE03B82" w14:textId="77777777" w:rsidR="009654B8" w:rsidRPr="003D4C32" w:rsidRDefault="009654B8" w:rsidP="008100B2">
            <w:pPr>
              <w:jc w:val="right"/>
              <w:rPr>
                <w:rFonts w:ascii="Verdana" w:hAnsi="Verdana"/>
              </w:rPr>
            </w:pPr>
            <w:r>
              <w:rPr>
                <w:rFonts w:ascii="Verdana" w:hAnsi="Verdana"/>
              </w:rPr>
              <w:t>412</w:t>
            </w:r>
          </w:p>
        </w:tc>
      </w:tr>
      <w:tr w:rsidR="009654B8" w:rsidRPr="003D4C32" w14:paraId="4170459A" w14:textId="77777777" w:rsidTr="00303773">
        <w:tc>
          <w:tcPr>
            <w:tcW w:w="562" w:type="dxa"/>
          </w:tcPr>
          <w:p w14:paraId="3FFAB00A" w14:textId="77777777" w:rsidR="009654B8" w:rsidRDefault="009654B8" w:rsidP="008100B2"/>
        </w:tc>
        <w:tc>
          <w:tcPr>
            <w:tcW w:w="6663" w:type="dxa"/>
          </w:tcPr>
          <w:p w14:paraId="0F404A73" w14:textId="77777777" w:rsidR="009654B8" w:rsidRPr="003D4C32" w:rsidRDefault="009654B8" w:rsidP="008100B2">
            <w:pPr>
              <w:rPr>
                <w:rFonts w:ascii="Verdana" w:hAnsi="Verdana"/>
              </w:rPr>
            </w:pPr>
            <w:r>
              <w:rPr>
                <w:rFonts w:ascii="Verdana" w:hAnsi="Verdana"/>
              </w:rPr>
              <w:t>Other</w:t>
            </w:r>
          </w:p>
        </w:tc>
        <w:tc>
          <w:tcPr>
            <w:tcW w:w="992" w:type="dxa"/>
          </w:tcPr>
          <w:p w14:paraId="3074D6F3" w14:textId="77777777" w:rsidR="009654B8" w:rsidRPr="003D4C32" w:rsidRDefault="009654B8" w:rsidP="008100B2">
            <w:pPr>
              <w:jc w:val="right"/>
              <w:rPr>
                <w:rFonts w:ascii="Verdana" w:hAnsi="Verdana"/>
              </w:rPr>
            </w:pPr>
          </w:p>
        </w:tc>
        <w:tc>
          <w:tcPr>
            <w:tcW w:w="1134" w:type="dxa"/>
          </w:tcPr>
          <w:p w14:paraId="0D66F276" w14:textId="2B1F954A" w:rsidR="009654B8" w:rsidRPr="003D4C32" w:rsidRDefault="009654B8" w:rsidP="008100B2">
            <w:pPr>
              <w:jc w:val="right"/>
              <w:rPr>
                <w:rFonts w:ascii="Verdana" w:hAnsi="Verdana"/>
              </w:rPr>
            </w:pPr>
            <w:r>
              <w:rPr>
                <w:rFonts w:ascii="Verdana" w:hAnsi="Verdana"/>
              </w:rPr>
              <w:t>313</w:t>
            </w:r>
          </w:p>
        </w:tc>
      </w:tr>
      <w:tr w:rsidR="009654B8" w:rsidRPr="003D4C32" w14:paraId="323FBCE5" w14:textId="77777777" w:rsidTr="00303773">
        <w:tc>
          <w:tcPr>
            <w:tcW w:w="562" w:type="dxa"/>
          </w:tcPr>
          <w:p w14:paraId="0B2AE949" w14:textId="77777777" w:rsidR="009654B8" w:rsidRDefault="009654B8" w:rsidP="008100B2"/>
        </w:tc>
        <w:tc>
          <w:tcPr>
            <w:tcW w:w="6663" w:type="dxa"/>
          </w:tcPr>
          <w:p w14:paraId="08443BD0" w14:textId="77777777" w:rsidR="009654B8" w:rsidRPr="003D4C32" w:rsidRDefault="009654B8" w:rsidP="008100B2">
            <w:pPr>
              <w:rPr>
                <w:rFonts w:ascii="Verdana" w:hAnsi="Verdana"/>
              </w:rPr>
            </w:pPr>
          </w:p>
        </w:tc>
        <w:tc>
          <w:tcPr>
            <w:tcW w:w="992" w:type="dxa"/>
          </w:tcPr>
          <w:p w14:paraId="3CB74712" w14:textId="77777777" w:rsidR="009654B8" w:rsidRPr="003D4C32" w:rsidRDefault="009654B8" w:rsidP="008100B2">
            <w:pPr>
              <w:jc w:val="right"/>
              <w:rPr>
                <w:rFonts w:ascii="Verdana" w:hAnsi="Verdana"/>
              </w:rPr>
            </w:pPr>
          </w:p>
        </w:tc>
        <w:tc>
          <w:tcPr>
            <w:tcW w:w="1134" w:type="dxa"/>
          </w:tcPr>
          <w:p w14:paraId="5E2E5355" w14:textId="77777777" w:rsidR="009654B8" w:rsidRPr="003D4C32" w:rsidRDefault="009654B8" w:rsidP="008100B2">
            <w:pPr>
              <w:jc w:val="right"/>
              <w:rPr>
                <w:rFonts w:ascii="Verdana" w:hAnsi="Verdana"/>
              </w:rPr>
            </w:pPr>
          </w:p>
        </w:tc>
      </w:tr>
      <w:tr w:rsidR="009654B8" w:rsidRPr="003D4C32" w14:paraId="405CD861" w14:textId="77777777" w:rsidTr="00303773">
        <w:tc>
          <w:tcPr>
            <w:tcW w:w="562" w:type="dxa"/>
          </w:tcPr>
          <w:p w14:paraId="523E6EF0" w14:textId="77777777" w:rsidR="009654B8" w:rsidRDefault="009654B8" w:rsidP="008100B2"/>
        </w:tc>
        <w:tc>
          <w:tcPr>
            <w:tcW w:w="6663" w:type="dxa"/>
          </w:tcPr>
          <w:p w14:paraId="4032CD8C" w14:textId="77777777" w:rsidR="009654B8" w:rsidRPr="003D4C32" w:rsidRDefault="009654B8" w:rsidP="008100B2">
            <w:pPr>
              <w:rPr>
                <w:rFonts w:ascii="Verdana" w:hAnsi="Verdana"/>
              </w:rPr>
            </w:pPr>
            <w:r>
              <w:rPr>
                <w:rFonts w:ascii="Verdana" w:hAnsi="Verdana"/>
              </w:rPr>
              <w:t>Total Income</w:t>
            </w:r>
          </w:p>
        </w:tc>
        <w:tc>
          <w:tcPr>
            <w:tcW w:w="992" w:type="dxa"/>
          </w:tcPr>
          <w:p w14:paraId="78043DF6" w14:textId="77777777" w:rsidR="009654B8" w:rsidRPr="003D4C32" w:rsidRDefault="009654B8" w:rsidP="008100B2">
            <w:pPr>
              <w:jc w:val="right"/>
              <w:rPr>
                <w:rFonts w:ascii="Verdana" w:hAnsi="Verdana"/>
              </w:rPr>
            </w:pPr>
          </w:p>
        </w:tc>
        <w:tc>
          <w:tcPr>
            <w:tcW w:w="1134" w:type="dxa"/>
          </w:tcPr>
          <w:p w14:paraId="55C9F8DB" w14:textId="298088A3" w:rsidR="009654B8" w:rsidRPr="003D4C32" w:rsidRDefault="009654B8" w:rsidP="008100B2">
            <w:pPr>
              <w:jc w:val="right"/>
              <w:rPr>
                <w:rFonts w:ascii="Verdana" w:hAnsi="Verdana"/>
              </w:rPr>
            </w:pPr>
            <w:r>
              <w:rPr>
                <w:rFonts w:ascii="Verdana" w:hAnsi="Verdana"/>
              </w:rPr>
              <w:t>11,375</w:t>
            </w:r>
          </w:p>
        </w:tc>
      </w:tr>
      <w:tr w:rsidR="009654B8" w:rsidRPr="003D4C32" w14:paraId="77E8F03C" w14:textId="77777777" w:rsidTr="00303773">
        <w:tc>
          <w:tcPr>
            <w:tcW w:w="562" w:type="dxa"/>
          </w:tcPr>
          <w:p w14:paraId="44E5CD84" w14:textId="77777777" w:rsidR="009654B8" w:rsidRDefault="009654B8" w:rsidP="008100B2"/>
        </w:tc>
        <w:tc>
          <w:tcPr>
            <w:tcW w:w="6663" w:type="dxa"/>
          </w:tcPr>
          <w:p w14:paraId="3F0A1759" w14:textId="77777777" w:rsidR="009654B8" w:rsidRPr="003D4C32" w:rsidRDefault="009654B8" w:rsidP="008100B2">
            <w:pPr>
              <w:rPr>
                <w:rFonts w:ascii="Verdana" w:hAnsi="Verdana"/>
              </w:rPr>
            </w:pPr>
          </w:p>
        </w:tc>
        <w:tc>
          <w:tcPr>
            <w:tcW w:w="992" w:type="dxa"/>
          </w:tcPr>
          <w:p w14:paraId="012E755F" w14:textId="77777777" w:rsidR="009654B8" w:rsidRPr="003D4C32" w:rsidRDefault="009654B8" w:rsidP="008100B2">
            <w:pPr>
              <w:jc w:val="right"/>
              <w:rPr>
                <w:rFonts w:ascii="Verdana" w:hAnsi="Verdana"/>
              </w:rPr>
            </w:pPr>
          </w:p>
        </w:tc>
        <w:tc>
          <w:tcPr>
            <w:tcW w:w="1134" w:type="dxa"/>
          </w:tcPr>
          <w:p w14:paraId="6E596E4A" w14:textId="77777777" w:rsidR="009654B8" w:rsidRPr="003D4C32" w:rsidRDefault="009654B8" w:rsidP="008100B2">
            <w:pPr>
              <w:jc w:val="right"/>
              <w:rPr>
                <w:rFonts w:ascii="Verdana" w:hAnsi="Verdana"/>
              </w:rPr>
            </w:pPr>
          </w:p>
        </w:tc>
      </w:tr>
      <w:tr w:rsidR="009654B8" w:rsidRPr="003D4C32" w14:paraId="1EF07A7F" w14:textId="77777777" w:rsidTr="00303773">
        <w:tc>
          <w:tcPr>
            <w:tcW w:w="562" w:type="dxa"/>
          </w:tcPr>
          <w:p w14:paraId="3E5533FE" w14:textId="77777777" w:rsidR="009654B8" w:rsidRDefault="009654B8" w:rsidP="008100B2"/>
        </w:tc>
        <w:tc>
          <w:tcPr>
            <w:tcW w:w="6663" w:type="dxa"/>
          </w:tcPr>
          <w:p w14:paraId="65B87D66" w14:textId="77777777" w:rsidR="009654B8" w:rsidRPr="003D4C32" w:rsidRDefault="009654B8" w:rsidP="008100B2">
            <w:pPr>
              <w:rPr>
                <w:rFonts w:ascii="Verdana" w:hAnsi="Verdana"/>
                <w:i/>
                <w:iCs/>
              </w:rPr>
            </w:pPr>
            <w:r w:rsidRPr="003D4C32">
              <w:rPr>
                <w:rFonts w:ascii="Verdana" w:hAnsi="Verdana"/>
                <w:i/>
                <w:iCs/>
              </w:rPr>
              <w:t>Expenditure:</w:t>
            </w:r>
          </w:p>
        </w:tc>
        <w:tc>
          <w:tcPr>
            <w:tcW w:w="992" w:type="dxa"/>
          </w:tcPr>
          <w:p w14:paraId="71AFA1FF" w14:textId="77777777" w:rsidR="009654B8" w:rsidRPr="003D4C32" w:rsidRDefault="009654B8" w:rsidP="008100B2">
            <w:pPr>
              <w:jc w:val="right"/>
              <w:rPr>
                <w:rFonts w:ascii="Verdana" w:hAnsi="Verdana"/>
              </w:rPr>
            </w:pPr>
          </w:p>
        </w:tc>
        <w:tc>
          <w:tcPr>
            <w:tcW w:w="1134" w:type="dxa"/>
          </w:tcPr>
          <w:p w14:paraId="79E69BB5" w14:textId="77777777" w:rsidR="009654B8" w:rsidRPr="003D4C32" w:rsidRDefault="009654B8" w:rsidP="008100B2">
            <w:pPr>
              <w:jc w:val="right"/>
              <w:rPr>
                <w:rFonts w:ascii="Verdana" w:hAnsi="Verdana"/>
              </w:rPr>
            </w:pPr>
          </w:p>
        </w:tc>
      </w:tr>
      <w:tr w:rsidR="009654B8" w:rsidRPr="003D4C32" w14:paraId="4719B0C8" w14:textId="77777777" w:rsidTr="00303773">
        <w:tc>
          <w:tcPr>
            <w:tcW w:w="562" w:type="dxa"/>
          </w:tcPr>
          <w:p w14:paraId="0A982AD7" w14:textId="77777777" w:rsidR="009654B8" w:rsidRDefault="009654B8" w:rsidP="008100B2"/>
        </w:tc>
        <w:tc>
          <w:tcPr>
            <w:tcW w:w="6663" w:type="dxa"/>
          </w:tcPr>
          <w:p w14:paraId="0AB01F46" w14:textId="77777777" w:rsidR="009654B8" w:rsidRPr="003D4C32" w:rsidRDefault="009654B8" w:rsidP="008100B2">
            <w:pPr>
              <w:rPr>
                <w:rFonts w:ascii="Verdana" w:hAnsi="Verdana"/>
              </w:rPr>
            </w:pPr>
            <w:r>
              <w:rPr>
                <w:rFonts w:ascii="Verdana" w:hAnsi="Verdana"/>
              </w:rPr>
              <w:t>Teaching staff</w:t>
            </w:r>
          </w:p>
        </w:tc>
        <w:tc>
          <w:tcPr>
            <w:tcW w:w="992" w:type="dxa"/>
          </w:tcPr>
          <w:p w14:paraId="21AC7781" w14:textId="08FB7190" w:rsidR="009654B8" w:rsidRPr="003D4C32" w:rsidRDefault="009654B8" w:rsidP="008100B2">
            <w:pPr>
              <w:jc w:val="right"/>
              <w:rPr>
                <w:rFonts w:ascii="Verdana" w:hAnsi="Verdana"/>
              </w:rPr>
            </w:pPr>
            <w:r>
              <w:rPr>
                <w:rFonts w:ascii="Verdana" w:hAnsi="Verdana"/>
              </w:rPr>
              <w:t>4,492</w:t>
            </w:r>
          </w:p>
        </w:tc>
        <w:tc>
          <w:tcPr>
            <w:tcW w:w="1134" w:type="dxa"/>
          </w:tcPr>
          <w:p w14:paraId="707156BE" w14:textId="77777777" w:rsidR="009654B8" w:rsidRPr="003D4C32" w:rsidRDefault="009654B8" w:rsidP="008100B2">
            <w:pPr>
              <w:jc w:val="right"/>
              <w:rPr>
                <w:rFonts w:ascii="Verdana" w:hAnsi="Verdana"/>
              </w:rPr>
            </w:pPr>
          </w:p>
        </w:tc>
      </w:tr>
      <w:tr w:rsidR="009654B8" w:rsidRPr="003D4C32" w14:paraId="0A6E6AFD" w14:textId="77777777" w:rsidTr="00303773">
        <w:tc>
          <w:tcPr>
            <w:tcW w:w="562" w:type="dxa"/>
          </w:tcPr>
          <w:p w14:paraId="3F9FC8F1" w14:textId="77777777" w:rsidR="009654B8" w:rsidRDefault="009654B8" w:rsidP="008100B2"/>
        </w:tc>
        <w:tc>
          <w:tcPr>
            <w:tcW w:w="6663" w:type="dxa"/>
          </w:tcPr>
          <w:p w14:paraId="6FEC88AF" w14:textId="77777777" w:rsidR="009654B8" w:rsidRPr="003D4C32" w:rsidRDefault="009654B8" w:rsidP="008100B2">
            <w:pPr>
              <w:rPr>
                <w:rFonts w:ascii="Verdana" w:hAnsi="Verdana"/>
              </w:rPr>
            </w:pPr>
            <w:r>
              <w:rPr>
                <w:rFonts w:ascii="Verdana" w:hAnsi="Verdana"/>
              </w:rPr>
              <w:t>Support staff</w:t>
            </w:r>
          </w:p>
        </w:tc>
        <w:tc>
          <w:tcPr>
            <w:tcW w:w="992" w:type="dxa"/>
          </w:tcPr>
          <w:p w14:paraId="6044982F" w14:textId="3852386A" w:rsidR="009654B8" w:rsidRPr="003D4C32" w:rsidRDefault="009654B8" w:rsidP="008100B2">
            <w:pPr>
              <w:jc w:val="right"/>
              <w:rPr>
                <w:rFonts w:ascii="Verdana" w:hAnsi="Verdana"/>
              </w:rPr>
            </w:pPr>
            <w:r>
              <w:rPr>
                <w:rFonts w:ascii="Verdana" w:hAnsi="Verdana"/>
              </w:rPr>
              <w:t>3,330</w:t>
            </w:r>
          </w:p>
        </w:tc>
        <w:tc>
          <w:tcPr>
            <w:tcW w:w="1134" w:type="dxa"/>
          </w:tcPr>
          <w:p w14:paraId="428F3198" w14:textId="77777777" w:rsidR="009654B8" w:rsidRPr="003D4C32" w:rsidRDefault="009654B8" w:rsidP="008100B2">
            <w:pPr>
              <w:jc w:val="right"/>
              <w:rPr>
                <w:rFonts w:ascii="Verdana" w:hAnsi="Verdana"/>
              </w:rPr>
            </w:pPr>
          </w:p>
        </w:tc>
      </w:tr>
      <w:tr w:rsidR="009654B8" w:rsidRPr="003D4C32" w14:paraId="233C25BB" w14:textId="77777777" w:rsidTr="00303773">
        <w:tc>
          <w:tcPr>
            <w:tcW w:w="562" w:type="dxa"/>
          </w:tcPr>
          <w:p w14:paraId="490B2C6C" w14:textId="77777777" w:rsidR="009654B8" w:rsidRDefault="009654B8" w:rsidP="008100B2"/>
        </w:tc>
        <w:tc>
          <w:tcPr>
            <w:tcW w:w="6663" w:type="dxa"/>
          </w:tcPr>
          <w:p w14:paraId="4CB41422" w14:textId="77777777" w:rsidR="009654B8" w:rsidRPr="003D4C32" w:rsidRDefault="009654B8" w:rsidP="008100B2">
            <w:pPr>
              <w:rPr>
                <w:rFonts w:ascii="Verdana" w:hAnsi="Verdana"/>
              </w:rPr>
            </w:pPr>
            <w:r>
              <w:rPr>
                <w:rFonts w:ascii="Verdana" w:hAnsi="Verdana"/>
              </w:rPr>
              <w:t>Non-pay</w:t>
            </w:r>
          </w:p>
        </w:tc>
        <w:tc>
          <w:tcPr>
            <w:tcW w:w="992" w:type="dxa"/>
          </w:tcPr>
          <w:p w14:paraId="33754195" w14:textId="06D9AE22" w:rsidR="009654B8" w:rsidRPr="003D4C32" w:rsidRDefault="009654B8" w:rsidP="008100B2">
            <w:pPr>
              <w:jc w:val="right"/>
              <w:rPr>
                <w:rFonts w:ascii="Verdana" w:hAnsi="Verdana"/>
              </w:rPr>
            </w:pPr>
            <w:r>
              <w:rPr>
                <w:rFonts w:ascii="Verdana" w:hAnsi="Verdana"/>
              </w:rPr>
              <w:t>2,996</w:t>
            </w:r>
          </w:p>
        </w:tc>
        <w:tc>
          <w:tcPr>
            <w:tcW w:w="1134" w:type="dxa"/>
          </w:tcPr>
          <w:p w14:paraId="3461B3D1" w14:textId="77777777" w:rsidR="009654B8" w:rsidRPr="003D4C32" w:rsidRDefault="009654B8" w:rsidP="008100B2">
            <w:pPr>
              <w:jc w:val="right"/>
              <w:rPr>
                <w:rFonts w:ascii="Verdana" w:hAnsi="Verdana"/>
              </w:rPr>
            </w:pPr>
          </w:p>
        </w:tc>
      </w:tr>
      <w:tr w:rsidR="009654B8" w:rsidRPr="003D4C32" w14:paraId="41156ABD" w14:textId="77777777" w:rsidTr="00303773">
        <w:tc>
          <w:tcPr>
            <w:tcW w:w="562" w:type="dxa"/>
          </w:tcPr>
          <w:p w14:paraId="55803160" w14:textId="77777777" w:rsidR="009654B8" w:rsidRDefault="009654B8" w:rsidP="008100B2"/>
        </w:tc>
        <w:tc>
          <w:tcPr>
            <w:tcW w:w="6663" w:type="dxa"/>
          </w:tcPr>
          <w:p w14:paraId="31F323CA" w14:textId="77777777" w:rsidR="009654B8" w:rsidRPr="003D4C32" w:rsidRDefault="009654B8" w:rsidP="008100B2">
            <w:pPr>
              <w:rPr>
                <w:rFonts w:ascii="Verdana" w:hAnsi="Verdana"/>
              </w:rPr>
            </w:pPr>
            <w:r>
              <w:rPr>
                <w:rFonts w:ascii="Verdana" w:hAnsi="Verdana"/>
              </w:rPr>
              <w:t>Depreciation</w:t>
            </w:r>
          </w:p>
        </w:tc>
        <w:tc>
          <w:tcPr>
            <w:tcW w:w="992" w:type="dxa"/>
          </w:tcPr>
          <w:p w14:paraId="57B0D625" w14:textId="1268AC76" w:rsidR="009654B8" w:rsidRPr="003D4C32" w:rsidRDefault="009654B8" w:rsidP="008100B2">
            <w:pPr>
              <w:jc w:val="right"/>
              <w:rPr>
                <w:rFonts w:ascii="Verdana" w:hAnsi="Verdana"/>
              </w:rPr>
            </w:pPr>
            <w:r>
              <w:rPr>
                <w:rFonts w:ascii="Verdana" w:hAnsi="Verdana"/>
              </w:rPr>
              <w:t>487</w:t>
            </w:r>
          </w:p>
        </w:tc>
        <w:tc>
          <w:tcPr>
            <w:tcW w:w="1134" w:type="dxa"/>
          </w:tcPr>
          <w:p w14:paraId="36143A82" w14:textId="77777777" w:rsidR="009654B8" w:rsidRPr="003D4C32" w:rsidRDefault="009654B8" w:rsidP="008100B2">
            <w:pPr>
              <w:jc w:val="right"/>
              <w:rPr>
                <w:rFonts w:ascii="Verdana" w:hAnsi="Verdana"/>
              </w:rPr>
            </w:pPr>
          </w:p>
        </w:tc>
      </w:tr>
      <w:tr w:rsidR="009654B8" w:rsidRPr="003D4C32" w14:paraId="6C8A7DF0" w14:textId="77777777" w:rsidTr="00303773">
        <w:tc>
          <w:tcPr>
            <w:tcW w:w="562" w:type="dxa"/>
          </w:tcPr>
          <w:p w14:paraId="6DACA282" w14:textId="77777777" w:rsidR="009654B8" w:rsidRDefault="009654B8" w:rsidP="008100B2"/>
        </w:tc>
        <w:tc>
          <w:tcPr>
            <w:tcW w:w="6663" w:type="dxa"/>
          </w:tcPr>
          <w:p w14:paraId="12E34ADE" w14:textId="77777777" w:rsidR="009654B8" w:rsidRPr="003D4C32" w:rsidRDefault="009654B8" w:rsidP="008100B2">
            <w:pPr>
              <w:rPr>
                <w:rFonts w:ascii="Verdana" w:hAnsi="Verdana"/>
              </w:rPr>
            </w:pPr>
          </w:p>
        </w:tc>
        <w:tc>
          <w:tcPr>
            <w:tcW w:w="992" w:type="dxa"/>
          </w:tcPr>
          <w:p w14:paraId="34BBE105" w14:textId="77777777" w:rsidR="009654B8" w:rsidRPr="003D4C32" w:rsidRDefault="009654B8" w:rsidP="008100B2">
            <w:pPr>
              <w:jc w:val="right"/>
              <w:rPr>
                <w:rFonts w:ascii="Verdana" w:hAnsi="Verdana"/>
              </w:rPr>
            </w:pPr>
          </w:p>
        </w:tc>
        <w:tc>
          <w:tcPr>
            <w:tcW w:w="1134" w:type="dxa"/>
          </w:tcPr>
          <w:p w14:paraId="26B44367" w14:textId="1A7A8A44" w:rsidR="009654B8" w:rsidRPr="003D4C32" w:rsidRDefault="009654B8" w:rsidP="008100B2">
            <w:pPr>
              <w:jc w:val="right"/>
              <w:rPr>
                <w:rFonts w:ascii="Verdana" w:hAnsi="Verdana"/>
              </w:rPr>
            </w:pPr>
            <w:r>
              <w:rPr>
                <w:rFonts w:ascii="Verdana" w:hAnsi="Verdana"/>
              </w:rPr>
              <w:t>11,305</w:t>
            </w:r>
          </w:p>
        </w:tc>
      </w:tr>
      <w:tr w:rsidR="009654B8" w:rsidRPr="003D4C32" w14:paraId="4F50D6B2" w14:textId="77777777" w:rsidTr="00303773">
        <w:tc>
          <w:tcPr>
            <w:tcW w:w="562" w:type="dxa"/>
          </w:tcPr>
          <w:p w14:paraId="180E50E2" w14:textId="77777777" w:rsidR="009654B8" w:rsidRDefault="009654B8" w:rsidP="008100B2"/>
        </w:tc>
        <w:tc>
          <w:tcPr>
            <w:tcW w:w="6663" w:type="dxa"/>
          </w:tcPr>
          <w:p w14:paraId="7841A8C4" w14:textId="77777777" w:rsidR="009654B8" w:rsidRPr="003D4C32" w:rsidRDefault="009654B8" w:rsidP="008100B2">
            <w:pPr>
              <w:rPr>
                <w:rFonts w:ascii="Verdana" w:hAnsi="Verdana"/>
              </w:rPr>
            </w:pPr>
          </w:p>
        </w:tc>
        <w:tc>
          <w:tcPr>
            <w:tcW w:w="992" w:type="dxa"/>
          </w:tcPr>
          <w:p w14:paraId="09F47007" w14:textId="77777777" w:rsidR="009654B8" w:rsidRPr="003D4C32" w:rsidRDefault="009654B8" w:rsidP="008100B2">
            <w:pPr>
              <w:jc w:val="right"/>
              <w:rPr>
                <w:rFonts w:ascii="Verdana" w:hAnsi="Verdana"/>
              </w:rPr>
            </w:pPr>
          </w:p>
        </w:tc>
        <w:tc>
          <w:tcPr>
            <w:tcW w:w="1134" w:type="dxa"/>
          </w:tcPr>
          <w:p w14:paraId="017A63BC" w14:textId="77777777" w:rsidR="009654B8" w:rsidRPr="003D4C32" w:rsidRDefault="009654B8" w:rsidP="008100B2">
            <w:pPr>
              <w:jc w:val="right"/>
              <w:rPr>
                <w:rFonts w:ascii="Verdana" w:hAnsi="Verdana"/>
              </w:rPr>
            </w:pPr>
          </w:p>
        </w:tc>
      </w:tr>
      <w:tr w:rsidR="009654B8" w:rsidRPr="003D4C32" w14:paraId="07FF2831" w14:textId="77777777" w:rsidTr="00303773">
        <w:tc>
          <w:tcPr>
            <w:tcW w:w="562" w:type="dxa"/>
          </w:tcPr>
          <w:p w14:paraId="6B495BBB" w14:textId="77777777" w:rsidR="009654B8" w:rsidRDefault="009654B8" w:rsidP="008100B2"/>
        </w:tc>
        <w:tc>
          <w:tcPr>
            <w:tcW w:w="6663" w:type="dxa"/>
          </w:tcPr>
          <w:p w14:paraId="7850FDE8" w14:textId="38A4BD4B" w:rsidR="009654B8" w:rsidRPr="003D4C32" w:rsidRDefault="009654B8" w:rsidP="008100B2">
            <w:pPr>
              <w:rPr>
                <w:rFonts w:ascii="Verdana" w:hAnsi="Verdana"/>
              </w:rPr>
            </w:pPr>
            <w:r>
              <w:rPr>
                <w:rFonts w:ascii="Verdana" w:hAnsi="Verdana"/>
              </w:rPr>
              <w:t>Surplus for 2020-21</w:t>
            </w:r>
          </w:p>
        </w:tc>
        <w:tc>
          <w:tcPr>
            <w:tcW w:w="992" w:type="dxa"/>
          </w:tcPr>
          <w:p w14:paraId="5629998D" w14:textId="77777777" w:rsidR="009654B8" w:rsidRPr="003D4C32" w:rsidRDefault="009654B8" w:rsidP="008100B2">
            <w:pPr>
              <w:jc w:val="right"/>
              <w:rPr>
                <w:rFonts w:ascii="Verdana" w:hAnsi="Verdana"/>
              </w:rPr>
            </w:pPr>
          </w:p>
        </w:tc>
        <w:tc>
          <w:tcPr>
            <w:tcW w:w="1134" w:type="dxa"/>
          </w:tcPr>
          <w:p w14:paraId="14F4A233" w14:textId="77777777" w:rsidR="009654B8" w:rsidRPr="003D4C32" w:rsidRDefault="009654B8" w:rsidP="008100B2">
            <w:pPr>
              <w:jc w:val="right"/>
              <w:rPr>
                <w:rFonts w:ascii="Verdana" w:hAnsi="Verdana"/>
              </w:rPr>
            </w:pPr>
            <w:r>
              <w:rPr>
                <w:rFonts w:ascii="Verdana" w:hAnsi="Verdana"/>
              </w:rPr>
              <w:t>70</w:t>
            </w:r>
          </w:p>
        </w:tc>
      </w:tr>
    </w:tbl>
    <w:p w14:paraId="4BB05811" w14:textId="472F6489" w:rsidR="008D7D88" w:rsidRDefault="008D7D88" w:rsidP="004F4C55"/>
    <w:tbl>
      <w:tblPr>
        <w:tblW w:w="9351" w:type="dxa"/>
        <w:tblLook w:val="04A0" w:firstRow="1" w:lastRow="0" w:firstColumn="1" w:lastColumn="0" w:noHBand="0" w:noVBand="1"/>
      </w:tblPr>
      <w:tblGrid>
        <w:gridCol w:w="544"/>
        <w:gridCol w:w="8807"/>
      </w:tblGrid>
      <w:tr w:rsidR="009654B8" w:rsidRPr="00FF14EA" w14:paraId="474A771D" w14:textId="77777777" w:rsidTr="00303773">
        <w:tc>
          <w:tcPr>
            <w:tcW w:w="544" w:type="dxa"/>
          </w:tcPr>
          <w:p w14:paraId="36C0AC27" w14:textId="77777777" w:rsidR="009654B8" w:rsidRPr="00FF14EA" w:rsidRDefault="009654B8" w:rsidP="008100B2">
            <w:pPr>
              <w:rPr>
                <w:rFonts w:ascii="Verdana" w:hAnsi="Verdana"/>
                <w:b/>
                <w:color w:val="FF0000"/>
              </w:rPr>
            </w:pPr>
          </w:p>
        </w:tc>
        <w:tc>
          <w:tcPr>
            <w:tcW w:w="8807" w:type="dxa"/>
          </w:tcPr>
          <w:p w14:paraId="18992C70" w14:textId="5A88431F" w:rsidR="009654B8" w:rsidRPr="00FF14EA" w:rsidRDefault="009654B8" w:rsidP="008100B2">
            <w:pPr>
              <w:contextualSpacing/>
              <w:rPr>
                <w:rFonts w:ascii="Verdana" w:hAnsi="Verdana" w:cs="Arial"/>
              </w:rPr>
            </w:pPr>
            <w:r>
              <w:rPr>
                <w:rFonts w:ascii="Verdana" w:hAnsi="Verdana" w:cs="Arial"/>
              </w:rPr>
              <w:t>The following sensitivity analyses were</w:t>
            </w:r>
            <w:r w:rsidR="00B334C2">
              <w:rPr>
                <w:rFonts w:ascii="Verdana" w:hAnsi="Verdana" w:cs="Arial"/>
              </w:rPr>
              <w:t xml:space="preserve"> noted:</w:t>
            </w:r>
          </w:p>
        </w:tc>
      </w:tr>
    </w:tbl>
    <w:p w14:paraId="0030A5E1" w14:textId="65584E80" w:rsidR="008D7D88" w:rsidRDefault="008D7D88" w:rsidP="004F4C55"/>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6135"/>
        <w:gridCol w:w="1336"/>
        <w:gridCol w:w="1336"/>
      </w:tblGrid>
      <w:tr w:rsidR="00B334C2" w:rsidRPr="009C7232" w14:paraId="4AA10E82" w14:textId="77777777" w:rsidTr="00303773">
        <w:tc>
          <w:tcPr>
            <w:tcW w:w="552" w:type="dxa"/>
          </w:tcPr>
          <w:p w14:paraId="04B6C141" w14:textId="77777777" w:rsidR="00B334C2" w:rsidRPr="009C7232" w:rsidRDefault="00B334C2" w:rsidP="00B334C2">
            <w:pPr>
              <w:rPr>
                <w:rFonts w:ascii="Verdana" w:hAnsi="Verdana"/>
              </w:rPr>
            </w:pPr>
          </w:p>
        </w:tc>
        <w:tc>
          <w:tcPr>
            <w:tcW w:w="6257" w:type="dxa"/>
          </w:tcPr>
          <w:p w14:paraId="51E51ADB" w14:textId="77777777" w:rsidR="00B334C2" w:rsidRPr="009C7232" w:rsidRDefault="00B334C2" w:rsidP="00B334C2">
            <w:pPr>
              <w:rPr>
                <w:rFonts w:ascii="Verdana" w:hAnsi="Verdana"/>
                <w:b/>
                <w:bCs/>
              </w:rPr>
            </w:pPr>
            <w:r w:rsidRPr="009C7232">
              <w:rPr>
                <w:rFonts w:ascii="Verdana" w:hAnsi="Verdana"/>
                <w:b/>
                <w:bCs/>
              </w:rPr>
              <w:t>Sensitivity</w:t>
            </w:r>
          </w:p>
          <w:p w14:paraId="1B437C9E" w14:textId="3C9C43E2" w:rsidR="00B334C2" w:rsidRPr="009C7232" w:rsidRDefault="00B334C2" w:rsidP="00B334C2">
            <w:pPr>
              <w:rPr>
                <w:rFonts w:ascii="Verdana" w:hAnsi="Verdana"/>
                <w:b/>
                <w:bCs/>
              </w:rPr>
            </w:pPr>
          </w:p>
        </w:tc>
        <w:tc>
          <w:tcPr>
            <w:tcW w:w="1336" w:type="dxa"/>
          </w:tcPr>
          <w:p w14:paraId="72208C70" w14:textId="4A782615" w:rsidR="00B334C2" w:rsidRPr="009C7232" w:rsidRDefault="00B334C2" w:rsidP="00B334C2">
            <w:pPr>
              <w:jc w:val="right"/>
              <w:rPr>
                <w:rFonts w:ascii="Verdana" w:hAnsi="Verdana"/>
                <w:b/>
                <w:bCs/>
              </w:rPr>
            </w:pPr>
            <w:r w:rsidRPr="009C7232">
              <w:rPr>
                <w:rFonts w:ascii="Verdana" w:hAnsi="Verdana"/>
                <w:b/>
                <w:bCs/>
              </w:rPr>
              <w:t>2020-21</w:t>
            </w:r>
          </w:p>
        </w:tc>
        <w:tc>
          <w:tcPr>
            <w:tcW w:w="1206" w:type="dxa"/>
          </w:tcPr>
          <w:p w14:paraId="68381596" w14:textId="345059E2" w:rsidR="00B334C2" w:rsidRPr="009C7232" w:rsidRDefault="00B334C2" w:rsidP="00B334C2">
            <w:pPr>
              <w:jc w:val="right"/>
              <w:rPr>
                <w:rFonts w:ascii="Verdana" w:hAnsi="Verdana" w:cs="Arial"/>
                <w:b/>
                <w:bCs/>
              </w:rPr>
            </w:pPr>
            <w:r w:rsidRPr="009C7232">
              <w:rPr>
                <w:rFonts w:ascii="Verdana" w:hAnsi="Verdana" w:cs="Arial"/>
                <w:b/>
                <w:bCs/>
              </w:rPr>
              <w:t>2021-22</w:t>
            </w:r>
          </w:p>
        </w:tc>
      </w:tr>
      <w:tr w:rsidR="00B334C2" w:rsidRPr="009C7232" w14:paraId="79454171" w14:textId="77777777" w:rsidTr="00303773">
        <w:tc>
          <w:tcPr>
            <w:tcW w:w="552" w:type="dxa"/>
          </w:tcPr>
          <w:p w14:paraId="1FB66419" w14:textId="77777777" w:rsidR="00B334C2" w:rsidRPr="009C7232" w:rsidRDefault="00B334C2" w:rsidP="00B334C2">
            <w:pPr>
              <w:rPr>
                <w:rFonts w:ascii="Verdana" w:hAnsi="Verdana"/>
              </w:rPr>
            </w:pPr>
          </w:p>
        </w:tc>
        <w:tc>
          <w:tcPr>
            <w:tcW w:w="6257" w:type="dxa"/>
          </w:tcPr>
          <w:p w14:paraId="26A614C0" w14:textId="10ADED1B" w:rsidR="00B334C2" w:rsidRPr="009C7232" w:rsidRDefault="00B334C2" w:rsidP="00B334C2">
            <w:pPr>
              <w:rPr>
                <w:rFonts w:ascii="Verdana" w:hAnsi="Verdana"/>
              </w:rPr>
            </w:pPr>
            <w:r w:rsidRPr="009C7232">
              <w:rPr>
                <w:rFonts w:ascii="Verdana" w:hAnsi="Verdana"/>
              </w:rPr>
              <w:t>ESFA funding does not rise by 1%</w:t>
            </w:r>
          </w:p>
        </w:tc>
        <w:tc>
          <w:tcPr>
            <w:tcW w:w="1336" w:type="dxa"/>
          </w:tcPr>
          <w:p w14:paraId="332AE8E0" w14:textId="7B6DDE80" w:rsidR="00B334C2" w:rsidRPr="009C7232" w:rsidRDefault="00B334C2" w:rsidP="00B334C2">
            <w:pPr>
              <w:jc w:val="right"/>
              <w:rPr>
                <w:rFonts w:ascii="Verdana" w:hAnsi="Verdana"/>
              </w:rPr>
            </w:pPr>
            <w:r w:rsidRPr="009C7232">
              <w:rPr>
                <w:rFonts w:ascii="Verdana" w:hAnsi="Verdana"/>
              </w:rPr>
              <w:t>0</w:t>
            </w:r>
          </w:p>
        </w:tc>
        <w:tc>
          <w:tcPr>
            <w:tcW w:w="1206" w:type="dxa"/>
          </w:tcPr>
          <w:p w14:paraId="03875144" w14:textId="596240B4" w:rsidR="00B334C2" w:rsidRPr="009C7232" w:rsidRDefault="00B334C2" w:rsidP="00B334C2">
            <w:pPr>
              <w:jc w:val="right"/>
              <w:rPr>
                <w:rFonts w:ascii="Verdana" w:hAnsi="Verdana" w:cs="Arial"/>
              </w:rPr>
            </w:pPr>
            <w:r w:rsidRPr="009C7232">
              <w:rPr>
                <w:rFonts w:ascii="Verdana" w:hAnsi="Verdana" w:cs="Arial"/>
              </w:rPr>
              <w:t>(101,000)</w:t>
            </w:r>
          </w:p>
        </w:tc>
      </w:tr>
      <w:tr w:rsidR="00B334C2" w:rsidRPr="009C7232" w14:paraId="36BA0581" w14:textId="77777777" w:rsidTr="00303773">
        <w:tc>
          <w:tcPr>
            <w:tcW w:w="552" w:type="dxa"/>
          </w:tcPr>
          <w:p w14:paraId="70EC7E8A" w14:textId="77777777" w:rsidR="00B334C2" w:rsidRPr="009C7232" w:rsidRDefault="00B334C2" w:rsidP="00B334C2">
            <w:pPr>
              <w:rPr>
                <w:rFonts w:ascii="Verdana" w:hAnsi="Verdana"/>
              </w:rPr>
            </w:pPr>
          </w:p>
        </w:tc>
        <w:tc>
          <w:tcPr>
            <w:tcW w:w="6257" w:type="dxa"/>
          </w:tcPr>
          <w:p w14:paraId="69075E3F" w14:textId="01C30121" w:rsidR="00B334C2" w:rsidRPr="009C7232" w:rsidRDefault="00B334C2" w:rsidP="00B334C2">
            <w:pPr>
              <w:rPr>
                <w:rFonts w:ascii="Verdana" w:hAnsi="Verdana"/>
              </w:rPr>
            </w:pPr>
            <w:r w:rsidRPr="009C7232">
              <w:rPr>
                <w:rFonts w:ascii="Verdana" w:hAnsi="Verdana"/>
              </w:rPr>
              <w:t>For every 10 students under-recruited</w:t>
            </w:r>
          </w:p>
        </w:tc>
        <w:tc>
          <w:tcPr>
            <w:tcW w:w="1336" w:type="dxa"/>
          </w:tcPr>
          <w:p w14:paraId="3BBF62F4" w14:textId="08DC6A25" w:rsidR="00B334C2" w:rsidRPr="009C7232" w:rsidRDefault="00B334C2" w:rsidP="00B334C2">
            <w:pPr>
              <w:jc w:val="right"/>
              <w:rPr>
                <w:rFonts w:ascii="Verdana" w:hAnsi="Verdana"/>
              </w:rPr>
            </w:pPr>
            <w:r w:rsidRPr="009C7232">
              <w:rPr>
                <w:rFonts w:ascii="Verdana" w:hAnsi="Verdana"/>
              </w:rPr>
              <w:t>(55,400)</w:t>
            </w:r>
          </w:p>
        </w:tc>
        <w:tc>
          <w:tcPr>
            <w:tcW w:w="1206" w:type="dxa"/>
          </w:tcPr>
          <w:p w14:paraId="6FCD6C20" w14:textId="2B0B1F2A" w:rsidR="00B334C2" w:rsidRPr="009C7232" w:rsidRDefault="00B334C2" w:rsidP="00B334C2">
            <w:pPr>
              <w:jc w:val="right"/>
              <w:rPr>
                <w:rFonts w:ascii="Verdana" w:hAnsi="Verdana" w:cs="Arial"/>
              </w:rPr>
            </w:pPr>
            <w:r w:rsidRPr="009C7232">
              <w:rPr>
                <w:rFonts w:ascii="Verdana" w:hAnsi="Verdana" w:cs="Arial"/>
              </w:rPr>
              <w:t>(55,400)</w:t>
            </w:r>
          </w:p>
        </w:tc>
      </w:tr>
      <w:tr w:rsidR="00B334C2" w:rsidRPr="009C7232" w14:paraId="070ACA2D" w14:textId="77777777" w:rsidTr="00303773">
        <w:tc>
          <w:tcPr>
            <w:tcW w:w="552" w:type="dxa"/>
          </w:tcPr>
          <w:p w14:paraId="197205B3" w14:textId="77777777" w:rsidR="00B334C2" w:rsidRPr="009C7232" w:rsidRDefault="00B334C2" w:rsidP="00B334C2">
            <w:pPr>
              <w:rPr>
                <w:rFonts w:ascii="Verdana" w:hAnsi="Verdana"/>
              </w:rPr>
            </w:pPr>
          </w:p>
        </w:tc>
        <w:tc>
          <w:tcPr>
            <w:tcW w:w="6257" w:type="dxa"/>
          </w:tcPr>
          <w:p w14:paraId="3C382090" w14:textId="38AE8805" w:rsidR="00B334C2" w:rsidRPr="009C7232" w:rsidRDefault="00B334C2" w:rsidP="00B334C2">
            <w:pPr>
              <w:rPr>
                <w:rFonts w:ascii="Verdana" w:hAnsi="Verdana"/>
              </w:rPr>
            </w:pPr>
            <w:r w:rsidRPr="009C7232">
              <w:rPr>
                <w:rFonts w:ascii="Verdana" w:hAnsi="Verdana"/>
              </w:rPr>
              <w:t>Loss of Teacher Pension Grant</w:t>
            </w:r>
          </w:p>
        </w:tc>
        <w:tc>
          <w:tcPr>
            <w:tcW w:w="1336" w:type="dxa"/>
          </w:tcPr>
          <w:p w14:paraId="465163B7" w14:textId="75D20E84" w:rsidR="00B334C2" w:rsidRPr="009C7232" w:rsidRDefault="00B334C2" w:rsidP="00B334C2">
            <w:pPr>
              <w:jc w:val="right"/>
              <w:rPr>
                <w:rFonts w:ascii="Verdana" w:hAnsi="Verdana"/>
              </w:rPr>
            </w:pPr>
            <w:r w:rsidRPr="009C7232">
              <w:rPr>
                <w:rFonts w:ascii="Verdana" w:hAnsi="Verdana"/>
              </w:rPr>
              <w:t>(137,402)</w:t>
            </w:r>
          </w:p>
        </w:tc>
        <w:tc>
          <w:tcPr>
            <w:tcW w:w="1206" w:type="dxa"/>
          </w:tcPr>
          <w:p w14:paraId="1E60EA57" w14:textId="79F2318D" w:rsidR="00B334C2" w:rsidRPr="009C7232" w:rsidRDefault="00B334C2" w:rsidP="00B334C2">
            <w:pPr>
              <w:jc w:val="right"/>
              <w:rPr>
                <w:rFonts w:ascii="Verdana" w:hAnsi="Verdana" w:cs="Arial"/>
              </w:rPr>
            </w:pPr>
            <w:r w:rsidRPr="009C7232">
              <w:rPr>
                <w:rFonts w:ascii="Verdana" w:hAnsi="Verdana" w:cs="Arial"/>
              </w:rPr>
              <w:t>(137,402)</w:t>
            </w:r>
          </w:p>
        </w:tc>
      </w:tr>
      <w:tr w:rsidR="00B334C2" w:rsidRPr="009C7232" w14:paraId="5A76063A" w14:textId="77777777" w:rsidTr="00303773">
        <w:tc>
          <w:tcPr>
            <w:tcW w:w="552" w:type="dxa"/>
          </w:tcPr>
          <w:p w14:paraId="3F1E0569" w14:textId="77777777" w:rsidR="00B334C2" w:rsidRPr="009C7232" w:rsidRDefault="00B334C2" w:rsidP="00B334C2">
            <w:pPr>
              <w:rPr>
                <w:rFonts w:ascii="Verdana" w:hAnsi="Verdana"/>
              </w:rPr>
            </w:pPr>
          </w:p>
        </w:tc>
        <w:tc>
          <w:tcPr>
            <w:tcW w:w="6257" w:type="dxa"/>
          </w:tcPr>
          <w:p w14:paraId="7DC269D4" w14:textId="22C83626" w:rsidR="00B334C2" w:rsidRPr="009C7232" w:rsidRDefault="00B334C2" w:rsidP="00B334C2">
            <w:pPr>
              <w:rPr>
                <w:rFonts w:ascii="Verdana" w:hAnsi="Verdana"/>
              </w:rPr>
            </w:pPr>
            <w:r w:rsidRPr="009C7232">
              <w:rPr>
                <w:rFonts w:ascii="Verdana" w:hAnsi="Verdana"/>
              </w:rPr>
              <w:t>Loss of Capacity and Delivery Funds</w:t>
            </w:r>
          </w:p>
        </w:tc>
        <w:tc>
          <w:tcPr>
            <w:tcW w:w="1336" w:type="dxa"/>
          </w:tcPr>
          <w:p w14:paraId="2662DE4E" w14:textId="0C7E9526" w:rsidR="00B334C2" w:rsidRPr="009C7232" w:rsidRDefault="00B334C2" w:rsidP="00B334C2">
            <w:pPr>
              <w:jc w:val="right"/>
              <w:rPr>
                <w:rFonts w:ascii="Verdana" w:hAnsi="Verdana"/>
              </w:rPr>
            </w:pPr>
            <w:r w:rsidRPr="009C7232">
              <w:rPr>
                <w:rFonts w:ascii="Verdana" w:hAnsi="Verdana"/>
              </w:rPr>
              <w:t>(110,000)</w:t>
            </w:r>
          </w:p>
        </w:tc>
        <w:tc>
          <w:tcPr>
            <w:tcW w:w="1206" w:type="dxa"/>
          </w:tcPr>
          <w:p w14:paraId="39F72C94" w14:textId="200B7A20" w:rsidR="00B334C2" w:rsidRPr="009C7232" w:rsidRDefault="00B334C2" w:rsidP="00B334C2">
            <w:pPr>
              <w:jc w:val="right"/>
              <w:rPr>
                <w:rFonts w:ascii="Verdana" w:hAnsi="Verdana" w:cs="Arial"/>
              </w:rPr>
            </w:pPr>
            <w:r w:rsidRPr="009C7232">
              <w:rPr>
                <w:rFonts w:ascii="Verdana" w:hAnsi="Verdana" w:cs="Arial"/>
              </w:rPr>
              <w:t>(55,000)</w:t>
            </w:r>
          </w:p>
        </w:tc>
      </w:tr>
      <w:tr w:rsidR="00B334C2" w:rsidRPr="009C7232" w14:paraId="7B98455F" w14:textId="77777777" w:rsidTr="00303773">
        <w:tc>
          <w:tcPr>
            <w:tcW w:w="552" w:type="dxa"/>
          </w:tcPr>
          <w:p w14:paraId="7CD9BE73" w14:textId="77777777" w:rsidR="00B334C2" w:rsidRPr="009C7232" w:rsidRDefault="00B334C2" w:rsidP="00B334C2">
            <w:pPr>
              <w:rPr>
                <w:rFonts w:ascii="Verdana" w:hAnsi="Verdana"/>
              </w:rPr>
            </w:pPr>
          </w:p>
        </w:tc>
        <w:tc>
          <w:tcPr>
            <w:tcW w:w="6257" w:type="dxa"/>
          </w:tcPr>
          <w:p w14:paraId="486C4ABF" w14:textId="0AA222CF" w:rsidR="00B334C2" w:rsidRPr="009C7232" w:rsidRDefault="00B334C2" w:rsidP="00B334C2">
            <w:pPr>
              <w:rPr>
                <w:rFonts w:ascii="Verdana" w:hAnsi="Verdana"/>
              </w:rPr>
            </w:pPr>
            <w:r w:rsidRPr="009C7232">
              <w:rPr>
                <w:rFonts w:ascii="Verdana" w:hAnsi="Verdana"/>
              </w:rPr>
              <w:t>Teaching becomes less efficient and one extra teacher needed</w:t>
            </w:r>
          </w:p>
        </w:tc>
        <w:tc>
          <w:tcPr>
            <w:tcW w:w="1336" w:type="dxa"/>
          </w:tcPr>
          <w:p w14:paraId="7D7C5CB9" w14:textId="1F1E8274" w:rsidR="00B334C2" w:rsidRPr="009C7232" w:rsidRDefault="00B334C2" w:rsidP="00B334C2">
            <w:pPr>
              <w:jc w:val="right"/>
              <w:rPr>
                <w:rFonts w:ascii="Verdana" w:hAnsi="Verdana"/>
              </w:rPr>
            </w:pPr>
            <w:r w:rsidRPr="009C7232">
              <w:rPr>
                <w:rFonts w:ascii="Verdana" w:hAnsi="Verdana"/>
              </w:rPr>
              <w:t>(50,000)</w:t>
            </w:r>
          </w:p>
        </w:tc>
        <w:tc>
          <w:tcPr>
            <w:tcW w:w="1206" w:type="dxa"/>
          </w:tcPr>
          <w:p w14:paraId="26FE0F28" w14:textId="4AEF1D41" w:rsidR="00B334C2" w:rsidRPr="009C7232" w:rsidRDefault="00B334C2" w:rsidP="00B334C2">
            <w:pPr>
              <w:jc w:val="right"/>
              <w:rPr>
                <w:rFonts w:ascii="Verdana" w:hAnsi="Verdana" w:cs="Arial"/>
              </w:rPr>
            </w:pPr>
            <w:r w:rsidRPr="009C7232">
              <w:rPr>
                <w:rFonts w:ascii="Verdana" w:hAnsi="Verdana" w:cs="Arial"/>
              </w:rPr>
              <w:t>(51,000)</w:t>
            </w:r>
          </w:p>
        </w:tc>
      </w:tr>
      <w:tr w:rsidR="00B334C2" w:rsidRPr="009C7232" w14:paraId="60EEF795" w14:textId="77777777" w:rsidTr="00303773">
        <w:tc>
          <w:tcPr>
            <w:tcW w:w="552" w:type="dxa"/>
          </w:tcPr>
          <w:p w14:paraId="1BAA5788" w14:textId="77777777" w:rsidR="00B334C2" w:rsidRPr="009C7232" w:rsidRDefault="00B334C2" w:rsidP="00B334C2">
            <w:pPr>
              <w:rPr>
                <w:rFonts w:ascii="Verdana" w:hAnsi="Verdana"/>
              </w:rPr>
            </w:pPr>
          </w:p>
        </w:tc>
        <w:tc>
          <w:tcPr>
            <w:tcW w:w="6257" w:type="dxa"/>
          </w:tcPr>
          <w:p w14:paraId="70ECC65C" w14:textId="19479525" w:rsidR="00B334C2" w:rsidRPr="009C7232" w:rsidRDefault="00B334C2" w:rsidP="00B334C2">
            <w:pPr>
              <w:rPr>
                <w:rFonts w:ascii="Verdana" w:hAnsi="Verdana"/>
              </w:rPr>
            </w:pPr>
            <w:r w:rsidRPr="009C7232">
              <w:rPr>
                <w:rFonts w:ascii="Verdana" w:hAnsi="Verdana"/>
              </w:rPr>
              <w:t>For every 1% higher than forecast pay rise</w:t>
            </w:r>
          </w:p>
        </w:tc>
        <w:tc>
          <w:tcPr>
            <w:tcW w:w="1336" w:type="dxa"/>
          </w:tcPr>
          <w:p w14:paraId="46829BFA" w14:textId="19875339" w:rsidR="00B334C2" w:rsidRPr="009C7232" w:rsidRDefault="00B334C2" w:rsidP="00B334C2">
            <w:pPr>
              <w:jc w:val="right"/>
              <w:rPr>
                <w:rFonts w:ascii="Verdana" w:hAnsi="Verdana"/>
              </w:rPr>
            </w:pPr>
            <w:r w:rsidRPr="009C7232">
              <w:rPr>
                <w:rFonts w:ascii="Verdana" w:hAnsi="Verdana"/>
              </w:rPr>
              <w:t>(67,400)</w:t>
            </w:r>
          </w:p>
        </w:tc>
        <w:tc>
          <w:tcPr>
            <w:tcW w:w="1206" w:type="dxa"/>
          </w:tcPr>
          <w:p w14:paraId="1BA696AC" w14:textId="081C24EF" w:rsidR="00B334C2" w:rsidRPr="009C7232" w:rsidRDefault="00B334C2" w:rsidP="00B334C2">
            <w:pPr>
              <w:jc w:val="right"/>
              <w:rPr>
                <w:rFonts w:ascii="Verdana" w:hAnsi="Verdana" w:cs="Arial"/>
              </w:rPr>
            </w:pPr>
            <w:r w:rsidRPr="009C7232">
              <w:rPr>
                <w:rFonts w:ascii="Verdana" w:hAnsi="Verdana" w:cs="Arial"/>
              </w:rPr>
              <w:t>(70,000)</w:t>
            </w:r>
          </w:p>
        </w:tc>
      </w:tr>
      <w:tr w:rsidR="00B334C2" w:rsidRPr="009C7232" w14:paraId="18CE7992" w14:textId="77777777" w:rsidTr="00303773">
        <w:tc>
          <w:tcPr>
            <w:tcW w:w="552" w:type="dxa"/>
          </w:tcPr>
          <w:p w14:paraId="2DE4DD37" w14:textId="77777777" w:rsidR="00B334C2" w:rsidRPr="009C7232" w:rsidRDefault="00B334C2" w:rsidP="00B334C2">
            <w:pPr>
              <w:rPr>
                <w:rFonts w:ascii="Verdana" w:hAnsi="Verdana"/>
              </w:rPr>
            </w:pPr>
          </w:p>
        </w:tc>
        <w:tc>
          <w:tcPr>
            <w:tcW w:w="6257" w:type="dxa"/>
          </w:tcPr>
          <w:p w14:paraId="40075E7F" w14:textId="14D61C88" w:rsidR="00B334C2" w:rsidRPr="009C7232" w:rsidRDefault="00B334C2" w:rsidP="00B334C2">
            <w:pPr>
              <w:rPr>
                <w:rFonts w:ascii="Verdana" w:hAnsi="Verdana"/>
              </w:rPr>
            </w:pPr>
            <w:r w:rsidRPr="009C7232">
              <w:rPr>
                <w:rFonts w:ascii="Verdana" w:hAnsi="Verdana"/>
              </w:rPr>
              <w:t>All staff stay in the pension scheme after auto-enrolment</w:t>
            </w:r>
          </w:p>
        </w:tc>
        <w:tc>
          <w:tcPr>
            <w:tcW w:w="1336" w:type="dxa"/>
          </w:tcPr>
          <w:p w14:paraId="75C10DF8" w14:textId="68254FCE" w:rsidR="00B334C2" w:rsidRPr="009C7232" w:rsidRDefault="00B334C2" w:rsidP="00B334C2">
            <w:pPr>
              <w:jc w:val="right"/>
              <w:rPr>
                <w:rFonts w:ascii="Verdana" w:hAnsi="Verdana"/>
              </w:rPr>
            </w:pPr>
            <w:r w:rsidRPr="009C7232">
              <w:rPr>
                <w:rFonts w:ascii="Verdana" w:hAnsi="Verdana"/>
              </w:rPr>
              <w:t>(145,000)</w:t>
            </w:r>
          </w:p>
        </w:tc>
        <w:tc>
          <w:tcPr>
            <w:tcW w:w="1206" w:type="dxa"/>
          </w:tcPr>
          <w:p w14:paraId="0A41C926" w14:textId="36226AE6" w:rsidR="00B334C2" w:rsidRPr="009C7232" w:rsidRDefault="00B334C2" w:rsidP="00B334C2">
            <w:pPr>
              <w:jc w:val="right"/>
              <w:rPr>
                <w:rFonts w:ascii="Verdana" w:hAnsi="Verdana" w:cs="Arial"/>
              </w:rPr>
            </w:pPr>
            <w:r w:rsidRPr="009C7232">
              <w:rPr>
                <w:rFonts w:ascii="Verdana" w:hAnsi="Verdana" w:cs="Arial"/>
              </w:rPr>
              <w:t>(149,000)</w:t>
            </w:r>
          </w:p>
        </w:tc>
      </w:tr>
      <w:tr w:rsidR="00B334C2" w:rsidRPr="009C7232" w14:paraId="20EE8A94" w14:textId="77777777" w:rsidTr="00303773">
        <w:tc>
          <w:tcPr>
            <w:tcW w:w="552" w:type="dxa"/>
          </w:tcPr>
          <w:p w14:paraId="441A8372" w14:textId="77777777" w:rsidR="00B334C2" w:rsidRPr="009C7232" w:rsidRDefault="00B334C2" w:rsidP="00B334C2">
            <w:pPr>
              <w:rPr>
                <w:rFonts w:ascii="Verdana" w:hAnsi="Verdana"/>
              </w:rPr>
            </w:pPr>
          </w:p>
        </w:tc>
        <w:tc>
          <w:tcPr>
            <w:tcW w:w="6257" w:type="dxa"/>
          </w:tcPr>
          <w:p w14:paraId="4831891A" w14:textId="1AADC9EF" w:rsidR="009C7232" w:rsidRPr="009C7232" w:rsidRDefault="00B334C2" w:rsidP="00B334C2">
            <w:pPr>
              <w:rPr>
                <w:rFonts w:ascii="Verdana" w:hAnsi="Verdana"/>
              </w:rPr>
            </w:pPr>
            <w:r w:rsidRPr="009C7232">
              <w:rPr>
                <w:rFonts w:ascii="Verdana" w:hAnsi="Verdana"/>
              </w:rPr>
              <w:t>For every 1% higher than forecast non-pay rates</w:t>
            </w:r>
          </w:p>
        </w:tc>
        <w:tc>
          <w:tcPr>
            <w:tcW w:w="1336" w:type="dxa"/>
          </w:tcPr>
          <w:p w14:paraId="2F65785F" w14:textId="791BFC4C" w:rsidR="00B334C2" w:rsidRPr="009C7232" w:rsidRDefault="009C7232" w:rsidP="00B334C2">
            <w:pPr>
              <w:jc w:val="right"/>
              <w:rPr>
                <w:rFonts w:ascii="Verdana" w:hAnsi="Verdana"/>
              </w:rPr>
            </w:pPr>
            <w:r w:rsidRPr="009C7232">
              <w:rPr>
                <w:rFonts w:ascii="Verdana" w:hAnsi="Verdana"/>
              </w:rPr>
              <w:t>(28,000)</w:t>
            </w:r>
          </w:p>
        </w:tc>
        <w:tc>
          <w:tcPr>
            <w:tcW w:w="1206" w:type="dxa"/>
          </w:tcPr>
          <w:p w14:paraId="62C7AAC1" w14:textId="7A451003" w:rsidR="00B334C2" w:rsidRPr="009C7232" w:rsidRDefault="009C7232" w:rsidP="00B334C2">
            <w:pPr>
              <w:jc w:val="right"/>
              <w:rPr>
                <w:rFonts w:ascii="Verdana" w:hAnsi="Verdana" w:cs="Arial"/>
              </w:rPr>
            </w:pPr>
            <w:r w:rsidRPr="009C7232">
              <w:rPr>
                <w:rFonts w:ascii="Verdana" w:hAnsi="Verdana" w:cs="Arial"/>
              </w:rPr>
              <w:t>(30,000)</w:t>
            </w:r>
          </w:p>
        </w:tc>
      </w:tr>
    </w:tbl>
    <w:p w14:paraId="07C87353" w14:textId="2FFCEB74" w:rsidR="008D7D88" w:rsidRPr="009C7232" w:rsidRDefault="008D7D88" w:rsidP="004F4C55">
      <w:pPr>
        <w:rPr>
          <w:rFonts w:ascii="Verdana" w:hAnsi="Verdana"/>
        </w:rPr>
      </w:pPr>
    </w:p>
    <w:tbl>
      <w:tblPr>
        <w:tblW w:w="9351" w:type="dxa"/>
        <w:tblLook w:val="04A0" w:firstRow="1" w:lastRow="0" w:firstColumn="1" w:lastColumn="0" w:noHBand="0" w:noVBand="1"/>
      </w:tblPr>
      <w:tblGrid>
        <w:gridCol w:w="544"/>
        <w:gridCol w:w="8807"/>
      </w:tblGrid>
      <w:tr w:rsidR="009C7232" w:rsidRPr="009C7232" w14:paraId="205E7709" w14:textId="77777777" w:rsidTr="00303773">
        <w:tc>
          <w:tcPr>
            <w:tcW w:w="544" w:type="dxa"/>
          </w:tcPr>
          <w:p w14:paraId="6670D9A2" w14:textId="77777777" w:rsidR="009C7232" w:rsidRPr="009C7232" w:rsidRDefault="009C7232" w:rsidP="008100B2">
            <w:pPr>
              <w:rPr>
                <w:rFonts w:ascii="Verdana" w:hAnsi="Verdana"/>
                <w:b/>
                <w:color w:val="FF0000"/>
              </w:rPr>
            </w:pPr>
          </w:p>
        </w:tc>
        <w:tc>
          <w:tcPr>
            <w:tcW w:w="8807" w:type="dxa"/>
          </w:tcPr>
          <w:p w14:paraId="1259F6D1" w14:textId="63738264" w:rsidR="009C7232" w:rsidRPr="009C7232" w:rsidRDefault="009C7232" w:rsidP="008100B2">
            <w:pPr>
              <w:contextualSpacing/>
              <w:rPr>
                <w:rFonts w:ascii="Verdana" w:hAnsi="Verdana" w:cs="Arial"/>
              </w:rPr>
            </w:pPr>
            <w:r w:rsidRPr="009C7232">
              <w:rPr>
                <w:rFonts w:ascii="Verdana" w:hAnsi="Verdana" w:cs="Arial"/>
              </w:rPr>
              <w:t>To mitigate the effects of any of the</w:t>
            </w:r>
            <w:r w:rsidR="002276CA">
              <w:rPr>
                <w:rFonts w:ascii="Verdana" w:hAnsi="Verdana" w:cs="Arial"/>
              </w:rPr>
              <w:t xml:space="preserve"> above</w:t>
            </w:r>
            <w:r w:rsidRPr="009C7232">
              <w:rPr>
                <w:rFonts w:ascii="Verdana" w:hAnsi="Verdana" w:cs="Arial"/>
              </w:rPr>
              <w:t xml:space="preserve"> the College would</w:t>
            </w:r>
            <w:r w:rsidR="002276CA">
              <w:rPr>
                <w:rFonts w:ascii="Verdana" w:hAnsi="Verdana" w:cs="Arial"/>
              </w:rPr>
              <w:t xml:space="preserve"> have to</w:t>
            </w:r>
            <w:r w:rsidRPr="009C7232">
              <w:rPr>
                <w:rFonts w:ascii="Verdana" w:hAnsi="Verdana" w:cs="Arial"/>
              </w:rPr>
              <w:t xml:space="preserve"> choose the most appropriate options from:</w:t>
            </w:r>
          </w:p>
        </w:tc>
      </w:tr>
    </w:tbl>
    <w:p w14:paraId="14E192BE" w14:textId="77777777" w:rsidR="008D7D88" w:rsidRPr="009C7232" w:rsidRDefault="008D7D88" w:rsidP="004F4C55">
      <w:pPr>
        <w:rPr>
          <w:rFonts w:ascii="Verdana" w:hAnsi="Verdan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429"/>
        <w:gridCol w:w="8384"/>
      </w:tblGrid>
      <w:tr w:rsidR="009C7232" w:rsidRPr="009C7232" w14:paraId="02478359" w14:textId="77777777" w:rsidTr="00303773">
        <w:tc>
          <w:tcPr>
            <w:tcW w:w="538" w:type="dxa"/>
          </w:tcPr>
          <w:p w14:paraId="252099A8" w14:textId="77777777" w:rsidR="009C7232" w:rsidRPr="009C7232" w:rsidRDefault="009C7232" w:rsidP="008100B2">
            <w:pPr>
              <w:rPr>
                <w:rFonts w:ascii="Verdana" w:hAnsi="Verdana"/>
              </w:rPr>
            </w:pPr>
          </w:p>
        </w:tc>
        <w:tc>
          <w:tcPr>
            <w:tcW w:w="429" w:type="dxa"/>
          </w:tcPr>
          <w:p w14:paraId="6EB39799" w14:textId="77777777" w:rsidR="009C7232" w:rsidRPr="009C7232" w:rsidRDefault="009C7232" w:rsidP="008100B2">
            <w:pPr>
              <w:rPr>
                <w:rFonts w:ascii="Verdana" w:hAnsi="Verdana"/>
                <w:b/>
              </w:rPr>
            </w:pPr>
            <w:r w:rsidRPr="009C7232">
              <w:rPr>
                <w:rFonts w:ascii="Verdana" w:hAnsi="Verdana"/>
                <w:b/>
              </w:rPr>
              <w:t>.</w:t>
            </w:r>
          </w:p>
        </w:tc>
        <w:tc>
          <w:tcPr>
            <w:tcW w:w="8384" w:type="dxa"/>
          </w:tcPr>
          <w:p w14:paraId="73A0FE45" w14:textId="7C34543F" w:rsidR="009C7232" w:rsidRPr="009C7232" w:rsidRDefault="009C7232" w:rsidP="008100B2">
            <w:pPr>
              <w:rPr>
                <w:rFonts w:ascii="Verdana" w:hAnsi="Verdana" w:cs="Arial"/>
              </w:rPr>
            </w:pPr>
            <w:r w:rsidRPr="009C7232">
              <w:rPr>
                <w:rFonts w:ascii="Verdana" w:hAnsi="Verdana" w:cs="Arial"/>
              </w:rPr>
              <w:t>recruiting fewer staff in 2020</w:t>
            </w:r>
            <w:r w:rsidR="00E86BE7">
              <w:rPr>
                <w:rFonts w:ascii="Verdana" w:hAnsi="Verdana" w:cs="Arial"/>
              </w:rPr>
              <w:t>-</w:t>
            </w:r>
            <w:r w:rsidRPr="009C7232">
              <w:rPr>
                <w:rFonts w:ascii="Verdana" w:hAnsi="Verdana" w:cs="Arial"/>
              </w:rPr>
              <w:t>21;</w:t>
            </w:r>
          </w:p>
        </w:tc>
      </w:tr>
      <w:tr w:rsidR="009C7232" w:rsidRPr="009C7232" w14:paraId="58202ECE" w14:textId="77777777" w:rsidTr="00303773">
        <w:tc>
          <w:tcPr>
            <w:tcW w:w="538" w:type="dxa"/>
          </w:tcPr>
          <w:p w14:paraId="0C869E90" w14:textId="77777777" w:rsidR="009C7232" w:rsidRPr="009C7232" w:rsidRDefault="009C7232" w:rsidP="008100B2">
            <w:pPr>
              <w:rPr>
                <w:rFonts w:ascii="Verdana" w:hAnsi="Verdana"/>
              </w:rPr>
            </w:pPr>
          </w:p>
        </w:tc>
        <w:tc>
          <w:tcPr>
            <w:tcW w:w="429" w:type="dxa"/>
          </w:tcPr>
          <w:p w14:paraId="237DBAC1" w14:textId="77777777" w:rsidR="009C7232" w:rsidRPr="009C7232" w:rsidRDefault="009C7232" w:rsidP="008100B2">
            <w:pPr>
              <w:rPr>
                <w:rFonts w:ascii="Verdana" w:hAnsi="Verdana"/>
                <w:b/>
              </w:rPr>
            </w:pPr>
            <w:r w:rsidRPr="009C7232">
              <w:rPr>
                <w:rFonts w:ascii="Verdana" w:hAnsi="Verdana"/>
                <w:b/>
              </w:rPr>
              <w:t>.</w:t>
            </w:r>
          </w:p>
        </w:tc>
        <w:tc>
          <w:tcPr>
            <w:tcW w:w="8384" w:type="dxa"/>
          </w:tcPr>
          <w:p w14:paraId="218DCDE3" w14:textId="5874DD1F" w:rsidR="009C7232" w:rsidRPr="009C7232" w:rsidRDefault="009C7232" w:rsidP="008100B2">
            <w:pPr>
              <w:rPr>
                <w:rFonts w:ascii="Verdana" w:hAnsi="Verdana" w:cs="Arial"/>
                <w:i/>
                <w:iCs/>
              </w:rPr>
            </w:pPr>
            <w:r w:rsidRPr="009C7232">
              <w:rPr>
                <w:rFonts w:ascii="Verdana" w:hAnsi="Verdana" w:cs="Arial"/>
              </w:rPr>
              <w:t xml:space="preserve">withdrawing from the SFCA payroll settlement; </w:t>
            </w:r>
            <w:r w:rsidRPr="009C7232">
              <w:rPr>
                <w:rFonts w:ascii="Verdana" w:hAnsi="Verdana" w:cs="Arial"/>
                <w:i/>
                <w:iCs/>
              </w:rPr>
              <w:t>or</w:t>
            </w:r>
          </w:p>
        </w:tc>
      </w:tr>
      <w:tr w:rsidR="009C7232" w:rsidRPr="009C7232" w14:paraId="40E20B7E" w14:textId="77777777" w:rsidTr="00303773">
        <w:tc>
          <w:tcPr>
            <w:tcW w:w="538" w:type="dxa"/>
          </w:tcPr>
          <w:p w14:paraId="65B072E8" w14:textId="77777777" w:rsidR="009C7232" w:rsidRPr="009C7232" w:rsidRDefault="009C7232" w:rsidP="008100B2">
            <w:pPr>
              <w:rPr>
                <w:rFonts w:ascii="Verdana" w:hAnsi="Verdana"/>
              </w:rPr>
            </w:pPr>
          </w:p>
        </w:tc>
        <w:tc>
          <w:tcPr>
            <w:tcW w:w="429" w:type="dxa"/>
          </w:tcPr>
          <w:p w14:paraId="3D351D2D" w14:textId="77777777" w:rsidR="009C7232" w:rsidRPr="009C7232" w:rsidRDefault="009C7232" w:rsidP="008100B2">
            <w:pPr>
              <w:rPr>
                <w:rFonts w:ascii="Verdana" w:hAnsi="Verdana"/>
                <w:b/>
              </w:rPr>
            </w:pPr>
            <w:r w:rsidRPr="009C7232">
              <w:rPr>
                <w:rFonts w:ascii="Verdana" w:hAnsi="Verdana"/>
                <w:b/>
              </w:rPr>
              <w:t>.</w:t>
            </w:r>
          </w:p>
        </w:tc>
        <w:tc>
          <w:tcPr>
            <w:tcW w:w="8384" w:type="dxa"/>
          </w:tcPr>
          <w:p w14:paraId="39AD1A98" w14:textId="6B3B6F9B" w:rsidR="009C7232" w:rsidRPr="009C7232" w:rsidRDefault="009C7232" w:rsidP="008100B2">
            <w:pPr>
              <w:rPr>
                <w:rFonts w:ascii="Verdana" w:hAnsi="Verdana" w:cs="Arial"/>
              </w:rPr>
            </w:pPr>
            <w:r w:rsidRPr="009C7232">
              <w:rPr>
                <w:rFonts w:ascii="Verdana" w:hAnsi="Verdana" w:cs="Arial"/>
              </w:rPr>
              <w:t>reducing refurbishment and renewal funds.</w:t>
            </w:r>
          </w:p>
        </w:tc>
      </w:tr>
    </w:tbl>
    <w:p w14:paraId="708FEAB1" w14:textId="10197559" w:rsidR="003C23B2" w:rsidRPr="009C7232" w:rsidRDefault="003C23B2" w:rsidP="004F4C55">
      <w:pPr>
        <w:rPr>
          <w:rFonts w:ascii="Verdana" w:hAnsi="Verdana"/>
        </w:rPr>
      </w:pPr>
    </w:p>
    <w:tbl>
      <w:tblPr>
        <w:tblW w:w="9351" w:type="dxa"/>
        <w:tblLook w:val="04A0" w:firstRow="1" w:lastRow="0" w:firstColumn="1" w:lastColumn="0" w:noHBand="0" w:noVBand="1"/>
      </w:tblPr>
      <w:tblGrid>
        <w:gridCol w:w="544"/>
        <w:gridCol w:w="8807"/>
      </w:tblGrid>
      <w:tr w:rsidR="009C7232" w:rsidRPr="009C7232" w14:paraId="1459F890" w14:textId="77777777" w:rsidTr="00303773">
        <w:tc>
          <w:tcPr>
            <w:tcW w:w="544" w:type="dxa"/>
          </w:tcPr>
          <w:p w14:paraId="2A9AE0C1" w14:textId="77777777" w:rsidR="009C7232" w:rsidRPr="009C7232" w:rsidRDefault="009C7232" w:rsidP="008100B2">
            <w:pPr>
              <w:rPr>
                <w:rFonts w:ascii="Verdana" w:hAnsi="Verdana"/>
                <w:b/>
                <w:color w:val="FF0000"/>
              </w:rPr>
            </w:pPr>
          </w:p>
        </w:tc>
        <w:tc>
          <w:tcPr>
            <w:tcW w:w="8807" w:type="dxa"/>
          </w:tcPr>
          <w:p w14:paraId="1C8E9367" w14:textId="77777777" w:rsidR="006F2984" w:rsidRDefault="006F2984" w:rsidP="006F2984">
            <w:pPr>
              <w:contextualSpacing/>
              <w:rPr>
                <w:rFonts w:ascii="Verdana" w:hAnsi="Verdana" w:cs="Arial"/>
              </w:rPr>
            </w:pPr>
            <w:r>
              <w:rPr>
                <w:rFonts w:ascii="Verdana" w:hAnsi="Verdana" w:cs="Arial"/>
              </w:rPr>
              <w:t>In response to a question from the Committee Chair, the Vice-Principal: Corporate Services confirmed that budget sensitivities had been calculated on a conservative basis, with the largest risks attending the current decision of staff to opt out of the Teachers’ Pension Scheme (£145,00 in 2020-21, £149,000 in 2021-22), the potential loss of the Teacher Pension Grant (£137,402 in each year) and a revocation of the announced funding rate increase (£101,000 in 2021-22).</w:t>
            </w:r>
          </w:p>
          <w:p w14:paraId="38C6F0F7" w14:textId="77777777" w:rsidR="009C7232" w:rsidRDefault="009C7232" w:rsidP="008100B2">
            <w:pPr>
              <w:contextualSpacing/>
              <w:rPr>
                <w:rFonts w:ascii="Verdana" w:hAnsi="Verdana" w:cs="Arial"/>
              </w:rPr>
            </w:pPr>
          </w:p>
          <w:p w14:paraId="12AD1060" w14:textId="58BF2A4F" w:rsidR="009C7232" w:rsidRPr="009C7232" w:rsidRDefault="009C7232" w:rsidP="008100B2">
            <w:pPr>
              <w:contextualSpacing/>
              <w:rPr>
                <w:rFonts w:ascii="Verdana" w:hAnsi="Verdana" w:cs="Arial"/>
              </w:rPr>
            </w:pPr>
            <w:r>
              <w:rPr>
                <w:rFonts w:ascii="Verdana" w:hAnsi="Verdana" w:cs="Arial"/>
              </w:rPr>
              <w:t>The estimates for 2020-21 (see Minute 7 above) and 2021-22 were recommended for approval by the Corporation for submission to the ESFA.</w:t>
            </w:r>
          </w:p>
        </w:tc>
      </w:tr>
    </w:tbl>
    <w:p w14:paraId="1EAD2C7F" w14:textId="783D0318" w:rsidR="00E63E7D" w:rsidRDefault="00E63E7D" w:rsidP="004F4C55"/>
    <w:tbl>
      <w:tblPr>
        <w:tblW w:w="9351" w:type="dxa"/>
        <w:tblLook w:val="04A0" w:firstRow="1" w:lastRow="0" w:firstColumn="1" w:lastColumn="0" w:noHBand="0" w:noVBand="1"/>
      </w:tblPr>
      <w:tblGrid>
        <w:gridCol w:w="534"/>
        <w:gridCol w:w="8817"/>
      </w:tblGrid>
      <w:tr w:rsidR="00436F19" w:rsidRPr="00E114A5" w14:paraId="5F637A19" w14:textId="77777777" w:rsidTr="00303773">
        <w:tc>
          <w:tcPr>
            <w:tcW w:w="534" w:type="dxa"/>
          </w:tcPr>
          <w:p w14:paraId="00ED38F5" w14:textId="7B1059E0" w:rsidR="00436F19" w:rsidRPr="00E114A5" w:rsidRDefault="009C7232" w:rsidP="007D5E3C">
            <w:pPr>
              <w:rPr>
                <w:rFonts w:ascii="Verdana" w:hAnsi="Verdana"/>
                <w:b/>
              </w:rPr>
            </w:pPr>
            <w:r w:rsidRPr="00E114A5">
              <w:rPr>
                <w:rFonts w:ascii="Verdana" w:hAnsi="Verdana"/>
                <w:b/>
              </w:rPr>
              <w:t>9</w:t>
            </w:r>
          </w:p>
        </w:tc>
        <w:tc>
          <w:tcPr>
            <w:tcW w:w="8817" w:type="dxa"/>
          </w:tcPr>
          <w:p w14:paraId="7A073409" w14:textId="77777777" w:rsidR="009C7232" w:rsidRPr="00E114A5" w:rsidRDefault="009C7232" w:rsidP="009C7232">
            <w:pPr>
              <w:pStyle w:val="NoSpacing"/>
              <w:rPr>
                <w:rFonts w:ascii="Verdana" w:hAnsi="Verdana"/>
                <w:b/>
              </w:rPr>
            </w:pPr>
            <w:r w:rsidRPr="00E114A5">
              <w:rPr>
                <w:rFonts w:ascii="Verdana" w:hAnsi="Verdana"/>
                <w:b/>
              </w:rPr>
              <w:t>Financial Regulations</w:t>
            </w:r>
          </w:p>
          <w:p w14:paraId="107C2FF4" w14:textId="77777777" w:rsidR="0083078D" w:rsidRPr="00E114A5" w:rsidRDefault="0083078D" w:rsidP="00D85377">
            <w:pPr>
              <w:pStyle w:val="NoSpacing"/>
              <w:rPr>
                <w:rFonts w:ascii="Verdana" w:hAnsi="Verdana"/>
                <w:bCs/>
              </w:rPr>
            </w:pPr>
          </w:p>
          <w:p w14:paraId="0CBA3A83" w14:textId="52BD67C2" w:rsidR="009C7232" w:rsidRPr="00E114A5" w:rsidRDefault="009C7232" w:rsidP="00D85377">
            <w:pPr>
              <w:pStyle w:val="NoSpacing"/>
              <w:rPr>
                <w:rFonts w:ascii="Verdana" w:hAnsi="Verdana"/>
                <w:bCs/>
              </w:rPr>
            </w:pPr>
            <w:r w:rsidRPr="00E114A5">
              <w:rPr>
                <w:rFonts w:ascii="Verdana" w:hAnsi="Verdana"/>
                <w:bCs/>
              </w:rPr>
              <w:t>The following proposed changes were considered in the light of the Bournville College Report and the context of good practice</w:t>
            </w:r>
            <w:r w:rsidR="005511E8">
              <w:rPr>
                <w:rFonts w:ascii="Verdana" w:hAnsi="Verdana"/>
                <w:bCs/>
              </w:rPr>
              <w:t>:</w:t>
            </w:r>
          </w:p>
        </w:tc>
      </w:tr>
    </w:tbl>
    <w:p w14:paraId="51741919" w14:textId="3C443785" w:rsidR="00A1529C" w:rsidRPr="00E114A5" w:rsidRDefault="00A1529C" w:rsidP="004F4C55">
      <w:pPr>
        <w:rPr>
          <w:rFonts w:ascii="Verdana" w:hAnsi="Verdan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429"/>
        <w:gridCol w:w="8384"/>
      </w:tblGrid>
      <w:tr w:rsidR="009C7232" w:rsidRPr="00E114A5" w14:paraId="7A03E790" w14:textId="77777777" w:rsidTr="00303773">
        <w:tc>
          <w:tcPr>
            <w:tcW w:w="538" w:type="dxa"/>
          </w:tcPr>
          <w:p w14:paraId="38A22051" w14:textId="77777777" w:rsidR="009C7232" w:rsidRPr="00E114A5" w:rsidRDefault="009C7232" w:rsidP="008100B2">
            <w:pPr>
              <w:rPr>
                <w:rFonts w:ascii="Verdana" w:hAnsi="Verdana"/>
              </w:rPr>
            </w:pPr>
          </w:p>
        </w:tc>
        <w:tc>
          <w:tcPr>
            <w:tcW w:w="429" w:type="dxa"/>
          </w:tcPr>
          <w:p w14:paraId="3EBE8464" w14:textId="77777777" w:rsidR="009C7232" w:rsidRPr="00E114A5" w:rsidRDefault="009C7232" w:rsidP="008100B2">
            <w:pPr>
              <w:rPr>
                <w:rFonts w:ascii="Verdana" w:hAnsi="Verdana"/>
                <w:b/>
              </w:rPr>
            </w:pPr>
            <w:r w:rsidRPr="00E114A5">
              <w:rPr>
                <w:rFonts w:ascii="Verdana" w:hAnsi="Verdana"/>
                <w:b/>
              </w:rPr>
              <w:t>.</w:t>
            </w:r>
          </w:p>
        </w:tc>
        <w:tc>
          <w:tcPr>
            <w:tcW w:w="8384" w:type="dxa"/>
          </w:tcPr>
          <w:p w14:paraId="34558460" w14:textId="5C9858C0" w:rsidR="009C7232" w:rsidRPr="00E114A5" w:rsidRDefault="009C7232" w:rsidP="00E114A5">
            <w:pPr>
              <w:jc w:val="both"/>
              <w:rPr>
                <w:rFonts w:ascii="Verdana" w:hAnsi="Verdana" w:cs="Arial"/>
                <w:bCs/>
              </w:rPr>
            </w:pPr>
            <w:r w:rsidRPr="00E114A5">
              <w:rPr>
                <w:rFonts w:ascii="Verdana" w:hAnsi="Verdana" w:cs="Arial"/>
                <w:bCs/>
              </w:rPr>
              <w:t>an annual report o</w:t>
            </w:r>
            <w:r w:rsidR="00ED2592">
              <w:rPr>
                <w:rFonts w:ascii="Verdana" w:hAnsi="Verdana" w:cs="Arial"/>
                <w:bCs/>
              </w:rPr>
              <w:t>n the value of</w:t>
            </w:r>
            <w:r w:rsidRPr="00E114A5">
              <w:rPr>
                <w:rFonts w:ascii="Verdana" w:hAnsi="Verdana" w:cs="Arial"/>
                <w:bCs/>
              </w:rPr>
              <w:t xml:space="preserve"> turnover with suppliers </w:t>
            </w:r>
            <w:r w:rsidR="006F2984">
              <w:rPr>
                <w:rFonts w:ascii="Verdana" w:hAnsi="Verdana" w:cs="Arial"/>
                <w:bCs/>
              </w:rPr>
              <w:t xml:space="preserve">will </w:t>
            </w:r>
            <w:r w:rsidRPr="00E114A5">
              <w:rPr>
                <w:rFonts w:ascii="Verdana" w:hAnsi="Verdana" w:cs="Arial"/>
                <w:bCs/>
              </w:rPr>
              <w:t xml:space="preserve">be presented to </w:t>
            </w:r>
            <w:r w:rsidR="00E114A5" w:rsidRPr="00E114A5">
              <w:rPr>
                <w:rFonts w:ascii="Verdana" w:hAnsi="Verdana" w:cs="Arial"/>
                <w:bCs/>
              </w:rPr>
              <w:t xml:space="preserve">the </w:t>
            </w:r>
            <w:r w:rsidRPr="00E114A5">
              <w:rPr>
                <w:rFonts w:ascii="Verdana" w:hAnsi="Verdana" w:cs="Arial"/>
                <w:bCs/>
              </w:rPr>
              <w:t>Resources Committee each year</w:t>
            </w:r>
            <w:r w:rsidR="008F7C43">
              <w:rPr>
                <w:rFonts w:ascii="Verdana" w:hAnsi="Verdana" w:cs="Arial"/>
                <w:bCs/>
              </w:rPr>
              <w:t xml:space="preserve"> - </w:t>
            </w:r>
            <w:r w:rsidR="00E114A5" w:rsidRPr="00E114A5">
              <w:rPr>
                <w:rFonts w:ascii="Verdana" w:hAnsi="Verdana" w:cs="Arial"/>
                <w:bCs/>
              </w:rPr>
              <w:t xml:space="preserve">the </w:t>
            </w:r>
            <w:r w:rsidRPr="00E114A5">
              <w:rPr>
                <w:rFonts w:ascii="Verdana" w:hAnsi="Verdana" w:cs="Arial"/>
                <w:bCs/>
              </w:rPr>
              <w:t>2018</w:t>
            </w:r>
            <w:r w:rsidR="008F7C43">
              <w:rPr>
                <w:rFonts w:ascii="Verdana" w:hAnsi="Verdana" w:cs="Arial"/>
                <w:bCs/>
              </w:rPr>
              <w:t>-</w:t>
            </w:r>
            <w:r w:rsidRPr="00E114A5">
              <w:rPr>
                <w:rFonts w:ascii="Verdana" w:hAnsi="Verdana" w:cs="Arial"/>
                <w:bCs/>
              </w:rPr>
              <w:t xml:space="preserve">19 report </w:t>
            </w:r>
            <w:r w:rsidR="008F7C43">
              <w:rPr>
                <w:rFonts w:ascii="Verdana" w:hAnsi="Verdana" w:cs="Arial"/>
                <w:bCs/>
              </w:rPr>
              <w:t>was received under this agendum</w:t>
            </w:r>
            <w:r w:rsidR="00E114A5" w:rsidRPr="00E114A5">
              <w:rPr>
                <w:rFonts w:ascii="Verdana" w:hAnsi="Verdana" w:cs="Arial"/>
                <w:bCs/>
              </w:rPr>
              <w:t xml:space="preserve">; </w:t>
            </w:r>
            <w:r w:rsidRPr="00E114A5">
              <w:rPr>
                <w:rFonts w:ascii="Verdana" w:hAnsi="Verdana" w:cs="Arial"/>
                <w:bCs/>
              </w:rPr>
              <w:t xml:space="preserve"> </w:t>
            </w:r>
          </w:p>
          <w:p w14:paraId="2DE9B650" w14:textId="32DBC65C" w:rsidR="00E114A5" w:rsidRPr="00E114A5" w:rsidRDefault="00E114A5" w:rsidP="00E114A5">
            <w:pPr>
              <w:jc w:val="both"/>
              <w:rPr>
                <w:rFonts w:ascii="Verdana" w:hAnsi="Verdana" w:cs="Arial"/>
              </w:rPr>
            </w:pPr>
          </w:p>
        </w:tc>
      </w:tr>
      <w:tr w:rsidR="009C7232" w:rsidRPr="00E114A5" w14:paraId="71A2879B" w14:textId="77777777" w:rsidTr="00303773">
        <w:tc>
          <w:tcPr>
            <w:tcW w:w="538" w:type="dxa"/>
          </w:tcPr>
          <w:p w14:paraId="02D76A9D" w14:textId="77777777" w:rsidR="009C7232" w:rsidRPr="00E114A5" w:rsidRDefault="009C7232" w:rsidP="008100B2">
            <w:pPr>
              <w:rPr>
                <w:rFonts w:ascii="Verdana" w:hAnsi="Verdana"/>
              </w:rPr>
            </w:pPr>
          </w:p>
        </w:tc>
        <w:tc>
          <w:tcPr>
            <w:tcW w:w="429" w:type="dxa"/>
          </w:tcPr>
          <w:p w14:paraId="1D21C0B6" w14:textId="77777777" w:rsidR="009C7232" w:rsidRPr="00E114A5" w:rsidRDefault="009C7232" w:rsidP="008100B2">
            <w:pPr>
              <w:rPr>
                <w:rFonts w:ascii="Verdana" w:hAnsi="Verdana"/>
                <w:b/>
              </w:rPr>
            </w:pPr>
            <w:r w:rsidRPr="00E114A5">
              <w:rPr>
                <w:rFonts w:ascii="Verdana" w:hAnsi="Verdana"/>
                <w:b/>
              </w:rPr>
              <w:t>.</w:t>
            </w:r>
          </w:p>
        </w:tc>
        <w:tc>
          <w:tcPr>
            <w:tcW w:w="8384" w:type="dxa"/>
          </w:tcPr>
          <w:p w14:paraId="38C9F917" w14:textId="33EF1CC2" w:rsidR="009C7232" w:rsidRPr="00E114A5" w:rsidRDefault="00E114A5" w:rsidP="008100B2">
            <w:pPr>
              <w:rPr>
                <w:rFonts w:ascii="Verdana" w:hAnsi="Verdana" w:cs="Arial"/>
                <w:iCs/>
              </w:rPr>
            </w:pPr>
            <w:r w:rsidRPr="00E114A5">
              <w:rPr>
                <w:rFonts w:ascii="Verdana" w:hAnsi="Verdana" w:cs="Arial"/>
                <w:iCs/>
              </w:rPr>
              <w:t xml:space="preserve">all instances of corporate hospitality outside the College </w:t>
            </w:r>
            <w:r w:rsidR="006F2984">
              <w:rPr>
                <w:rFonts w:ascii="Verdana" w:hAnsi="Verdana" w:cs="Arial"/>
                <w:iCs/>
              </w:rPr>
              <w:t xml:space="preserve">will </w:t>
            </w:r>
            <w:r w:rsidRPr="00E114A5">
              <w:rPr>
                <w:rFonts w:ascii="Verdana" w:hAnsi="Verdana" w:cs="Arial"/>
                <w:iCs/>
              </w:rPr>
              <w:t>be</w:t>
            </w:r>
            <w:r w:rsidR="0073752B">
              <w:rPr>
                <w:rFonts w:ascii="Verdana" w:hAnsi="Verdana" w:cs="Arial"/>
                <w:iCs/>
              </w:rPr>
              <w:t xml:space="preserve"> </w:t>
            </w:r>
            <w:r w:rsidR="0077638A">
              <w:rPr>
                <w:rFonts w:ascii="Verdana" w:hAnsi="Verdana" w:cs="Arial"/>
                <w:iCs/>
              </w:rPr>
              <w:t xml:space="preserve">reported </w:t>
            </w:r>
            <w:r w:rsidRPr="006F2984">
              <w:rPr>
                <w:rFonts w:ascii="Verdana" w:hAnsi="Verdana" w:cs="Arial"/>
                <w:iCs/>
              </w:rPr>
              <w:t>to the External Relations Committee</w:t>
            </w:r>
            <w:r w:rsidR="006F2984">
              <w:rPr>
                <w:rFonts w:ascii="Verdana" w:hAnsi="Verdana" w:cs="Arial"/>
                <w:iCs/>
              </w:rPr>
              <w:t xml:space="preserve">, with </w:t>
            </w:r>
            <w:r w:rsidR="008F7C43" w:rsidRPr="006F2984">
              <w:rPr>
                <w:rFonts w:ascii="Verdana" w:hAnsi="Verdana" w:cs="Arial"/>
                <w:iCs/>
              </w:rPr>
              <w:t>a standing agendum provided</w:t>
            </w:r>
            <w:r w:rsidR="0077638A" w:rsidRPr="006F2984">
              <w:rPr>
                <w:rFonts w:ascii="Verdana" w:hAnsi="Verdana" w:cs="Arial"/>
                <w:iCs/>
              </w:rPr>
              <w:t xml:space="preserve"> on the Committee’s order of business</w:t>
            </w:r>
            <w:r w:rsidRPr="006F2984">
              <w:rPr>
                <w:rFonts w:ascii="Verdana" w:hAnsi="Verdana" w:cs="Arial"/>
                <w:iCs/>
              </w:rPr>
              <w:t>;</w:t>
            </w:r>
          </w:p>
          <w:p w14:paraId="32EAB806" w14:textId="631F09DB" w:rsidR="00E114A5" w:rsidRPr="00E114A5" w:rsidRDefault="00E114A5" w:rsidP="008100B2">
            <w:pPr>
              <w:rPr>
                <w:rFonts w:ascii="Verdana" w:hAnsi="Verdana" w:cs="Arial"/>
                <w:i/>
                <w:iCs/>
              </w:rPr>
            </w:pPr>
          </w:p>
        </w:tc>
      </w:tr>
      <w:tr w:rsidR="009C7232" w:rsidRPr="00E114A5" w14:paraId="0F0AB0DE" w14:textId="77777777" w:rsidTr="00303773">
        <w:tc>
          <w:tcPr>
            <w:tcW w:w="538" w:type="dxa"/>
          </w:tcPr>
          <w:p w14:paraId="033945D1" w14:textId="77777777" w:rsidR="009C7232" w:rsidRPr="00E114A5" w:rsidRDefault="009C7232" w:rsidP="008100B2">
            <w:pPr>
              <w:rPr>
                <w:rFonts w:ascii="Verdana" w:hAnsi="Verdana"/>
              </w:rPr>
            </w:pPr>
          </w:p>
        </w:tc>
        <w:tc>
          <w:tcPr>
            <w:tcW w:w="429" w:type="dxa"/>
          </w:tcPr>
          <w:p w14:paraId="473803D2" w14:textId="77777777" w:rsidR="009C7232" w:rsidRPr="00E114A5" w:rsidRDefault="009C7232" w:rsidP="008100B2">
            <w:pPr>
              <w:rPr>
                <w:rFonts w:ascii="Verdana" w:hAnsi="Verdana"/>
                <w:b/>
              </w:rPr>
            </w:pPr>
            <w:r w:rsidRPr="00E114A5">
              <w:rPr>
                <w:rFonts w:ascii="Verdana" w:hAnsi="Verdana"/>
                <w:b/>
              </w:rPr>
              <w:t>.</w:t>
            </w:r>
          </w:p>
        </w:tc>
        <w:tc>
          <w:tcPr>
            <w:tcW w:w="8384" w:type="dxa"/>
          </w:tcPr>
          <w:p w14:paraId="6DE02095" w14:textId="5101AE6A" w:rsidR="00E114A5" w:rsidRPr="00E114A5" w:rsidRDefault="00E114A5" w:rsidP="008100B2">
            <w:pPr>
              <w:rPr>
                <w:rFonts w:ascii="Verdana" w:hAnsi="Verdana" w:cs="Arial"/>
                <w:iCs/>
              </w:rPr>
            </w:pPr>
            <w:r w:rsidRPr="00E114A5">
              <w:rPr>
                <w:rFonts w:ascii="Verdana" w:hAnsi="Verdana" w:cs="Arial"/>
                <w:iCs/>
              </w:rPr>
              <w:t xml:space="preserve">all staff reimbursements </w:t>
            </w:r>
            <w:r w:rsidR="005511E8">
              <w:rPr>
                <w:rFonts w:ascii="Verdana" w:hAnsi="Verdana" w:cs="Arial"/>
                <w:iCs/>
              </w:rPr>
              <w:t>will</w:t>
            </w:r>
            <w:r w:rsidRPr="00E114A5">
              <w:rPr>
                <w:rFonts w:ascii="Verdana" w:hAnsi="Verdana" w:cs="Arial"/>
                <w:iCs/>
              </w:rPr>
              <w:t xml:space="preserve"> be signed off by the relevant manager, with the Principal’s expenses being </w:t>
            </w:r>
            <w:r w:rsidR="006F2984">
              <w:rPr>
                <w:rFonts w:ascii="Verdana" w:hAnsi="Verdana" w:cs="Arial"/>
                <w:iCs/>
              </w:rPr>
              <w:t>approved</w:t>
            </w:r>
            <w:r w:rsidRPr="00E114A5">
              <w:rPr>
                <w:rFonts w:ascii="Verdana" w:hAnsi="Verdana" w:cs="Arial"/>
                <w:iCs/>
              </w:rPr>
              <w:t xml:space="preserve"> by the Chair of the Corporation;</w:t>
            </w:r>
          </w:p>
          <w:p w14:paraId="4AF75F2A" w14:textId="7B8D115D" w:rsidR="009C7232" w:rsidRPr="00E114A5" w:rsidRDefault="00E114A5" w:rsidP="008100B2">
            <w:pPr>
              <w:rPr>
                <w:rFonts w:ascii="Verdana" w:hAnsi="Verdana" w:cs="Arial"/>
                <w:iCs/>
              </w:rPr>
            </w:pPr>
            <w:r w:rsidRPr="00E114A5">
              <w:rPr>
                <w:rFonts w:ascii="Verdana" w:hAnsi="Verdana" w:cs="Arial"/>
                <w:iCs/>
              </w:rPr>
              <w:t xml:space="preserve">   </w:t>
            </w:r>
          </w:p>
        </w:tc>
      </w:tr>
      <w:tr w:rsidR="00E114A5" w:rsidRPr="00E114A5" w14:paraId="78889DBB" w14:textId="77777777" w:rsidTr="00303773">
        <w:tc>
          <w:tcPr>
            <w:tcW w:w="538" w:type="dxa"/>
          </w:tcPr>
          <w:p w14:paraId="7CCFC6E1" w14:textId="77777777" w:rsidR="00E114A5" w:rsidRPr="00E114A5" w:rsidRDefault="00E114A5" w:rsidP="008100B2">
            <w:pPr>
              <w:rPr>
                <w:rFonts w:ascii="Verdana" w:hAnsi="Verdana"/>
              </w:rPr>
            </w:pPr>
          </w:p>
        </w:tc>
        <w:tc>
          <w:tcPr>
            <w:tcW w:w="429" w:type="dxa"/>
          </w:tcPr>
          <w:p w14:paraId="4A0D9B3A" w14:textId="4A4EE173" w:rsidR="00E114A5" w:rsidRPr="00E114A5" w:rsidRDefault="00E114A5" w:rsidP="008100B2">
            <w:pPr>
              <w:rPr>
                <w:rFonts w:ascii="Verdana" w:hAnsi="Verdana"/>
                <w:b/>
              </w:rPr>
            </w:pPr>
            <w:r w:rsidRPr="00E114A5">
              <w:rPr>
                <w:rFonts w:ascii="Verdana" w:hAnsi="Verdana"/>
                <w:b/>
              </w:rPr>
              <w:t>.</w:t>
            </w:r>
          </w:p>
        </w:tc>
        <w:tc>
          <w:tcPr>
            <w:tcW w:w="8384" w:type="dxa"/>
          </w:tcPr>
          <w:p w14:paraId="0708D2B8" w14:textId="283387DE" w:rsidR="00E114A5" w:rsidRPr="00E114A5" w:rsidRDefault="00E114A5" w:rsidP="008100B2">
            <w:pPr>
              <w:rPr>
                <w:rFonts w:ascii="Verdana" w:hAnsi="Verdana" w:cs="Arial"/>
                <w:iCs/>
              </w:rPr>
            </w:pPr>
            <w:r w:rsidRPr="00E114A5">
              <w:rPr>
                <w:rFonts w:ascii="Verdana" w:hAnsi="Verdana" w:cs="Arial"/>
                <w:iCs/>
              </w:rPr>
              <w:t xml:space="preserve">in relation to arrangements </w:t>
            </w:r>
            <w:r w:rsidRPr="00E114A5">
              <w:rPr>
                <w:rFonts w:ascii="Verdana" w:hAnsi="Verdana" w:cs="Arial"/>
                <w:bCs/>
              </w:rPr>
              <w:t>for authorising expenditure on the College’s overseas activities</w:t>
            </w:r>
          </w:p>
        </w:tc>
      </w:tr>
    </w:tbl>
    <w:p w14:paraId="2012C136" w14:textId="0A8AEA92" w:rsidR="009C7232" w:rsidRPr="00E114A5" w:rsidRDefault="009C7232" w:rsidP="004F4C55">
      <w:pPr>
        <w:rPr>
          <w:rFonts w:ascii="Verdana" w:hAnsi="Verdan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426"/>
        <w:gridCol w:w="296"/>
        <w:gridCol w:w="8068"/>
      </w:tblGrid>
      <w:tr w:rsidR="00E114A5" w:rsidRPr="00E114A5" w14:paraId="027C10C9" w14:textId="77777777" w:rsidTr="00303773">
        <w:tc>
          <w:tcPr>
            <w:tcW w:w="561" w:type="dxa"/>
          </w:tcPr>
          <w:p w14:paraId="5451DAFD" w14:textId="77777777" w:rsidR="00E114A5" w:rsidRPr="00E114A5" w:rsidRDefault="00E114A5" w:rsidP="008100B2">
            <w:pPr>
              <w:rPr>
                <w:rFonts w:ascii="Verdana" w:hAnsi="Verdana"/>
              </w:rPr>
            </w:pPr>
          </w:p>
        </w:tc>
        <w:tc>
          <w:tcPr>
            <w:tcW w:w="426" w:type="dxa"/>
          </w:tcPr>
          <w:p w14:paraId="634B05DB" w14:textId="77777777" w:rsidR="00E114A5" w:rsidRPr="00E114A5" w:rsidRDefault="00E114A5" w:rsidP="008100B2">
            <w:pPr>
              <w:rPr>
                <w:rFonts w:ascii="Verdana" w:hAnsi="Verdana"/>
              </w:rPr>
            </w:pPr>
          </w:p>
        </w:tc>
        <w:tc>
          <w:tcPr>
            <w:tcW w:w="296" w:type="dxa"/>
          </w:tcPr>
          <w:p w14:paraId="502C9C9E" w14:textId="77777777" w:rsidR="00E114A5" w:rsidRPr="00E114A5" w:rsidRDefault="00E114A5" w:rsidP="008100B2">
            <w:pPr>
              <w:jc w:val="center"/>
              <w:rPr>
                <w:rFonts w:ascii="Verdana" w:hAnsi="Verdana"/>
                <w:b/>
                <w:bCs/>
              </w:rPr>
            </w:pPr>
            <w:r w:rsidRPr="00E114A5">
              <w:rPr>
                <w:rFonts w:ascii="Verdana" w:hAnsi="Verdana"/>
                <w:b/>
                <w:bCs/>
              </w:rPr>
              <w:t>.</w:t>
            </w:r>
          </w:p>
        </w:tc>
        <w:tc>
          <w:tcPr>
            <w:tcW w:w="8068" w:type="dxa"/>
          </w:tcPr>
          <w:p w14:paraId="42619E01" w14:textId="0D6F7DFE" w:rsidR="00E114A5" w:rsidRPr="00E114A5" w:rsidRDefault="00E114A5" w:rsidP="008100B2">
            <w:pPr>
              <w:rPr>
                <w:rFonts w:ascii="Verdana" w:hAnsi="Verdana" w:cs="Arial"/>
                <w:i/>
              </w:rPr>
            </w:pPr>
            <w:r w:rsidRPr="00E114A5">
              <w:rPr>
                <w:rFonts w:ascii="Verdana" w:hAnsi="Verdana" w:cs="Arial"/>
                <w:iCs/>
              </w:rPr>
              <w:t xml:space="preserve">the College </w:t>
            </w:r>
            <w:r w:rsidR="005511E8">
              <w:rPr>
                <w:rFonts w:ascii="Verdana" w:hAnsi="Verdana" w:cs="Arial"/>
                <w:iCs/>
              </w:rPr>
              <w:t xml:space="preserve">will obtain, </w:t>
            </w:r>
            <w:r w:rsidR="005511E8" w:rsidRPr="00E114A5">
              <w:rPr>
                <w:rFonts w:ascii="Verdana" w:hAnsi="Verdana" w:cs="Arial"/>
                <w:iCs/>
              </w:rPr>
              <w:t>prior to the payment of any money</w:t>
            </w:r>
            <w:r w:rsidR="005511E8">
              <w:rPr>
                <w:rFonts w:ascii="Verdana" w:hAnsi="Verdana" w:cs="Arial"/>
                <w:iCs/>
              </w:rPr>
              <w:t>s,</w:t>
            </w:r>
            <w:r w:rsidRPr="00E114A5">
              <w:rPr>
                <w:rFonts w:ascii="Verdana" w:hAnsi="Verdana" w:cs="Arial"/>
                <w:iCs/>
              </w:rPr>
              <w:t xml:space="preserve"> </w:t>
            </w:r>
            <w:r w:rsidR="0077638A" w:rsidRPr="005511E8">
              <w:rPr>
                <w:rFonts w:ascii="Verdana" w:hAnsi="Verdana" w:cs="Arial"/>
                <w:iCs/>
              </w:rPr>
              <w:t xml:space="preserve">the Corporation’s </w:t>
            </w:r>
            <w:r w:rsidRPr="005511E8">
              <w:rPr>
                <w:rFonts w:ascii="Verdana" w:hAnsi="Verdana" w:cs="Arial"/>
                <w:iCs/>
              </w:rPr>
              <w:t>approval to enter into any</w:t>
            </w:r>
            <w:r w:rsidRPr="00E114A5">
              <w:rPr>
                <w:rFonts w:ascii="Verdana" w:hAnsi="Verdana" w:cs="Arial"/>
                <w:iCs/>
              </w:rPr>
              <w:t xml:space="preserve"> overseas activity or trips, with reports on expenditure and outcomes made at each Resources Committee meeting</w:t>
            </w:r>
            <w:r w:rsidR="0077638A">
              <w:rPr>
                <w:rFonts w:ascii="Verdana" w:hAnsi="Verdana" w:cs="Arial"/>
                <w:iCs/>
              </w:rPr>
              <w:t xml:space="preserve"> - </w:t>
            </w:r>
            <w:r w:rsidR="0077638A" w:rsidRPr="005511E8">
              <w:rPr>
                <w:rFonts w:ascii="Verdana" w:hAnsi="Verdana" w:cs="Arial"/>
                <w:iCs/>
              </w:rPr>
              <w:t>a standing agendum will be provided on the Committee’s order of business</w:t>
            </w:r>
            <w:r w:rsidRPr="00E114A5">
              <w:rPr>
                <w:rFonts w:ascii="Verdana" w:hAnsi="Verdana" w:cs="Arial"/>
                <w:iCs/>
              </w:rPr>
              <w:t xml:space="preserve">; </w:t>
            </w:r>
            <w:r w:rsidRPr="00E114A5">
              <w:rPr>
                <w:rFonts w:ascii="Verdana" w:hAnsi="Verdana" w:cs="Arial"/>
                <w:i/>
              </w:rPr>
              <w:t>and</w:t>
            </w:r>
          </w:p>
          <w:p w14:paraId="28F963F2" w14:textId="3F1276BA" w:rsidR="00E114A5" w:rsidRPr="00E114A5" w:rsidRDefault="00E114A5" w:rsidP="008100B2">
            <w:pPr>
              <w:rPr>
                <w:rFonts w:ascii="Verdana" w:hAnsi="Verdana" w:cs="Arial"/>
              </w:rPr>
            </w:pPr>
          </w:p>
        </w:tc>
      </w:tr>
      <w:tr w:rsidR="00E114A5" w:rsidRPr="00E114A5" w14:paraId="4B97955C" w14:textId="77777777" w:rsidTr="00303773">
        <w:tc>
          <w:tcPr>
            <w:tcW w:w="561" w:type="dxa"/>
          </w:tcPr>
          <w:p w14:paraId="6C9CA8A3" w14:textId="77777777" w:rsidR="00E114A5" w:rsidRPr="00E114A5" w:rsidRDefault="00E114A5" w:rsidP="008100B2">
            <w:pPr>
              <w:rPr>
                <w:rFonts w:ascii="Verdana" w:hAnsi="Verdana"/>
              </w:rPr>
            </w:pPr>
          </w:p>
        </w:tc>
        <w:tc>
          <w:tcPr>
            <w:tcW w:w="426" w:type="dxa"/>
          </w:tcPr>
          <w:p w14:paraId="50FE6935" w14:textId="77777777" w:rsidR="00E114A5" w:rsidRPr="00E114A5" w:rsidRDefault="00E114A5" w:rsidP="008100B2">
            <w:pPr>
              <w:rPr>
                <w:rFonts w:ascii="Verdana" w:hAnsi="Verdana"/>
              </w:rPr>
            </w:pPr>
          </w:p>
        </w:tc>
        <w:tc>
          <w:tcPr>
            <w:tcW w:w="296" w:type="dxa"/>
          </w:tcPr>
          <w:p w14:paraId="4B16E7B3" w14:textId="77777777" w:rsidR="00E114A5" w:rsidRPr="00E114A5" w:rsidRDefault="00E114A5" w:rsidP="008100B2">
            <w:pPr>
              <w:jc w:val="center"/>
              <w:rPr>
                <w:rFonts w:ascii="Verdana" w:hAnsi="Verdana"/>
                <w:b/>
                <w:bCs/>
              </w:rPr>
            </w:pPr>
            <w:r w:rsidRPr="00E114A5">
              <w:rPr>
                <w:rFonts w:ascii="Verdana" w:hAnsi="Verdana"/>
                <w:b/>
                <w:bCs/>
              </w:rPr>
              <w:t>.</w:t>
            </w:r>
          </w:p>
        </w:tc>
        <w:tc>
          <w:tcPr>
            <w:tcW w:w="8068" w:type="dxa"/>
          </w:tcPr>
          <w:p w14:paraId="153273F7" w14:textId="754DCF01" w:rsidR="00E114A5" w:rsidRPr="00E114A5" w:rsidRDefault="00E114A5" w:rsidP="008100B2">
            <w:pPr>
              <w:rPr>
                <w:rFonts w:ascii="Verdana" w:hAnsi="Verdana" w:cs="Arial"/>
                <w:iCs/>
              </w:rPr>
            </w:pPr>
            <w:r w:rsidRPr="00E114A5">
              <w:rPr>
                <w:rFonts w:ascii="Verdana" w:hAnsi="Verdana" w:cs="Arial"/>
                <w:iCs/>
              </w:rPr>
              <w:t>details of any overseas trips or activities are to be included in the management accounts.</w:t>
            </w:r>
          </w:p>
        </w:tc>
      </w:tr>
    </w:tbl>
    <w:p w14:paraId="0E558E20" w14:textId="033A261D" w:rsidR="009C7232" w:rsidRDefault="009C7232" w:rsidP="004F4C55"/>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429"/>
        <w:gridCol w:w="8384"/>
      </w:tblGrid>
      <w:tr w:rsidR="00E114A5" w:rsidRPr="00E114A5" w14:paraId="3147E559" w14:textId="77777777" w:rsidTr="00303773">
        <w:tc>
          <w:tcPr>
            <w:tcW w:w="538" w:type="dxa"/>
          </w:tcPr>
          <w:p w14:paraId="19ADDB75" w14:textId="77777777" w:rsidR="00E114A5" w:rsidRPr="00E114A5" w:rsidRDefault="00E114A5" w:rsidP="008100B2">
            <w:pPr>
              <w:rPr>
                <w:rFonts w:ascii="Verdana" w:hAnsi="Verdana"/>
              </w:rPr>
            </w:pPr>
          </w:p>
        </w:tc>
        <w:tc>
          <w:tcPr>
            <w:tcW w:w="429" w:type="dxa"/>
          </w:tcPr>
          <w:p w14:paraId="3DC8D655" w14:textId="77777777" w:rsidR="00E114A5" w:rsidRPr="00E114A5" w:rsidRDefault="00E114A5" w:rsidP="008100B2">
            <w:pPr>
              <w:rPr>
                <w:rFonts w:ascii="Verdana" w:hAnsi="Verdana"/>
                <w:b/>
              </w:rPr>
            </w:pPr>
            <w:r w:rsidRPr="00E114A5">
              <w:rPr>
                <w:rFonts w:ascii="Verdana" w:hAnsi="Verdana"/>
                <w:b/>
              </w:rPr>
              <w:t>.</w:t>
            </w:r>
          </w:p>
        </w:tc>
        <w:tc>
          <w:tcPr>
            <w:tcW w:w="8384" w:type="dxa"/>
          </w:tcPr>
          <w:p w14:paraId="5CD34D43" w14:textId="0FACEB20" w:rsidR="00E114A5" w:rsidRPr="00E114A5" w:rsidRDefault="00E114A5" w:rsidP="008100B2">
            <w:pPr>
              <w:rPr>
                <w:rFonts w:ascii="Verdana" w:hAnsi="Verdana" w:cs="Arial"/>
                <w:iCs/>
              </w:rPr>
            </w:pPr>
            <w:r w:rsidRPr="00E114A5">
              <w:rPr>
                <w:rFonts w:ascii="Verdana" w:hAnsi="Verdana" w:cs="Arial"/>
                <w:iCs/>
              </w:rPr>
              <w:t xml:space="preserve">in relation to arrangements </w:t>
            </w:r>
            <w:r w:rsidRPr="00E114A5">
              <w:rPr>
                <w:rFonts w:ascii="Verdana" w:hAnsi="Verdana" w:cs="Arial"/>
                <w:bCs/>
              </w:rPr>
              <w:t xml:space="preserve">for </w:t>
            </w:r>
            <w:r>
              <w:rPr>
                <w:rFonts w:ascii="Verdana" w:hAnsi="Verdana" w:cs="Arial"/>
                <w:bCs/>
              </w:rPr>
              <w:t>approving pay increases:</w:t>
            </w:r>
          </w:p>
        </w:tc>
      </w:tr>
    </w:tbl>
    <w:p w14:paraId="68D4DAC2" w14:textId="48D93578" w:rsidR="009C7232" w:rsidRDefault="009C7232" w:rsidP="004F4C55"/>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426"/>
        <w:gridCol w:w="296"/>
        <w:gridCol w:w="8068"/>
      </w:tblGrid>
      <w:tr w:rsidR="00E114A5" w:rsidRPr="00E114A5" w14:paraId="27ACBA8D" w14:textId="77777777" w:rsidTr="00303773">
        <w:tc>
          <w:tcPr>
            <w:tcW w:w="561" w:type="dxa"/>
          </w:tcPr>
          <w:p w14:paraId="616F90C6" w14:textId="77777777" w:rsidR="00E114A5" w:rsidRPr="0073752B" w:rsidRDefault="00E114A5" w:rsidP="008100B2">
            <w:pPr>
              <w:rPr>
                <w:rFonts w:ascii="Verdana" w:hAnsi="Verdana"/>
              </w:rPr>
            </w:pPr>
          </w:p>
        </w:tc>
        <w:tc>
          <w:tcPr>
            <w:tcW w:w="426" w:type="dxa"/>
          </w:tcPr>
          <w:p w14:paraId="1011DEEA" w14:textId="77777777" w:rsidR="00E114A5" w:rsidRPr="0073752B" w:rsidRDefault="00E114A5" w:rsidP="008100B2">
            <w:pPr>
              <w:rPr>
                <w:rFonts w:ascii="Verdana" w:hAnsi="Verdana"/>
              </w:rPr>
            </w:pPr>
          </w:p>
        </w:tc>
        <w:tc>
          <w:tcPr>
            <w:tcW w:w="296" w:type="dxa"/>
          </w:tcPr>
          <w:p w14:paraId="18A16877" w14:textId="77777777" w:rsidR="00E114A5" w:rsidRPr="0073752B" w:rsidRDefault="00E114A5" w:rsidP="008100B2">
            <w:pPr>
              <w:jc w:val="center"/>
              <w:rPr>
                <w:rFonts w:ascii="Verdana" w:hAnsi="Verdana"/>
                <w:b/>
                <w:bCs/>
              </w:rPr>
            </w:pPr>
            <w:r w:rsidRPr="0073752B">
              <w:rPr>
                <w:rFonts w:ascii="Verdana" w:hAnsi="Verdana"/>
                <w:b/>
                <w:bCs/>
              </w:rPr>
              <w:t>.</w:t>
            </w:r>
          </w:p>
        </w:tc>
        <w:tc>
          <w:tcPr>
            <w:tcW w:w="8068" w:type="dxa"/>
          </w:tcPr>
          <w:p w14:paraId="33B8A396" w14:textId="7EDBBB44" w:rsidR="00E114A5" w:rsidRPr="0073752B" w:rsidRDefault="00E114A5" w:rsidP="008100B2">
            <w:pPr>
              <w:rPr>
                <w:rFonts w:ascii="Verdana" w:hAnsi="Verdana" w:cs="Arial"/>
                <w:iCs/>
              </w:rPr>
            </w:pPr>
            <w:r w:rsidRPr="0077638A">
              <w:rPr>
                <w:rFonts w:ascii="Verdana" w:hAnsi="Verdana" w:cs="Arial"/>
                <w:iCs/>
              </w:rPr>
              <w:t>cost-of-living pay rises</w:t>
            </w:r>
            <w:r w:rsidR="0077638A">
              <w:rPr>
                <w:rFonts w:ascii="Verdana" w:hAnsi="Verdana" w:cs="Arial"/>
                <w:iCs/>
              </w:rPr>
              <w:t xml:space="preserve"> for College staff</w:t>
            </w:r>
            <w:r w:rsidRPr="0077638A">
              <w:rPr>
                <w:rFonts w:ascii="Verdana" w:hAnsi="Verdana" w:cs="Arial"/>
                <w:iCs/>
              </w:rPr>
              <w:t>, and other changes to pay spines, are negotiated by the Sixth Form College Association;</w:t>
            </w:r>
          </w:p>
          <w:p w14:paraId="15458930" w14:textId="6105B9E0" w:rsidR="00E114A5" w:rsidRPr="0073752B" w:rsidRDefault="00E114A5" w:rsidP="008100B2">
            <w:pPr>
              <w:rPr>
                <w:rFonts w:ascii="Verdana" w:hAnsi="Verdana" w:cs="Arial"/>
                <w:iCs/>
              </w:rPr>
            </w:pPr>
          </w:p>
        </w:tc>
      </w:tr>
      <w:tr w:rsidR="00E114A5" w:rsidRPr="00E114A5" w14:paraId="079C4606" w14:textId="77777777" w:rsidTr="00303773">
        <w:tc>
          <w:tcPr>
            <w:tcW w:w="561" w:type="dxa"/>
          </w:tcPr>
          <w:p w14:paraId="287D81F9" w14:textId="77777777" w:rsidR="00E114A5" w:rsidRPr="0073752B" w:rsidRDefault="00E114A5" w:rsidP="008100B2">
            <w:pPr>
              <w:rPr>
                <w:rFonts w:ascii="Verdana" w:hAnsi="Verdana"/>
              </w:rPr>
            </w:pPr>
          </w:p>
        </w:tc>
        <w:tc>
          <w:tcPr>
            <w:tcW w:w="426" w:type="dxa"/>
          </w:tcPr>
          <w:p w14:paraId="71F0039F" w14:textId="77777777" w:rsidR="00E114A5" w:rsidRPr="0073752B" w:rsidRDefault="00E114A5" w:rsidP="008100B2">
            <w:pPr>
              <w:rPr>
                <w:rFonts w:ascii="Verdana" w:hAnsi="Verdana"/>
              </w:rPr>
            </w:pPr>
          </w:p>
        </w:tc>
        <w:tc>
          <w:tcPr>
            <w:tcW w:w="296" w:type="dxa"/>
          </w:tcPr>
          <w:p w14:paraId="1FC7E69F" w14:textId="77777777" w:rsidR="00E114A5" w:rsidRPr="0073752B" w:rsidRDefault="00E114A5" w:rsidP="008100B2">
            <w:pPr>
              <w:jc w:val="center"/>
              <w:rPr>
                <w:rFonts w:ascii="Verdana" w:hAnsi="Verdana"/>
                <w:b/>
                <w:bCs/>
              </w:rPr>
            </w:pPr>
            <w:r w:rsidRPr="0073752B">
              <w:rPr>
                <w:rFonts w:ascii="Verdana" w:hAnsi="Verdana"/>
                <w:b/>
                <w:bCs/>
              </w:rPr>
              <w:t>.</w:t>
            </w:r>
          </w:p>
        </w:tc>
        <w:tc>
          <w:tcPr>
            <w:tcW w:w="8068" w:type="dxa"/>
          </w:tcPr>
          <w:p w14:paraId="4BB26DCC" w14:textId="083A3974" w:rsidR="00E114A5" w:rsidRPr="0073752B" w:rsidRDefault="00E114A5" w:rsidP="00E114A5">
            <w:pPr>
              <w:rPr>
                <w:rFonts w:ascii="Verdana" w:hAnsi="Verdana" w:cs="Arial"/>
                <w:iCs/>
              </w:rPr>
            </w:pPr>
            <w:r w:rsidRPr="0073752B">
              <w:rPr>
                <w:rFonts w:ascii="Verdana" w:hAnsi="Verdana" w:cs="Arial"/>
                <w:iCs/>
              </w:rPr>
              <w:t>annual budget submissions include estimated pay rises</w:t>
            </w:r>
            <w:r w:rsidR="0077638A">
              <w:rPr>
                <w:rFonts w:ascii="Verdana" w:hAnsi="Verdana" w:cs="Arial"/>
                <w:iCs/>
              </w:rPr>
              <w:t xml:space="preserve"> and,</w:t>
            </w:r>
            <w:r w:rsidRPr="0073752B">
              <w:rPr>
                <w:rFonts w:ascii="Verdana" w:hAnsi="Verdana" w:cs="Arial"/>
                <w:iCs/>
              </w:rPr>
              <w:t xml:space="preserve"> </w:t>
            </w:r>
            <w:r w:rsidR="0077638A">
              <w:rPr>
                <w:rFonts w:ascii="Verdana" w:hAnsi="Verdana" w:cs="Arial"/>
                <w:iCs/>
              </w:rPr>
              <w:t>w</w:t>
            </w:r>
            <w:r w:rsidRPr="0073752B">
              <w:rPr>
                <w:rFonts w:ascii="Verdana" w:hAnsi="Verdana" w:cs="Arial"/>
                <w:iCs/>
              </w:rPr>
              <w:t>here the agreed pay rise is equal to, or less than, that agreed as part of the budget process no further authorisation is needed</w:t>
            </w:r>
            <w:r w:rsidR="0077638A">
              <w:rPr>
                <w:rFonts w:ascii="Verdana" w:hAnsi="Verdana" w:cs="Arial"/>
                <w:iCs/>
              </w:rPr>
              <w:t>, though i</w:t>
            </w:r>
            <w:r w:rsidRPr="0073752B">
              <w:rPr>
                <w:rFonts w:ascii="Verdana" w:hAnsi="Verdana" w:cs="Arial"/>
                <w:iCs/>
              </w:rPr>
              <w:t xml:space="preserve">f the cost-of-living pay rise exceeds that budgeted, further </w:t>
            </w:r>
            <w:r w:rsidR="0077638A">
              <w:rPr>
                <w:rFonts w:ascii="Verdana" w:hAnsi="Verdana" w:cs="Arial"/>
                <w:iCs/>
              </w:rPr>
              <w:t xml:space="preserve">Corporation </w:t>
            </w:r>
            <w:r w:rsidRPr="0073752B">
              <w:rPr>
                <w:rFonts w:ascii="Verdana" w:hAnsi="Verdana" w:cs="Arial"/>
                <w:iCs/>
              </w:rPr>
              <w:t xml:space="preserve">approval </w:t>
            </w:r>
            <w:r w:rsidR="0073752B" w:rsidRPr="0073752B">
              <w:rPr>
                <w:rFonts w:ascii="Verdana" w:hAnsi="Verdana" w:cs="Arial"/>
                <w:iCs/>
              </w:rPr>
              <w:t>is</w:t>
            </w:r>
            <w:r w:rsidRPr="0073752B">
              <w:rPr>
                <w:rFonts w:ascii="Verdana" w:hAnsi="Verdana" w:cs="Arial"/>
                <w:iCs/>
              </w:rPr>
              <w:t xml:space="preserve"> required</w:t>
            </w:r>
            <w:r w:rsidR="0073752B" w:rsidRPr="0073752B">
              <w:rPr>
                <w:rFonts w:ascii="Verdana" w:hAnsi="Verdana" w:cs="Arial"/>
                <w:iCs/>
              </w:rPr>
              <w:t xml:space="preserve">; </w:t>
            </w:r>
            <w:r w:rsidR="0073752B" w:rsidRPr="0073752B">
              <w:rPr>
                <w:rFonts w:ascii="Verdana" w:hAnsi="Verdana" w:cs="Arial"/>
                <w:i/>
              </w:rPr>
              <w:t>and</w:t>
            </w:r>
            <w:r w:rsidRPr="0073752B">
              <w:rPr>
                <w:rFonts w:ascii="Verdana" w:hAnsi="Verdana" w:cs="Arial"/>
                <w:iCs/>
              </w:rPr>
              <w:t xml:space="preserve"> </w:t>
            </w:r>
          </w:p>
          <w:p w14:paraId="52E71EFA" w14:textId="24558E78" w:rsidR="00E114A5" w:rsidRPr="0073752B" w:rsidRDefault="00E114A5" w:rsidP="008100B2">
            <w:pPr>
              <w:rPr>
                <w:rFonts w:ascii="Verdana" w:hAnsi="Verdana" w:cs="Arial"/>
                <w:iCs/>
              </w:rPr>
            </w:pPr>
          </w:p>
        </w:tc>
      </w:tr>
      <w:tr w:rsidR="0073752B" w:rsidRPr="0073752B" w14:paraId="02E06C55" w14:textId="77777777" w:rsidTr="00303773">
        <w:tc>
          <w:tcPr>
            <w:tcW w:w="561" w:type="dxa"/>
          </w:tcPr>
          <w:p w14:paraId="53FC4D34" w14:textId="77777777" w:rsidR="0073752B" w:rsidRPr="0073752B" w:rsidRDefault="0073752B" w:rsidP="008100B2">
            <w:pPr>
              <w:rPr>
                <w:rFonts w:ascii="Verdana" w:hAnsi="Verdana"/>
              </w:rPr>
            </w:pPr>
          </w:p>
        </w:tc>
        <w:tc>
          <w:tcPr>
            <w:tcW w:w="426" w:type="dxa"/>
          </w:tcPr>
          <w:p w14:paraId="112AA527" w14:textId="77777777" w:rsidR="0073752B" w:rsidRPr="0073752B" w:rsidRDefault="0073752B" w:rsidP="008100B2">
            <w:pPr>
              <w:rPr>
                <w:rFonts w:ascii="Verdana" w:hAnsi="Verdana"/>
              </w:rPr>
            </w:pPr>
          </w:p>
        </w:tc>
        <w:tc>
          <w:tcPr>
            <w:tcW w:w="296" w:type="dxa"/>
          </w:tcPr>
          <w:p w14:paraId="2C0E73CE" w14:textId="6661A24C" w:rsidR="0073752B" w:rsidRPr="0073752B" w:rsidRDefault="0073752B" w:rsidP="008100B2">
            <w:pPr>
              <w:jc w:val="center"/>
              <w:rPr>
                <w:rFonts w:ascii="Verdana" w:hAnsi="Verdana"/>
                <w:b/>
                <w:bCs/>
              </w:rPr>
            </w:pPr>
            <w:r w:rsidRPr="0073752B">
              <w:rPr>
                <w:rFonts w:ascii="Verdana" w:hAnsi="Verdana"/>
                <w:b/>
                <w:bCs/>
              </w:rPr>
              <w:t>.</w:t>
            </w:r>
          </w:p>
        </w:tc>
        <w:tc>
          <w:tcPr>
            <w:tcW w:w="8068" w:type="dxa"/>
          </w:tcPr>
          <w:p w14:paraId="417D66E0" w14:textId="011DDF23" w:rsidR="0073752B" w:rsidRPr="0073752B" w:rsidRDefault="0073752B" w:rsidP="00E114A5">
            <w:pPr>
              <w:rPr>
                <w:rFonts w:ascii="Verdana" w:hAnsi="Verdana" w:cs="Arial"/>
                <w:iCs/>
              </w:rPr>
            </w:pPr>
            <w:r w:rsidRPr="0073752B">
              <w:rPr>
                <w:rFonts w:ascii="Verdana" w:hAnsi="Verdana" w:cs="Arial"/>
                <w:iCs/>
              </w:rPr>
              <w:t xml:space="preserve">senior staff pay rises are linked to the cost-of-living rise for teachers on the highest pay spine point, subject to the approval of the </w:t>
            </w:r>
            <w:r w:rsidRPr="0077638A">
              <w:rPr>
                <w:rFonts w:ascii="Verdana" w:hAnsi="Verdana" w:cs="Arial"/>
                <w:iCs/>
              </w:rPr>
              <w:t>Corporation.</w:t>
            </w:r>
          </w:p>
        </w:tc>
      </w:tr>
    </w:tbl>
    <w:p w14:paraId="4FE52A23" w14:textId="258E6FFC" w:rsidR="009C7232" w:rsidRPr="0073752B" w:rsidRDefault="009C7232" w:rsidP="004F4C55">
      <w:pPr>
        <w:rPr>
          <w:rFonts w:ascii="Verdana" w:hAnsi="Verdan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429"/>
        <w:gridCol w:w="8384"/>
      </w:tblGrid>
      <w:tr w:rsidR="0073752B" w:rsidRPr="0073752B" w14:paraId="071B4442" w14:textId="77777777" w:rsidTr="00303773">
        <w:tc>
          <w:tcPr>
            <w:tcW w:w="538" w:type="dxa"/>
          </w:tcPr>
          <w:p w14:paraId="700A6801" w14:textId="77777777" w:rsidR="0073752B" w:rsidRPr="0073752B" w:rsidRDefault="0073752B" w:rsidP="008100B2">
            <w:pPr>
              <w:rPr>
                <w:rFonts w:ascii="Verdana" w:hAnsi="Verdana"/>
              </w:rPr>
            </w:pPr>
          </w:p>
        </w:tc>
        <w:tc>
          <w:tcPr>
            <w:tcW w:w="429" w:type="dxa"/>
          </w:tcPr>
          <w:p w14:paraId="5A44E5CC" w14:textId="77777777" w:rsidR="0073752B" w:rsidRPr="0073752B" w:rsidRDefault="0073752B" w:rsidP="008100B2">
            <w:pPr>
              <w:rPr>
                <w:rFonts w:ascii="Verdana" w:hAnsi="Verdana"/>
                <w:b/>
              </w:rPr>
            </w:pPr>
            <w:r w:rsidRPr="0073752B">
              <w:rPr>
                <w:rFonts w:ascii="Verdana" w:hAnsi="Verdana"/>
                <w:b/>
              </w:rPr>
              <w:t>.</w:t>
            </w:r>
          </w:p>
        </w:tc>
        <w:tc>
          <w:tcPr>
            <w:tcW w:w="8384" w:type="dxa"/>
          </w:tcPr>
          <w:p w14:paraId="2030B1A2" w14:textId="5AAA7FED" w:rsidR="0073752B" w:rsidRPr="0073752B" w:rsidRDefault="0073752B" w:rsidP="008100B2">
            <w:pPr>
              <w:rPr>
                <w:rFonts w:ascii="Verdana" w:hAnsi="Verdana" w:cs="Arial"/>
                <w:iCs/>
              </w:rPr>
            </w:pPr>
            <w:r>
              <w:rPr>
                <w:rFonts w:ascii="Verdana" w:hAnsi="Verdana" w:cs="Arial"/>
                <w:iCs/>
              </w:rPr>
              <w:t xml:space="preserve">and </w:t>
            </w:r>
            <w:r w:rsidRPr="0073752B">
              <w:rPr>
                <w:rFonts w:ascii="Verdana" w:hAnsi="Verdana" w:cs="Arial"/>
                <w:iCs/>
              </w:rPr>
              <w:t>in relation to the virement of budgets</w:t>
            </w:r>
            <w:r w:rsidR="001E1778">
              <w:rPr>
                <w:rFonts w:ascii="Verdana" w:hAnsi="Verdana" w:cs="Arial"/>
                <w:iCs/>
              </w:rPr>
              <w:t>, Resources Committee approval is required for virements</w:t>
            </w:r>
            <w:r w:rsidRPr="0073752B">
              <w:rPr>
                <w:rFonts w:ascii="Verdana" w:hAnsi="Verdana" w:cs="Arial"/>
                <w:bCs/>
              </w:rPr>
              <w:t>:</w:t>
            </w:r>
          </w:p>
        </w:tc>
      </w:tr>
    </w:tbl>
    <w:p w14:paraId="42FF8A5D" w14:textId="606BFA4F" w:rsidR="009C7232" w:rsidRPr="0073752B" w:rsidRDefault="009C7232" w:rsidP="004F4C55">
      <w:pPr>
        <w:rPr>
          <w:rFonts w:ascii="Verdana" w:hAnsi="Verdan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426"/>
        <w:gridCol w:w="296"/>
        <w:gridCol w:w="8068"/>
      </w:tblGrid>
      <w:tr w:rsidR="0073752B" w:rsidRPr="0073752B" w14:paraId="47B9D1E1" w14:textId="77777777" w:rsidTr="00303773">
        <w:tc>
          <w:tcPr>
            <w:tcW w:w="561" w:type="dxa"/>
          </w:tcPr>
          <w:p w14:paraId="3627C191" w14:textId="77777777" w:rsidR="0073752B" w:rsidRPr="0073752B" w:rsidRDefault="0073752B" w:rsidP="008100B2">
            <w:pPr>
              <w:rPr>
                <w:rFonts w:ascii="Verdana" w:hAnsi="Verdana"/>
              </w:rPr>
            </w:pPr>
          </w:p>
        </w:tc>
        <w:tc>
          <w:tcPr>
            <w:tcW w:w="426" w:type="dxa"/>
          </w:tcPr>
          <w:p w14:paraId="2E39B410" w14:textId="77777777" w:rsidR="0073752B" w:rsidRPr="0073752B" w:rsidRDefault="0073752B" w:rsidP="008100B2">
            <w:pPr>
              <w:rPr>
                <w:rFonts w:ascii="Verdana" w:hAnsi="Verdana"/>
              </w:rPr>
            </w:pPr>
          </w:p>
        </w:tc>
        <w:tc>
          <w:tcPr>
            <w:tcW w:w="296" w:type="dxa"/>
          </w:tcPr>
          <w:p w14:paraId="76BDA23A" w14:textId="77777777" w:rsidR="0073752B" w:rsidRPr="0073752B" w:rsidRDefault="0073752B" w:rsidP="008100B2">
            <w:pPr>
              <w:jc w:val="center"/>
              <w:rPr>
                <w:rFonts w:ascii="Verdana" w:hAnsi="Verdana"/>
                <w:b/>
                <w:bCs/>
              </w:rPr>
            </w:pPr>
            <w:r w:rsidRPr="0073752B">
              <w:rPr>
                <w:rFonts w:ascii="Verdana" w:hAnsi="Verdana"/>
                <w:b/>
                <w:bCs/>
              </w:rPr>
              <w:t>.</w:t>
            </w:r>
          </w:p>
        </w:tc>
        <w:tc>
          <w:tcPr>
            <w:tcW w:w="8068" w:type="dxa"/>
          </w:tcPr>
          <w:p w14:paraId="2A56937E" w14:textId="51D17348" w:rsidR="0073752B" w:rsidRPr="0073752B" w:rsidRDefault="0073752B" w:rsidP="008100B2">
            <w:pPr>
              <w:rPr>
                <w:rFonts w:ascii="Verdana" w:hAnsi="Verdana" w:cs="Arial"/>
                <w:bCs/>
                <w:i/>
                <w:iCs/>
              </w:rPr>
            </w:pPr>
            <w:r w:rsidRPr="0073752B">
              <w:rPr>
                <w:rFonts w:ascii="Verdana" w:hAnsi="Verdana" w:cs="Arial"/>
                <w:bCs/>
              </w:rPr>
              <w:t xml:space="preserve">between pay and non-pay costs; </w:t>
            </w:r>
            <w:r w:rsidRPr="0073752B">
              <w:rPr>
                <w:rFonts w:ascii="Verdana" w:hAnsi="Verdana" w:cs="Arial"/>
                <w:bCs/>
                <w:i/>
                <w:iCs/>
              </w:rPr>
              <w:t>and</w:t>
            </w:r>
          </w:p>
          <w:p w14:paraId="3FEB7A26" w14:textId="54430653" w:rsidR="0073752B" w:rsidRPr="0073752B" w:rsidRDefault="0073752B" w:rsidP="008100B2">
            <w:pPr>
              <w:rPr>
                <w:rFonts w:ascii="Verdana" w:hAnsi="Verdana" w:cs="Arial"/>
                <w:iCs/>
              </w:rPr>
            </w:pPr>
          </w:p>
        </w:tc>
      </w:tr>
      <w:tr w:rsidR="0073752B" w:rsidRPr="0073752B" w14:paraId="580EE51C" w14:textId="77777777" w:rsidTr="00303773">
        <w:tc>
          <w:tcPr>
            <w:tcW w:w="561" w:type="dxa"/>
          </w:tcPr>
          <w:p w14:paraId="3EB588EB" w14:textId="77777777" w:rsidR="0073752B" w:rsidRPr="0073752B" w:rsidRDefault="0073752B" w:rsidP="008100B2">
            <w:pPr>
              <w:rPr>
                <w:rFonts w:ascii="Verdana" w:hAnsi="Verdana"/>
              </w:rPr>
            </w:pPr>
          </w:p>
        </w:tc>
        <w:tc>
          <w:tcPr>
            <w:tcW w:w="426" w:type="dxa"/>
          </w:tcPr>
          <w:p w14:paraId="55527397" w14:textId="77777777" w:rsidR="0073752B" w:rsidRPr="0073752B" w:rsidRDefault="0073752B" w:rsidP="008100B2">
            <w:pPr>
              <w:rPr>
                <w:rFonts w:ascii="Verdana" w:hAnsi="Verdana"/>
              </w:rPr>
            </w:pPr>
          </w:p>
        </w:tc>
        <w:tc>
          <w:tcPr>
            <w:tcW w:w="296" w:type="dxa"/>
          </w:tcPr>
          <w:p w14:paraId="572947FD" w14:textId="77777777" w:rsidR="0073752B" w:rsidRPr="0073752B" w:rsidRDefault="0073752B" w:rsidP="008100B2">
            <w:pPr>
              <w:jc w:val="center"/>
              <w:rPr>
                <w:rFonts w:ascii="Verdana" w:hAnsi="Verdana"/>
                <w:b/>
                <w:bCs/>
              </w:rPr>
            </w:pPr>
            <w:r w:rsidRPr="0073752B">
              <w:rPr>
                <w:rFonts w:ascii="Verdana" w:hAnsi="Verdana"/>
                <w:b/>
                <w:bCs/>
              </w:rPr>
              <w:t>.</w:t>
            </w:r>
          </w:p>
        </w:tc>
        <w:tc>
          <w:tcPr>
            <w:tcW w:w="8068" w:type="dxa"/>
          </w:tcPr>
          <w:p w14:paraId="67A24A72" w14:textId="57F231C8" w:rsidR="0073752B" w:rsidRPr="0073752B" w:rsidRDefault="0073752B" w:rsidP="008100B2">
            <w:pPr>
              <w:rPr>
                <w:rFonts w:ascii="Verdana" w:hAnsi="Verdana" w:cs="Arial"/>
                <w:iCs/>
              </w:rPr>
            </w:pPr>
            <w:r w:rsidRPr="0073752B">
              <w:rPr>
                <w:rFonts w:ascii="Verdana" w:hAnsi="Verdana" w:cs="Arial"/>
                <w:bCs/>
              </w:rPr>
              <w:t>within pay or non-pay budgets wh</w:t>
            </w:r>
            <w:r w:rsidR="001E1778">
              <w:rPr>
                <w:rFonts w:ascii="Verdana" w:hAnsi="Verdana" w:cs="Arial"/>
                <w:bCs/>
              </w:rPr>
              <w:t>ere the sum</w:t>
            </w:r>
            <w:r w:rsidRPr="0073752B">
              <w:rPr>
                <w:rFonts w:ascii="Verdana" w:hAnsi="Verdana" w:cs="Arial"/>
                <w:bCs/>
              </w:rPr>
              <w:t xml:space="preserve"> </w:t>
            </w:r>
            <w:r w:rsidR="001E1778">
              <w:rPr>
                <w:rFonts w:ascii="Verdana" w:hAnsi="Verdana" w:cs="Arial"/>
                <w:bCs/>
              </w:rPr>
              <w:t>is</w:t>
            </w:r>
            <w:r w:rsidRPr="0073752B">
              <w:rPr>
                <w:rFonts w:ascii="Verdana" w:hAnsi="Verdana" w:cs="Arial"/>
                <w:bCs/>
              </w:rPr>
              <w:t xml:space="preserve"> greater than £25,000 or 10% of the total budget allocation for that line (whichever is higher).</w:t>
            </w:r>
          </w:p>
        </w:tc>
      </w:tr>
    </w:tbl>
    <w:p w14:paraId="78814675" w14:textId="1278E46D" w:rsidR="009C7232" w:rsidRDefault="009C7232" w:rsidP="004F4C55"/>
    <w:tbl>
      <w:tblPr>
        <w:tblW w:w="9351" w:type="dxa"/>
        <w:tblLook w:val="04A0" w:firstRow="1" w:lastRow="0" w:firstColumn="1" w:lastColumn="0" w:noHBand="0" w:noVBand="1"/>
      </w:tblPr>
      <w:tblGrid>
        <w:gridCol w:w="544"/>
        <w:gridCol w:w="8807"/>
      </w:tblGrid>
      <w:tr w:rsidR="0073752B" w:rsidRPr="009C7232" w14:paraId="4CC6CF83" w14:textId="77777777" w:rsidTr="00303773">
        <w:tc>
          <w:tcPr>
            <w:tcW w:w="544" w:type="dxa"/>
          </w:tcPr>
          <w:p w14:paraId="2E14B875" w14:textId="77777777" w:rsidR="0073752B" w:rsidRPr="009C7232" w:rsidRDefault="0073752B" w:rsidP="008100B2">
            <w:pPr>
              <w:rPr>
                <w:rFonts w:ascii="Verdana" w:hAnsi="Verdana"/>
                <w:b/>
                <w:color w:val="FF0000"/>
              </w:rPr>
            </w:pPr>
          </w:p>
        </w:tc>
        <w:tc>
          <w:tcPr>
            <w:tcW w:w="8807" w:type="dxa"/>
          </w:tcPr>
          <w:p w14:paraId="12E9C251" w14:textId="77777777" w:rsidR="00ED2592" w:rsidRDefault="001E1778" w:rsidP="008100B2">
            <w:pPr>
              <w:contextualSpacing/>
              <w:rPr>
                <w:rFonts w:ascii="Verdana" w:hAnsi="Verdana" w:cs="Arial"/>
                <w:bCs/>
              </w:rPr>
            </w:pPr>
            <w:r>
              <w:rPr>
                <w:rFonts w:ascii="Verdana" w:hAnsi="Verdana" w:cs="Arial"/>
                <w:iCs/>
              </w:rPr>
              <w:t>T</w:t>
            </w:r>
            <w:r w:rsidR="0073752B">
              <w:rPr>
                <w:rFonts w:ascii="Verdana" w:hAnsi="Verdana" w:cs="Arial"/>
                <w:iCs/>
              </w:rPr>
              <w:t>he proposed changes were approved by the Committee on behalf of the Corporation</w:t>
            </w:r>
            <w:r w:rsidR="00FB2376">
              <w:rPr>
                <w:rFonts w:ascii="Verdana" w:hAnsi="Verdana" w:cs="Arial"/>
                <w:iCs/>
              </w:rPr>
              <w:t xml:space="preserve"> with the exception of that relating to </w:t>
            </w:r>
            <w:r w:rsidR="00FB2376" w:rsidRPr="00E114A5">
              <w:rPr>
                <w:rFonts w:ascii="Verdana" w:hAnsi="Verdana" w:cs="Arial"/>
                <w:bCs/>
              </w:rPr>
              <w:t>an annual report of turnover with suppliers</w:t>
            </w:r>
            <w:r w:rsidR="00FB2376">
              <w:rPr>
                <w:rFonts w:ascii="Verdana" w:hAnsi="Verdana" w:cs="Arial"/>
                <w:bCs/>
              </w:rPr>
              <w:t xml:space="preserve">.  </w:t>
            </w:r>
          </w:p>
          <w:p w14:paraId="52B8F1AE" w14:textId="77777777" w:rsidR="00ED2592" w:rsidRDefault="00ED2592" w:rsidP="008100B2">
            <w:pPr>
              <w:contextualSpacing/>
              <w:rPr>
                <w:rFonts w:ascii="Verdana" w:hAnsi="Verdana" w:cs="Arial"/>
                <w:bCs/>
              </w:rPr>
            </w:pPr>
          </w:p>
          <w:p w14:paraId="0DC80079" w14:textId="74C5F426" w:rsidR="0073752B" w:rsidRPr="009C7232" w:rsidRDefault="00FB2376" w:rsidP="008100B2">
            <w:pPr>
              <w:contextualSpacing/>
              <w:rPr>
                <w:rFonts w:ascii="Verdana" w:hAnsi="Verdana" w:cs="Arial"/>
              </w:rPr>
            </w:pPr>
            <w:r>
              <w:rPr>
                <w:rFonts w:ascii="Verdana" w:hAnsi="Verdana" w:cs="Arial"/>
                <w:bCs/>
              </w:rPr>
              <w:t xml:space="preserve">In the latter regard, the purpose of the proposed report was unclear to the Committee.  If it is to verify the integrity of transactions and ensure that there are no related party issues arising from them, the Committee </w:t>
            </w:r>
            <w:r w:rsidR="00ED1AC2">
              <w:rPr>
                <w:rFonts w:ascii="Verdana" w:hAnsi="Verdana" w:cs="Arial"/>
                <w:bCs/>
              </w:rPr>
              <w:t xml:space="preserve">proposes </w:t>
            </w:r>
            <w:proofErr w:type="gramStart"/>
            <w:r w:rsidR="00ED1AC2">
              <w:rPr>
                <w:rFonts w:ascii="Verdana" w:hAnsi="Verdana" w:cs="Arial"/>
                <w:bCs/>
              </w:rPr>
              <w:t>that</w:t>
            </w:r>
            <w:r>
              <w:rPr>
                <w:rFonts w:ascii="Verdana" w:hAnsi="Verdana" w:cs="Arial"/>
                <w:bCs/>
              </w:rPr>
              <w:t xml:space="preserve">  it</w:t>
            </w:r>
            <w:proofErr w:type="gramEnd"/>
            <w:r>
              <w:rPr>
                <w:rFonts w:ascii="Verdana" w:hAnsi="Verdana" w:cs="Arial"/>
                <w:bCs/>
              </w:rPr>
              <w:t xml:space="preserve"> be overseen by the Audit Committee within whose remit it would more appropriately fit.  The Clerk to the Corporation was asked to clarify the Audit Committee’s intentions in making the recommendation. </w:t>
            </w:r>
          </w:p>
        </w:tc>
      </w:tr>
    </w:tbl>
    <w:p w14:paraId="42DFEF0E" w14:textId="23E2D48A" w:rsidR="009C7232" w:rsidRDefault="009C7232" w:rsidP="004F4C55"/>
    <w:tbl>
      <w:tblPr>
        <w:tblW w:w="9351" w:type="dxa"/>
        <w:tblLook w:val="04A0" w:firstRow="1" w:lastRow="0" w:firstColumn="1" w:lastColumn="0" w:noHBand="0" w:noVBand="1"/>
      </w:tblPr>
      <w:tblGrid>
        <w:gridCol w:w="544"/>
        <w:gridCol w:w="8807"/>
      </w:tblGrid>
      <w:tr w:rsidR="0073752B" w:rsidRPr="009C7232" w14:paraId="5635845C" w14:textId="77777777" w:rsidTr="00303773">
        <w:tc>
          <w:tcPr>
            <w:tcW w:w="544" w:type="dxa"/>
          </w:tcPr>
          <w:p w14:paraId="56ABD4CF" w14:textId="066E2353" w:rsidR="0073752B" w:rsidRPr="009C7232" w:rsidRDefault="0073752B" w:rsidP="008100B2">
            <w:pPr>
              <w:rPr>
                <w:rFonts w:ascii="Verdana" w:hAnsi="Verdana"/>
                <w:b/>
                <w:color w:val="FF0000"/>
              </w:rPr>
            </w:pPr>
            <w:r w:rsidRPr="0073752B">
              <w:rPr>
                <w:rFonts w:ascii="Verdana" w:hAnsi="Verdana"/>
                <w:b/>
              </w:rPr>
              <w:t>10</w:t>
            </w:r>
          </w:p>
        </w:tc>
        <w:tc>
          <w:tcPr>
            <w:tcW w:w="8807" w:type="dxa"/>
          </w:tcPr>
          <w:p w14:paraId="28645D2E" w14:textId="77777777" w:rsidR="0073752B" w:rsidRDefault="0073752B" w:rsidP="0073752B">
            <w:pPr>
              <w:pStyle w:val="NoSpacing"/>
              <w:rPr>
                <w:rFonts w:ascii="Verdana" w:hAnsi="Verdana"/>
                <w:b/>
              </w:rPr>
            </w:pPr>
            <w:r>
              <w:rPr>
                <w:rFonts w:ascii="Verdana" w:hAnsi="Verdana"/>
                <w:b/>
              </w:rPr>
              <w:t>Health &amp; Safety Policy</w:t>
            </w:r>
          </w:p>
          <w:p w14:paraId="190FDD0C" w14:textId="2D576862" w:rsidR="0073752B" w:rsidRDefault="0073752B" w:rsidP="008100B2">
            <w:pPr>
              <w:contextualSpacing/>
              <w:rPr>
                <w:rFonts w:ascii="Verdana" w:hAnsi="Verdana" w:cs="Arial"/>
              </w:rPr>
            </w:pPr>
          </w:p>
          <w:p w14:paraId="200E0DD6" w14:textId="7419CB63" w:rsidR="0073752B" w:rsidRPr="009C7232" w:rsidRDefault="0073752B" w:rsidP="008100B2">
            <w:pPr>
              <w:contextualSpacing/>
              <w:rPr>
                <w:rFonts w:ascii="Verdana" w:hAnsi="Verdana" w:cs="Arial"/>
              </w:rPr>
            </w:pPr>
            <w:r w:rsidRPr="009A031C">
              <w:rPr>
                <w:rFonts w:ascii="Verdana" w:hAnsi="Verdana" w:cs="Arial"/>
              </w:rPr>
              <w:t xml:space="preserve">The draft policy, revised </w:t>
            </w:r>
            <w:r w:rsidRPr="009A031C">
              <w:rPr>
                <w:rFonts w:ascii="Verdana" w:hAnsi="Verdana" w:cs="Arial"/>
                <w:bCs/>
              </w:rPr>
              <w:t xml:space="preserve">to reflect current best practice and refer to the College’s policy </w:t>
            </w:r>
            <w:r w:rsidR="005511E8">
              <w:rPr>
                <w:rFonts w:ascii="Verdana" w:hAnsi="Verdana" w:cs="Arial"/>
                <w:bCs/>
              </w:rPr>
              <w:t>concerning</w:t>
            </w:r>
            <w:r w:rsidRPr="009A031C">
              <w:rPr>
                <w:rFonts w:ascii="Verdana" w:hAnsi="Verdana" w:cs="Arial"/>
                <w:bCs/>
              </w:rPr>
              <w:t xml:space="preserve"> safeguarding</w:t>
            </w:r>
            <w:r w:rsidR="009A031C" w:rsidRPr="009A031C">
              <w:rPr>
                <w:rFonts w:ascii="Verdana" w:hAnsi="Verdana" w:cs="Arial"/>
                <w:bCs/>
              </w:rPr>
              <w:t>, was received and approved by the Committee on behalf of the Corporation.</w:t>
            </w:r>
          </w:p>
        </w:tc>
      </w:tr>
    </w:tbl>
    <w:p w14:paraId="50006D8D" w14:textId="7EA36D41" w:rsidR="009C7232" w:rsidRDefault="009C7232" w:rsidP="004F4C55"/>
    <w:tbl>
      <w:tblPr>
        <w:tblW w:w="9351" w:type="dxa"/>
        <w:tblLook w:val="04A0" w:firstRow="1" w:lastRow="0" w:firstColumn="1" w:lastColumn="0" w:noHBand="0" w:noVBand="1"/>
      </w:tblPr>
      <w:tblGrid>
        <w:gridCol w:w="544"/>
        <w:gridCol w:w="8807"/>
      </w:tblGrid>
      <w:tr w:rsidR="009A031C" w:rsidRPr="009C7232" w14:paraId="3B1F18D3" w14:textId="77777777" w:rsidTr="00303773">
        <w:tc>
          <w:tcPr>
            <w:tcW w:w="544" w:type="dxa"/>
          </w:tcPr>
          <w:p w14:paraId="4E47685E" w14:textId="5CCE9CB8" w:rsidR="009A031C" w:rsidRPr="009C7232" w:rsidRDefault="009A031C" w:rsidP="008100B2">
            <w:pPr>
              <w:rPr>
                <w:rFonts w:ascii="Verdana" w:hAnsi="Verdana"/>
                <w:b/>
                <w:color w:val="FF0000"/>
              </w:rPr>
            </w:pPr>
            <w:r w:rsidRPr="0073752B">
              <w:rPr>
                <w:rFonts w:ascii="Verdana" w:hAnsi="Verdana"/>
                <w:b/>
              </w:rPr>
              <w:t>1</w:t>
            </w:r>
            <w:r>
              <w:rPr>
                <w:rFonts w:ascii="Verdana" w:hAnsi="Verdana"/>
                <w:b/>
              </w:rPr>
              <w:t>1</w:t>
            </w:r>
          </w:p>
        </w:tc>
        <w:tc>
          <w:tcPr>
            <w:tcW w:w="8807" w:type="dxa"/>
          </w:tcPr>
          <w:p w14:paraId="60150168" w14:textId="77777777" w:rsidR="009A031C" w:rsidRPr="00896864" w:rsidRDefault="009A031C" w:rsidP="009A031C">
            <w:pPr>
              <w:pStyle w:val="NoSpacing"/>
              <w:rPr>
                <w:rFonts w:ascii="Verdana" w:hAnsi="Verdana"/>
                <w:b/>
              </w:rPr>
            </w:pPr>
            <w:r w:rsidRPr="00896864">
              <w:rPr>
                <w:rFonts w:ascii="Verdana" w:hAnsi="Verdana"/>
                <w:b/>
              </w:rPr>
              <w:t>Date</w:t>
            </w:r>
            <w:r>
              <w:rPr>
                <w:rFonts w:ascii="Verdana" w:hAnsi="Verdana"/>
                <w:b/>
              </w:rPr>
              <w:t xml:space="preserve"> and Time</w:t>
            </w:r>
            <w:r w:rsidRPr="00896864">
              <w:rPr>
                <w:rFonts w:ascii="Verdana" w:hAnsi="Verdana"/>
                <w:b/>
              </w:rPr>
              <w:t xml:space="preserve"> of </w:t>
            </w:r>
            <w:r>
              <w:rPr>
                <w:rFonts w:ascii="Verdana" w:hAnsi="Verdana"/>
                <w:b/>
              </w:rPr>
              <w:t>Remaining</w:t>
            </w:r>
            <w:r w:rsidRPr="00896864">
              <w:rPr>
                <w:rFonts w:ascii="Verdana" w:hAnsi="Verdana"/>
                <w:b/>
              </w:rPr>
              <w:t xml:space="preserve"> Meeting</w:t>
            </w:r>
            <w:r>
              <w:rPr>
                <w:rFonts w:ascii="Verdana" w:hAnsi="Verdana"/>
                <w:b/>
              </w:rPr>
              <w:t xml:space="preserve"> 2019-20</w:t>
            </w:r>
          </w:p>
          <w:p w14:paraId="20E3CEB8" w14:textId="77777777" w:rsidR="009A031C" w:rsidRDefault="009A031C" w:rsidP="009A031C">
            <w:pPr>
              <w:rPr>
                <w:rFonts w:ascii="Verdana" w:hAnsi="Verdana"/>
              </w:rPr>
            </w:pPr>
          </w:p>
          <w:p w14:paraId="5E7E3DD0" w14:textId="4459E636" w:rsidR="009A031C" w:rsidRDefault="009A031C" w:rsidP="009A031C">
            <w:pPr>
              <w:rPr>
                <w:rFonts w:ascii="Verdana" w:hAnsi="Verdana"/>
              </w:rPr>
            </w:pPr>
            <w:r>
              <w:rPr>
                <w:rFonts w:ascii="Verdana" w:hAnsi="Verdana"/>
              </w:rPr>
              <w:t>It was noted that a meeting of the Committee will be held on:</w:t>
            </w:r>
          </w:p>
          <w:p w14:paraId="2C162DA7" w14:textId="77777777" w:rsidR="009A031C" w:rsidRDefault="009A031C" w:rsidP="009A031C">
            <w:pPr>
              <w:pStyle w:val="NoSpacing"/>
              <w:rPr>
                <w:rFonts w:ascii="Verdana" w:hAnsi="Verdana"/>
                <w:b/>
                <w:i/>
              </w:rPr>
            </w:pPr>
          </w:p>
          <w:p w14:paraId="0BE10411" w14:textId="77777777" w:rsidR="009A031C" w:rsidRDefault="009A031C" w:rsidP="009A031C">
            <w:pPr>
              <w:pStyle w:val="NoSpacing"/>
              <w:rPr>
                <w:rFonts w:ascii="Verdana" w:hAnsi="Verdana"/>
                <w:b/>
                <w:i/>
              </w:rPr>
            </w:pPr>
            <w:r>
              <w:rPr>
                <w:rFonts w:ascii="Verdana" w:hAnsi="Verdana"/>
                <w:b/>
                <w:i/>
              </w:rPr>
              <w:t>Tues</w:t>
            </w:r>
            <w:r w:rsidRPr="00371E0C">
              <w:rPr>
                <w:rFonts w:ascii="Verdana" w:hAnsi="Verdana"/>
                <w:b/>
                <w:i/>
              </w:rPr>
              <w:t xml:space="preserve">day </w:t>
            </w:r>
            <w:r>
              <w:rPr>
                <w:rFonts w:ascii="Verdana" w:hAnsi="Verdana"/>
                <w:b/>
                <w:i/>
              </w:rPr>
              <w:t>23</w:t>
            </w:r>
            <w:r w:rsidRPr="00371E0C">
              <w:rPr>
                <w:rFonts w:ascii="Verdana" w:hAnsi="Verdana"/>
                <w:b/>
                <w:i/>
              </w:rPr>
              <w:t xml:space="preserve"> June 20</w:t>
            </w:r>
            <w:r>
              <w:rPr>
                <w:rFonts w:ascii="Verdana" w:hAnsi="Verdana"/>
                <w:b/>
                <w:i/>
              </w:rPr>
              <w:t>20</w:t>
            </w:r>
            <w:r w:rsidRPr="00371E0C">
              <w:rPr>
                <w:rFonts w:ascii="Verdana" w:hAnsi="Verdana"/>
                <w:b/>
                <w:i/>
              </w:rPr>
              <w:t xml:space="preserve"> (8.30am)</w:t>
            </w:r>
          </w:p>
          <w:p w14:paraId="7B886888" w14:textId="4FA87017" w:rsidR="009A031C" w:rsidRPr="009A031C" w:rsidRDefault="009A031C" w:rsidP="009A031C">
            <w:pPr>
              <w:pStyle w:val="NoSpacing"/>
              <w:rPr>
                <w:rFonts w:ascii="Verdana" w:hAnsi="Verdana"/>
                <w:b/>
                <w:i/>
              </w:rPr>
            </w:pPr>
          </w:p>
        </w:tc>
      </w:tr>
      <w:tr w:rsidR="009A031C" w:rsidRPr="009C7232" w14:paraId="63C79878" w14:textId="77777777" w:rsidTr="00303773">
        <w:tc>
          <w:tcPr>
            <w:tcW w:w="544" w:type="dxa"/>
          </w:tcPr>
          <w:p w14:paraId="661C1DDD" w14:textId="25A6386F" w:rsidR="009A031C" w:rsidRPr="0073752B" w:rsidRDefault="009A031C" w:rsidP="008100B2">
            <w:pPr>
              <w:rPr>
                <w:rFonts w:ascii="Verdana" w:hAnsi="Verdana"/>
                <w:b/>
              </w:rPr>
            </w:pPr>
            <w:r>
              <w:rPr>
                <w:rFonts w:ascii="Verdana" w:hAnsi="Verdana"/>
                <w:b/>
              </w:rPr>
              <w:t>12</w:t>
            </w:r>
          </w:p>
        </w:tc>
        <w:tc>
          <w:tcPr>
            <w:tcW w:w="8807" w:type="dxa"/>
          </w:tcPr>
          <w:p w14:paraId="6386E6E0" w14:textId="77777777" w:rsidR="009A031C" w:rsidRDefault="009A031C" w:rsidP="009A031C">
            <w:pPr>
              <w:rPr>
                <w:rFonts w:ascii="Verdana" w:hAnsi="Verdana"/>
                <w:b/>
              </w:rPr>
            </w:pPr>
            <w:r>
              <w:rPr>
                <w:rFonts w:ascii="Verdana" w:hAnsi="Verdana"/>
                <w:b/>
              </w:rPr>
              <w:t>Any Other Competent Business</w:t>
            </w:r>
          </w:p>
          <w:p w14:paraId="3AE4C718" w14:textId="77777777" w:rsidR="009A031C" w:rsidRDefault="009A031C" w:rsidP="009A031C">
            <w:pPr>
              <w:pStyle w:val="NoSpacing"/>
              <w:rPr>
                <w:rFonts w:ascii="Verdana" w:hAnsi="Verdana"/>
                <w:b/>
              </w:rPr>
            </w:pPr>
          </w:p>
          <w:p w14:paraId="5FB2A743" w14:textId="37AE3802" w:rsidR="009A031C" w:rsidRPr="009A031C" w:rsidRDefault="009A031C" w:rsidP="009A031C">
            <w:pPr>
              <w:pStyle w:val="NoSpacing"/>
              <w:rPr>
                <w:rFonts w:ascii="Verdana" w:hAnsi="Verdana"/>
                <w:bCs/>
              </w:rPr>
            </w:pPr>
            <w:r w:rsidRPr="009A031C">
              <w:rPr>
                <w:rFonts w:ascii="Verdana" w:hAnsi="Verdana"/>
                <w:bCs/>
              </w:rPr>
              <w:t>None.</w:t>
            </w:r>
          </w:p>
        </w:tc>
      </w:tr>
    </w:tbl>
    <w:p w14:paraId="5EA34774" w14:textId="38F91C43" w:rsidR="0073752B" w:rsidRDefault="0073752B" w:rsidP="004F4C55"/>
    <w:p w14:paraId="09987BAA" w14:textId="2FD731DE" w:rsidR="00CA7196" w:rsidRDefault="00CA7196" w:rsidP="004F4C55"/>
    <w:p w14:paraId="6DA0F17B" w14:textId="525CE1BC" w:rsidR="004E0ABD" w:rsidRDefault="004E0ABD" w:rsidP="004F4C55"/>
    <w:p w14:paraId="504CD26C" w14:textId="2E314D01" w:rsidR="004E0ABD" w:rsidRDefault="004E0ABD" w:rsidP="004F4C55"/>
    <w:p w14:paraId="3463FC0D" w14:textId="7AC94CA5" w:rsidR="004E0ABD" w:rsidRDefault="004E0ABD" w:rsidP="004F4C55"/>
    <w:p w14:paraId="58148CAA" w14:textId="7785DACC" w:rsidR="004E0ABD" w:rsidRDefault="004E0ABD" w:rsidP="004F4C55"/>
    <w:p w14:paraId="6527ADC2" w14:textId="67B36CDE" w:rsidR="00ED2592" w:rsidRDefault="00ED2592" w:rsidP="004F4C55"/>
    <w:p w14:paraId="696468CC" w14:textId="4C154661" w:rsidR="00303773" w:rsidRDefault="00303773" w:rsidP="004F4C55"/>
    <w:p w14:paraId="6739E322" w14:textId="32CB7EC5" w:rsidR="00303773" w:rsidRDefault="00303773" w:rsidP="004F4C55"/>
    <w:p w14:paraId="43CB293A" w14:textId="63F971DB" w:rsidR="00303773" w:rsidRDefault="00303773" w:rsidP="004F4C55"/>
    <w:p w14:paraId="7391CBF3" w14:textId="3B4A30F9" w:rsidR="00303773" w:rsidRDefault="00303773" w:rsidP="004F4C55"/>
    <w:p w14:paraId="28459880" w14:textId="10F82A63" w:rsidR="00303773" w:rsidRDefault="00303773" w:rsidP="004F4C55"/>
    <w:p w14:paraId="1B7EE12C" w14:textId="6D911A37" w:rsidR="00303773" w:rsidRDefault="00303773" w:rsidP="004F4C55"/>
    <w:p w14:paraId="72A7A9E3" w14:textId="252D57B0" w:rsidR="00303773" w:rsidRDefault="00303773" w:rsidP="004F4C55"/>
    <w:p w14:paraId="5789B5E8" w14:textId="59145D3F" w:rsidR="00303773" w:rsidRDefault="00303773" w:rsidP="004F4C55"/>
    <w:p w14:paraId="7D4A1D2A" w14:textId="1F4DC7F3" w:rsidR="00303773" w:rsidRDefault="00303773" w:rsidP="004F4C55"/>
    <w:p w14:paraId="05FC7A24" w14:textId="77777777" w:rsidR="00303773" w:rsidRDefault="00303773" w:rsidP="004F4C55"/>
    <w:p w14:paraId="6737517D" w14:textId="6E6F13D1" w:rsidR="006A55DA" w:rsidRPr="00413682" w:rsidRDefault="006A55DA" w:rsidP="006A55DA">
      <w:pPr>
        <w:rPr>
          <w:rFonts w:ascii="Verdana" w:hAnsi="Verdana"/>
          <w:b/>
        </w:rPr>
      </w:pPr>
      <w:r w:rsidRPr="00413682">
        <w:rPr>
          <w:rFonts w:ascii="Verdana" w:hAnsi="Verdana"/>
          <w:b/>
        </w:rPr>
        <w:t xml:space="preserve">List of Actions Arising from </w:t>
      </w:r>
      <w:r>
        <w:rPr>
          <w:rFonts w:ascii="Verdana" w:hAnsi="Verdana"/>
          <w:b/>
        </w:rPr>
        <w:t xml:space="preserve">This Meeting </w:t>
      </w:r>
    </w:p>
    <w:p w14:paraId="503E2491" w14:textId="77777777" w:rsidR="006A55DA" w:rsidRDefault="006A55DA" w:rsidP="006A55DA">
      <w:pPr>
        <w:rPr>
          <w:rFonts w:ascii="Verdana" w:hAnsi="Verdana"/>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3017"/>
        <w:gridCol w:w="5387"/>
      </w:tblGrid>
      <w:tr w:rsidR="006A55DA" w14:paraId="6D25274B" w14:textId="77777777" w:rsidTr="00303773">
        <w:tc>
          <w:tcPr>
            <w:tcW w:w="1060" w:type="dxa"/>
          </w:tcPr>
          <w:p w14:paraId="7B0DA7B0" w14:textId="57489576" w:rsidR="00593049" w:rsidRPr="00593049" w:rsidRDefault="006A55DA" w:rsidP="007D5E3C">
            <w:pPr>
              <w:rPr>
                <w:rFonts w:ascii="Verdana" w:hAnsi="Verdana"/>
                <w:b/>
                <w:i/>
              </w:rPr>
            </w:pPr>
            <w:r w:rsidRPr="00413682">
              <w:rPr>
                <w:rFonts w:ascii="Verdana" w:hAnsi="Verdana"/>
                <w:b/>
                <w:i/>
              </w:rPr>
              <w:t>Minute</w:t>
            </w:r>
          </w:p>
        </w:tc>
        <w:tc>
          <w:tcPr>
            <w:tcW w:w="3017" w:type="dxa"/>
          </w:tcPr>
          <w:p w14:paraId="33624299" w14:textId="00E31ABB" w:rsidR="006A55DA" w:rsidRDefault="006A55DA" w:rsidP="007D5E3C">
            <w:pPr>
              <w:rPr>
                <w:rFonts w:ascii="Verdana" w:hAnsi="Verdana"/>
                <w:b/>
                <w:i/>
              </w:rPr>
            </w:pPr>
            <w:r w:rsidRPr="00413682">
              <w:rPr>
                <w:rFonts w:ascii="Verdana" w:hAnsi="Verdana"/>
                <w:b/>
                <w:i/>
              </w:rPr>
              <w:t>Person Responsible</w:t>
            </w:r>
          </w:p>
          <w:p w14:paraId="2385396C" w14:textId="77777777" w:rsidR="00593049" w:rsidRDefault="00593049" w:rsidP="007D5E3C">
            <w:pPr>
              <w:rPr>
                <w:rFonts w:ascii="Verdana" w:hAnsi="Verdana"/>
                <w:b/>
                <w:i/>
              </w:rPr>
            </w:pPr>
          </w:p>
          <w:p w14:paraId="55E7030C" w14:textId="77191672" w:rsidR="00593049" w:rsidRPr="00593049" w:rsidRDefault="00593049" w:rsidP="007D5E3C">
            <w:pPr>
              <w:rPr>
                <w:rFonts w:ascii="Verdana" w:hAnsi="Verdana"/>
                <w:bCs/>
                <w:iCs/>
              </w:rPr>
            </w:pPr>
          </w:p>
        </w:tc>
        <w:tc>
          <w:tcPr>
            <w:tcW w:w="5387" w:type="dxa"/>
          </w:tcPr>
          <w:p w14:paraId="59A013D1" w14:textId="0C969E05" w:rsidR="006A55DA" w:rsidRPr="00413682" w:rsidRDefault="006A55DA" w:rsidP="00593049">
            <w:pPr>
              <w:rPr>
                <w:rFonts w:ascii="Verdana" w:hAnsi="Verdana"/>
                <w:b/>
                <w:i/>
              </w:rPr>
            </w:pPr>
            <w:r w:rsidRPr="00413682">
              <w:rPr>
                <w:rFonts w:ascii="Verdana" w:hAnsi="Verdana"/>
                <w:b/>
                <w:i/>
              </w:rPr>
              <w:t>Action</w:t>
            </w:r>
          </w:p>
        </w:tc>
      </w:tr>
      <w:tr w:rsidR="00467525" w14:paraId="26C79C5A" w14:textId="77777777" w:rsidTr="00303773">
        <w:tc>
          <w:tcPr>
            <w:tcW w:w="1060" w:type="dxa"/>
          </w:tcPr>
          <w:p w14:paraId="5611E3E0" w14:textId="62425060" w:rsidR="00467525" w:rsidRPr="005511E8" w:rsidRDefault="005511E8" w:rsidP="007D5E3C">
            <w:pPr>
              <w:rPr>
                <w:rFonts w:ascii="Verdana" w:hAnsi="Verdana"/>
                <w:b/>
                <w:iCs/>
              </w:rPr>
            </w:pPr>
            <w:r w:rsidRPr="005511E8">
              <w:rPr>
                <w:rFonts w:ascii="Verdana" w:hAnsi="Verdana"/>
                <w:b/>
                <w:iCs/>
              </w:rPr>
              <w:t>7</w:t>
            </w:r>
          </w:p>
        </w:tc>
        <w:tc>
          <w:tcPr>
            <w:tcW w:w="3017" w:type="dxa"/>
          </w:tcPr>
          <w:p w14:paraId="075FDBD9" w14:textId="26701B73" w:rsidR="00467525" w:rsidRPr="005511E8" w:rsidRDefault="004E0ABD" w:rsidP="007D5E3C">
            <w:pPr>
              <w:rPr>
                <w:rFonts w:ascii="Verdana" w:hAnsi="Verdana"/>
                <w:bCs/>
                <w:iCs/>
              </w:rPr>
            </w:pPr>
            <w:r>
              <w:rPr>
                <w:rFonts w:ascii="Verdana" w:hAnsi="Verdana"/>
                <w:bCs/>
                <w:iCs/>
              </w:rPr>
              <w:t>SLT</w:t>
            </w:r>
          </w:p>
        </w:tc>
        <w:tc>
          <w:tcPr>
            <w:tcW w:w="5387" w:type="dxa"/>
          </w:tcPr>
          <w:p w14:paraId="0236A4F2" w14:textId="77777777" w:rsidR="00593049" w:rsidRDefault="004E0ABD" w:rsidP="007D5E3C">
            <w:pPr>
              <w:contextualSpacing/>
              <w:rPr>
                <w:rFonts w:ascii="Verdana" w:hAnsi="Verdana"/>
                <w:bCs/>
                <w:iCs/>
              </w:rPr>
            </w:pPr>
            <w:r>
              <w:rPr>
                <w:rFonts w:ascii="Verdana" w:hAnsi="Verdana"/>
                <w:bCs/>
                <w:iCs/>
              </w:rPr>
              <w:t>Obtain Corporation agreement in principle to the Accelerated Learning Academy at the 15 February meeting.</w:t>
            </w:r>
          </w:p>
          <w:p w14:paraId="0381D4A6" w14:textId="7B623921" w:rsidR="004E0ABD" w:rsidRPr="005511E8" w:rsidRDefault="004E0ABD" w:rsidP="007D5E3C">
            <w:pPr>
              <w:contextualSpacing/>
              <w:rPr>
                <w:rFonts w:ascii="Verdana" w:hAnsi="Verdana"/>
                <w:bCs/>
                <w:iCs/>
              </w:rPr>
            </w:pPr>
          </w:p>
        </w:tc>
      </w:tr>
      <w:tr w:rsidR="004E0ABD" w14:paraId="0D4D8365" w14:textId="77777777" w:rsidTr="00303773">
        <w:tc>
          <w:tcPr>
            <w:tcW w:w="1060" w:type="dxa"/>
          </w:tcPr>
          <w:p w14:paraId="75416129" w14:textId="71B66DC4" w:rsidR="004E0ABD" w:rsidRPr="005511E8" w:rsidRDefault="004E0ABD" w:rsidP="007D5E3C">
            <w:pPr>
              <w:rPr>
                <w:rFonts w:ascii="Verdana" w:hAnsi="Verdana"/>
                <w:b/>
                <w:iCs/>
              </w:rPr>
            </w:pPr>
            <w:r>
              <w:rPr>
                <w:rFonts w:ascii="Verdana" w:hAnsi="Verdana"/>
                <w:b/>
                <w:iCs/>
              </w:rPr>
              <w:t>9</w:t>
            </w:r>
          </w:p>
        </w:tc>
        <w:tc>
          <w:tcPr>
            <w:tcW w:w="3017" w:type="dxa"/>
          </w:tcPr>
          <w:p w14:paraId="4DCBD66B" w14:textId="77777777" w:rsidR="004E0ABD" w:rsidRDefault="004E0ABD" w:rsidP="007D5E3C">
            <w:pPr>
              <w:rPr>
                <w:rFonts w:ascii="Verdana" w:hAnsi="Verdana"/>
                <w:bCs/>
                <w:iCs/>
              </w:rPr>
            </w:pPr>
            <w:r>
              <w:rPr>
                <w:rFonts w:ascii="Verdana" w:hAnsi="Verdana"/>
                <w:bCs/>
                <w:iCs/>
              </w:rPr>
              <w:t>Clerk to the Corporation</w:t>
            </w:r>
          </w:p>
          <w:p w14:paraId="78B44960" w14:textId="77777777" w:rsidR="004E0ABD" w:rsidRDefault="004E0ABD" w:rsidP="007D5E3C">
            <w:pPr>
              <w:rPr>
                <w:rFonts w:ascii="Verdana" w:hAnsi="Verdana"/>
                <w:bCs/>
                <w:iCs/>
              </w:rPr>
            </w:pPr>
          </w:p>
          <w:p w14:paraId="58D6F3A7" w14:textId="77777777" w:rsidR="004E0ABD" w:rsidRDefault="004E0ABD" w:rsidP="007D5E3C">
            <w:pPr>
              <w:rPr>
                <w:rFonts w:ascii="Verdana" w:hAnsi="Verdana"/>
                <w:bCs/>
                <w:iCs/>
              </w:rPr>
            </w:pPr>
          </w:p>
          <w:p w14:paraId="5806441C" w14:textId="77777777" w:rsidR="004E0ABD" w:rsidRDefault="004E0ABD" w:rsidP="007D5E3C">
            <w:pPr>
              <w:rPr>
                <w:rFonts w:ascii="Verdana" w:hAnsi="Verdana"/>
                <w:bCs/>
                <w:iCs/>
              </w:rPr>
            </w:pPr>
          </w:p>
          <w:p w14:paraId="74538029" w14:textId="77777777" w:rsidR="004E0ABD" w:rsidRDefault="004E0ABD" w:rsidP="007D5E3C">
            <w:pPr>
              <w:rPr>
                <w:rFonts w:ascii="Verdana" w:hAnsi="Verdana"/>
                <w:bCs/>
                <w:iCs/>
              </w:rPr>
            </w:pPr>
          </w:p>
          <w:p w14:paraId="7281B528" w14:textId="77777777" w:rsidR="004E0ABD" w:rsidRDefault="004E0ABD" w:rsidP="007D5E3C">
            <w:pPr>
              <w:rPr>
                <w:rFonts w:ascii="Verdana" w:hAnsi="Verdana"/>
                <w:bCs/>
                <w:iCs/>
              </w:rPr>
            </w:pPr>
            <w:r>
              <w:rPr>
                <w:rFonts w:ascii="Verdana" w:hAnsi="Verdana"/>
                <w:bCs/>
                <w:iCs/>
              </w:rPr>
              <w:t>Vice-Principal: Corporate Services</w:t>
            </w:r>
          </w:p>
          <w:p w14:paraId="761659AB" w14:textId="77777777" w:rsidR="00FB2376" w:rsidRDefault="00FB2376" w:rsidP="007D5E3C">
            <w:pPr>
              <w:rPr>
                <w:rFonts w:ascii="Verdana" w:hAnsi="Verdana"/>
                <w:bCs/>
                <w:iCs/>
              </w:rPr>
            </w:pPr>
          </w:p>
          <w:p w14:paraId="683946AC" w14:textId="67EE2C84" w:rsidR="00FB2376" w:rsidRDefault="00FB2376" w:rsidP="007D5E3C">
            <w:pPr>
              <w:rPr>
                <w:rFonts w:ascii="Verdana" w:hAnsi="Verdana"/>
                <w:bCs/>
                <w:iCs/>
              </w:rPr>
            </w:pPr>
            <w:r>
              <w:rPr>
                <w:rFonts w:ascii="Verdana" w:hAnsi="Verdana"/>
                <w:bCs/>
                <w:iCs/>
              </w:rPr>
              <w:t>Clerk to the Corporation</w:t>
            </w:r>
          </w:p>
        </w:tc>
        <w:tc>
          <w:tcPr>
            <w:tcW w:w="5387" w:type="dxa"/>
          </w:tcPr>
          <w:p w14:paraId="7B33DDA4" w14:textId="4F684B8D" w:rsidR="004E0ABD" w:rsidRDefault="004E0ABD" w:rsidP="007D5E3C">
            <w:pPr>
              <w:contextualSpacing/>
              <w:rPr>
                <w:rFonts w:ascii="Verdana" w:hAnsi="Verdana" w:cs="Arial"/>
                <w:iCs/>
              </w:rPr>
            </w:pPr>
            <w:r>
              <w:rPr>
                <w:rFonts w:ascii="Verdana" w:hAnsi="Verdana"/>
                <w:bCs/>
                <w:iCs/>
              </w:rPr>
              <w:t>Provide</w:t>
            </w:r>
            <w:r w:rsidRPr="00E114A5">
              <w:rPr>
                <w:rFonts w:ascii="Verdana" w:hAnsi="Verdana" w:cs="Arial"/>
                <w:iCs/>
              </w:rPr>
              <w:t xml:space="preserve"> </w:t>
            </w:r>
            <w:r>
              <w:rPr>
                <w:rFonts w:ascii="Verdana" w:hAnsi="Verdana" w:cs="Arial"/>
                <w:iCs/>
              </w:rPr>
              <w:t xml:space="preserve">an agendum at each meeting of the External Relations Committee for reporting </w:t>
            </w:r>
            <w:r w:rsidRPr="00E114A5">
              <w:rPr>
                <w:rFonts w:ascii="Verdana" w:hAnsi="Verdana" w:cs="Arial"/>
                <w:iCs/>
              </w:rPr>
              <w:t>instances of corporate hospitality outside the College</w:t>
            </w:r>
            <w:r>
              <w:rPr>
                <w:rFonts w:ascii="Verdana" w:hAnsi="Verdana" w:cs="Arial"/>
                <w:iCs/>
              </w:rPr>
              <w:t>.</w:t>
            </w:r>
          </w:p>
          <w:p w14:paraId="75C987B6" w14:textId="77777777" w:rsidR="004E0ABD" w:rsidRDefault="004E0ABD" w:rsidP="007D5E3C">
            <w:pPr>
              <w:contextualSpacing/>
              <w:rPr>
                <w:rFonts w:ascii="Verdana" w:hAnsi="Verdana" w:cs="Arial"/>
                <w:bCs/>
                <w:iCs/>
              </w:rPr>
            </w:pPr>
          </w:p>
          <w:p w14:paraId="1539C5F6" w14:textId="77777777" w:rsidR="004E0ABD" w:rsidRDefault="004E0ABD" w:rsidP="007D5E3C">
            <w:pPr>
              <w:contextualSpacing/>
              <w:rPr>
                <w:rFonts w:ascii="Verdana" w:hAnsi="Verdana" w:cs="Arial"/>
                <w:iCs/>
              </w:rPr>
            </w:pPr>
            <w:r>
              <w:rPr>
                <w:rFonts w:ascii="Verdana" w:hAnsi="Verdana"/>
                <w:bCs/>
                <w:iCs/>
              </w:rPr>
              <w:t xml:space="preserve">Include details of </w:t>
            </w:r>
            <w:r w:rsidRPr="00E114A5">
              <w:rPr>
                <w:rFonts w:ascii="Verdana" w:hAnsi="Verdana" w:cs="Arial"/>
                <w:iCs/>
              </w:rPr>
              <w:t>overseas trips or activities in the management accounts.</w:t>
            </w:r>
          </w:p>
          <w:p w14:paraId="23808B76" w14:textId="77777777" w:rsidR="00FB2376" w:rsidRDefault="00FB2376" w:rsidP="007D5E3C">
            <w:pPr>
              <w:contextualSpacing/>
              <w:rPr>
                <w:rFonts w:ascii="Verdana" w:hAnsi="Verdana"/>
                <w:iCs/>
              </w:rPr>
            </w:pPr>
          </w:p>
          <w:p w14:paraId="78591A29" w14:textId="7FFD537B" w:rsidR="00FB2376" w:rsidRDefault="00FB2376" w:rsidP="007D5E3C">
            <w:pPr>
              <w:contextualSpacing/>
              <w:rPr>
                <w:rFonts w:ascii="Verdana" w:hAnsi="Verdana"/>
                <w:bCs/>
                <w:iCs/>
              </w:rPr>
            </w:pPr>
            <w:r>
              <w:rPr>
                <w:rFonts w:ascii="Verdana" w:hAnsi="Verdana"/>
                <w:iCs/>
              </w:rPr>
              <w:t xml:space="preserve">Raise </w:t>
            </w:r>
            <w:r w:rsidR="00ED2592">
              <w:rPr>
                <w:rFonts w:ascii="Verdana" w:hAnsi="Verdana"/>
                <w:iCs/>
              </w:rPr>
              <w:t>with the Audit Committee under Matters Arising from the Minutes at its 11 March meeting</w:t>
            </w:r>
            <w:r>
              <w:rPr>
                <w:rFonts w:ascii="Verdana" w:hAnsi="Verdana"/>
                <w:iCs/>
              </w:rPr>
              <w:t xml:space="preserve"> </w:t>
            </w:r>
            <w:r w:rsidR="00ED2592">
              <w:rPr>
                <w:rFonts w:ascii="Verdana" w:hAnsi="Verdana"/>
                <w:iCs/>
              </w:rPr>
              <w:t xml:space="preserve">the </w:t>
            </w:r>
            <w:r>
              <w:rPr>
                <w:rFonts w:ascii="Verdana" w:hAnsi="Verdana"/>
                <w:iCs/>
              </w:rPr>
              <w:t>purpose of the recommendation that the Re</w:t>
            </w:r>
            <w:r w:rsidR="00ED2592">
              <w:rPr>
                <w:rFonts w:ascii="Verdana" w:hAnsi="Verdana"/>
                <w:iCs/>
              </w:rPr>
              <w:t>s</w:t>
            </w:r>
            <w:r>
              <w:rPr>
                <w:rFonts w:ascii="Verdana" w:hAnsi="Verdana"/>
                <w:iCs/>
              </w:rPr>
              <w:t xml:space="preserve">ources Committee receive and </w:t>
            </w:r>
            <w:r w:rsidR="00ED2592">
              <w:rPr>
                <w:rFonts w:ascii="Verdana" w:hAnsi="Verdana"/>
                <w:iCs/>
              </w:rPr>
              <w:t>scrutinis</w:t>
            </w:r>
            <w:r>
              <w:rPr>
                <w:rFonts w:ascii="Verdana" w:hAnsi="Verdana"/>
                <w:iCs/>
              </w:rPr>
              <w:t>e</w:t>
            </w:r>
            <w:r w:rsidR="00ED2592">
              <w:rPr>
                <w:rFonts w:ascii="Verdana" w:hAnsi="Verdana"/>
                <w:iCs/>
              </w:rPr>
              <w:t xml:space="preserve"> </w:t>
            </w:r>
            <w:r w:rsidR="00ED2592" w:rsidRPr="00E114A5">
              <w:rPr>
                <w:rFonts w:ascii="Verdana" w:hAnsi="Verdana" w:cs="Arial"/>
                <w:bCs/>
              </w:rPr>
              <w:t>an annual report o</w:t>
            </w:r>
            <w:r w:rsidR="00ED2592">
              <w:rPr>
                <w:rFonts w:ascii="Verdana" w:hAnsi="Verdana" w:cs="Arial"/>
                <w:bCs/>
              </w:rPr>
              <w:t>n the value of</w:t>
            </w:r>
            <w:r w:rsidR="00ED2592" w:rsidRPr="00E114A5">
              <w:rPr>
                <w:rFonts w:ascii="Verdana" w:hAnsi="Verdana" w:cs="Arial"/>
                <w:bCs/>
              </w:rPr>
              <w:t xml:space="preserve"> turnover with suppliers</w:t>
            </w:r>
            <w:r w:rsidR="00ED2592">
              <w:rPr>
                <w:rFonts w:ascii="Verdana" w:hAnsi="Verdana"/>
                <w:iCs/>
              </w:rPr>
              <w:t xml:space="preserve">. </w:t>
            </w:r>
          </w:p>
        </w:tc>
      </w:tr>
    </w:tbl>
    <w:p w14:paraId="6AB9712A" w14:textId="00E51B7A" w:rsidR="006A55DA" w:rsidRDefault="006A55DA" w:rsidP="004F4C55"/>
    <w:p w14:paraId="705BBB49" w14:textId="738E1D9B" w:rsidR="00B814F2" w:rsidRDefault="00B814F2" w:rsidP="00B814F2">
      <w:pPr>
        <w:pStyle w:val="Verdana"/>
        <w:rPr>
          <w:b/>
          <w:bCs/>
        </w:rPr>
      </w:pPr>
      <w:r w:rsidRPr="00B814F2">
        <w:rPr>
          <w:b/>
          <w:bCs/>
        </w:rPr>
        <w:t>Matter for Inclusion on the Next Agenda</w:t>
      </w:r>
    </w:p>
    <w:p w14:paraId="3702DD70" w14:textId="2A9D9DEE" w:rsidR="004E0ABD" w:rsidRDefault="004E0ABD" w:rsidP="00B814F2">
      <w:pPr>
        <w:pStyle w:val="Verdana"/>
        <w:rPr>
          <w:b/>
          <w:bCs/>
        </w:rPr>
      </w:pPr>
    </w:p>
    <w:p w14:paraId="7BC06D9A" w14:textId="67BCE0E4" w:rsidR="004E0ABD" w:rsidRPr="004E0ABD" w:rsidRDefault="004E0ABD" w:rsidP="00B814F2">
      <w:pPr>
        <w:pStyle w:val="Verdana"/>
      </w:pPr>
      <w:r>
        <w:t>Report on Overseas Activities and Trips (see Minute 9 above)</w:t>
      </w:r>
    </w:p>
    <w:p w14:paraId="61800BAF" w14:textId="084D279F" w:rsidR="00B814F2" w:rsidRDefault="00B814F2" w:rsidP="00B814F2">
      <w:pPr>
        <w:pStyle w:val="Verdana"/>
        <w:rPr>
          <w:b/>
          <w:bCs/>
        </w:rPr>
      </w:pPr>
      <w:bookmarkStart w:id="0" w:name="_GoBack"/>
      <w:bookmarkEnd w:id="0"/>
    </w:p>
    <w:sectPr w:rsidR="00B81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CE2"/>
    <w:multiLevelType w:val="hybridMultilevel"/>
    <w:tmpl w:val="3B02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656EF"/>
    <w:multiLevelType w:val="hybridMultilevel"/>
    <w:tmpl w:val="9FBEC4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C817EDB"/>
    <w:multiLevelType w:val="hybridMultilevel"/>
    <w:tmpl w:val="DE2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C0030"/>
    <w:multiLevelType w:val="hybridMultilevel"/>
    <w:tmpl w:val="E416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9739E"/>
    <w:multiLevelType w:val="hybridMultilevel"/>
    <w:tmpl w:val="66E6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2143B"/>
    <w:multiLevelType w:val="hybridMultilevel"/>
    <w:tmpl w:val="7D7C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117D8D"/>
    <w:multiLevelType w:val="hybridMultilevel"/>
    <w:tmpl w:val="F36AB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572228"/>
    <w:multiLevelType w:val="hybridMultilevel"/>
    <w:tmpl w:val="FB6ACFCC"/>
    <w:lvl w:ilvl="0" w:tplc="35D465BA">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F0825"/>
    <w:multiLevelType w:val="hybridMultilevel"/>
    <w:tmpl w:val="5438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9C1E1C"/>
    <w:multiLevelType w:val="hybridMultilevel"/>
    <w:tmpl w:val="8BCE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B36C55"/>
    <w:multiLevelType w:val="hybridMultilevel"/>
    <w:tmpl w:val="A4D4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773C5"/>
    <w:multiLevelType w:val="hybridMultilevel"/>
    <w:tmpl w:val="D93C6AB4"/>
    <w:lvl w:ilvl="0" w:tplc="08090001">
      <w:start w:val="1"/>
      <w:numFmt w:val="bullet"/>
      <w:lvlText w:val=""/>
      <w:lvlJc w:val="left"/>
      <w:pPr>
        <w:tabs>
          <w:tab w:val="num" w:pos="720"/>
        </w:tabs>
        <w:ind w:left="720" w:hanging="360"/>
      </w:pPr>
      <w:rPr>
        <w:rFonts w:ascii="Symbol" w:hAnsi="Symbol" w:hint="default"/>
      </w:rPr>
    </w:lvl>
    <w:lvl w:ilvl="1" w:tplc="6E2AA1E2">
      <w:start w:val="3"/>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971A1C"/>
    <w:multiLevelType w:val="hybridMultilevel"/>
    <w:tmpl w:val="D500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0B5B87"/>
    <w:multiLevelType w:val="hybridMultilevel"/>
    <w:tmpl w:val="915E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6E2DB0"/>
    <w:multiLevelType w:val="hybridMultilevel"/>
    <w:tmpl w:val="ED628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7"/>
  </w:num>
  <w:num w:numId="3">
    <w:abstractNumId w:val="8"/>
  </w:num>
  <w:num w:numId="4">
    <w:abstractNumId w:val="4"/>
  </w:num>
  <w:num w:numId="5">
    <w:abstractNumId w:val="13"/>
  </w:num>
  <w:num w:numId="6">
    <w:abstractNumId w:val="2"/>
  </w:num>
  <w:num w:numId="7">
    <w:abstractNumId w:val="5"/>
  </w:num>
  <w:num w:numId="8">
    <w:abstractNumId w:val="3"/>
  </w:num>
  <w:num w:numId="9">
    <w:abstractNumId w:val="14"/>
  </w:num>
  <w:num w:numId="10">
    <w:abstractNumId w:val="6"/>
  </w:num>
  <w:num w:numId="11">
    <w:abstractNumId w:val="10"/>
  </w:num>
  <w:num w:numId="12">
    <w:abstractNumId w:val="1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F4E"/>
    <w:rsid w:val="00005B4A"/>
    <w:rsid w:val="00007FC0"/>
    <w:rsid w:val="00011CD9"/>
    <w:rsid w:val="00012BA4"/>
    <w:rsid w:val="00014529"/>
    <w:rsid w:val="000151A8"/>
    <w:rsid w:val="0001737C"/>
    <w:rsid w:val="00020ADD"/>
    <w:rsid w:val="000220A5"/>
    <w:rsid w:val="00026381"/>
    <w:rsid w:val="00032EF3"/>
    <w:rsid w:val="00035B29"/>
    <w:rsid w:val="00044B16"/>
    <w:rsid w:val="00044EF9"/>
    <w:rsid w:val="00052605"/>
    <w:rsid w:val="0005304E"/>
    <w:rsid w:val="00054296"/>
    <w:rsid w:val="0005695F"/>
    <w:rsid w:val="00062135"/>
    <w:rsid w:val="00066965"/>
    <w:rsid w:val="000734E6"/>
    <w:rsid w:val="00083F5C"/>
    <w:rsid w:val="00084126"/>
    <w:rsid w:val="00090F36"/>
    <w:rsid w:val="00091237"/>
    <w:rsid w:val="00094D85"/>
    <w:rsid w:val="0009514A"/>
    <w:rsid w:val="000955C7"/>
    <w:rsid w:val="00096317"/>
    <w:rsid w:val="00096EE9"/>
    <w:rsid w:val="000A3026"/>
    <w:rsid w:val="000A4701"/>
    <w:rsid w:val="000A5A31"/>
    <w:rsid w:val="000A7EB7"/>
    <w:rsid w:val="000B0F76"/>
    <w:rsid w:val="000B0F91"/>
    <w:rsid w:val="000B33A1"/>
    <w:rsid w:val="000B7F3D"/>
    <w:rsid w:val="000C15EE"/>
    <w:rsid w:val="000C31CC"/>
    <w:rsid w:val="000D081E"/>
    <w:rsid w:val="000D4683"/>
    <w:rsid w:val="000D4784"/>
    <w:rsid w:val="000D734E"/>
    <w:rsid w:val="000E2D15"/>
    <w:rsid w:val="000E718C"/>
    <w:rsid w:val="000E75C1"/>
    <w:rsid w:val="000F7CAB"/>
    <w:rsid w:val="00100DB8"/>
    <w:rsid w:val="00112BC7"/>
    <w:rsid w:val="00113116"/>
    <w:rsid w:val="00114983"/>
    <w:rsid w:val="00114E16"/>
    <w:rsid w:val="001218D1"/>
    <w:rsid w:val="001359BD"/>
    <w:rsid w:val="001434D1"/>
    <w:rsid w:val="00144B1A"/>
    <w:rsid w:val="00145538"/>
    <w:rsid w:val="00152971"/>
    <w:rsid w:val="00160261"/>
    <w:rsid w:val="00160959"/>
    <w:rsid w:val="001726DC"/>
    <w:rsid w:val="00173740"/>
    <w:rsid w:val="00173C78"/>
    <w:rsid w:val="0017770B"/>
    <w:rsid w:val="00181A4F"/>
    <w:rsid w:val="00181BFC"/>
    <w:rsid w:val="0018545A"/>
    <w:rsid w:val="0019046B"/>
    <w:rsid w:val="00192F99"/>
    <w:rsid w:val="001950A3"/>
    <w:rsid w:val="001A06BE"/>
    <w:rsid w:val="001A1D95"/>
    <w:rsid w:val="001A2738"/>
    <w:rsid w:val="001A2D89"/>
    <w:rsid w:val="001A31D6"/>
    <w:rsid w:val="001A36CA"/>
    <w:rsid w:val="001B0932"/>
    <w:rsid w:val="001B1365"/>
    <w:rsid w:val="001B4420"/>
    <w:rsid w:val="001B4AFA"/>
    <w:rsid w:val="001B63C7"/>
    <w:rsid w:val="001B739E"/>
    <w:rsid w:val="001C0A00"/>
    <w:rsid w:val="001C4DD3"/>
    <w:rsid w:val="001C69C1"/>
    <w:rsid w:val="001C746E"/>
    <w:rsid w:val="001D0987"/>
    <w:rsid w:val="001D0EF6"/>
    <w:rsid w:val="001D3374"/>
    <w:rsid w:val="001D550C"/>
    <w:rsid w:val="001E1079"/>
    <w:rsid w:val="001E1778"/>
    <w:rsid w:val="001E18F8"/>
    <w:rsid w:val="001E1E77"/>
    <w:rsid w:val="001E2C2D"/>
    <w:rsid w:val="001E2D8C"/>
    <w:rsid w:val="001E4EB2"/>
    <w:rsid w:val="001E5F8F"/>
    <w:rsid w:val="001E7DA9"/>
    <w:rsid w:val="001F2500"/>
    <w:rsid w:val="001F2DC1"/>
    <w:rsid w:val="001F3083"/>
    <w:rsid w:val="001F760D"/>
    <w:rsid w:val="00200C66"/>
    <w:rsid w:val="002057D6"/>
    <w:rsid w:val="00205D8D"/>
    <w:rsid w:val="0020744E"/>
    <w:rsid w:val="00210A83"/>
    <w:rsid w:val="00210DDF"/>
    <w:rsid w:val="002136ED"/>
    <w:rsid w:val="00216092"/>
    <w:rsid w:val="00217ADB"/>
    <w:rsid w:val="00222E73"/>
    <w:rsid w:val="00223BC3"/>
    <w:rsid w:val="00224BAE"/>
    <w:rsid w:val="0022757D"/>
    <w:rsid w:val="002276CA"/>
    <w:rsid w:val="00232B9C"/>
    <w:rsid w:val="0024052E"/>
    <w:rsid w:val="00242A9A"/>
    <w:rsid w:val="00242F9C"/>
    <w:rsid w:val="002478A6"/>
    <w:rsid w:val="00254878"/>
    <w:rsid w:val="00254F63"/>
    <w:rsid w:val="00256047"/>
    <w:rsid w:val="00260D64"/>
    <w:rsid w:val="00260E93"/>
    <w:rsid w:val="00263B29"/>
    <w:rsid w:val="00267515"/>
    <w:rsid w:val="00267FC6"/>
    <w:rsid w:val="00270409"/>
    <w:rsid w:val="0027151B"/>
    <w:rsid w:val="0027745A"/>
    <w:rsid w:val="00283349"/>
    <w:rsid w:val="00283C9C"/>
    <w:rsid w:val="00287ACA"/>
    <w:rsid w:val="00291A9A"/>
    <w:rsid w:val="00296A3A"/>
    <w:rsid w:val="002A08D9"/>
    <w:rsid w:val="002B0EB1"/>
    <w:rsid w:val="002B2F54"/>
    <w:rsid w:val="002B6900"/>
    <w:rsid w:val="002C3345"/>
    <w:rsid w:val="002C5665"/>
    <w:rsid w:val="002D06EF"/>
    <w:rsid w:val="002D189E"/>
    <w:rsid w:val="002D260A"/>
    <w:rsid w:val="002D2E7D"/>
    <w:rsid w:val="002D7F83"/>
    <w:rsid w:val="002E39BF"/>
    <w:rsid w:val="002F4079"/>
    <w:rsid w:val="002F6DD1"/>
    <w:rsid w:val="00303773"/>
    <w:rsid w:val="003047BB"/>
    <w:rsid w:val="003048D4"/>
    <w:rsid w:val="003051AF"/>
    <w:rsid w:val="0031164C"/>
    <w:rsid w:val="003121E4"/>
    <w:rsid w:val="003158E4"/>
    <w:rsid w:val="00316763"/>
    <w:rsid w:val="0031679F"/>
    <w:rsid w:val="00323D47"/>
    <w:rsid w:val="003275B0"/>
    <w:rsid w:val="003332FB"/>
    <w:rsid w:val="00334682"/>
    <w:rsid w:val="003370A8"/>
    <w:rsid w:val="003377CD"/>
    <w:rsid w:val="0034231B"/>
    <w:rsid w:val="00343A4E"/>
    <w:rsid w:val="003514A2"/>
    <w:rsid w:val="0036346D"/>
    <w:rsid w:val="003675F7"/>
    <w:rsid w:val="003677BF"/>
    <w:rsid w:val="00376A8E"/>
    <w:rsid w:val="00382376"/>
    <w:rsid w:val="003A4D45"/>
    <w:rsid w:val="003A711A"/>
    <w:rsid w:val="003B1C00"/>
    <w:rsid w:val="003B2119"/>
    <w:rsid w:val="003B4860"/>
    <w:rsid w:val="003B6572"/>
    <w:rsid w:val="003B6DF3"/>
    <w:rsid w:val="003B7E6E"/>
    <w:rsid w:val="003C23B2"/>
    <w:rsid w:val="003C407C"/>
    <w:rsid w:val="003C7785"/>
    <w:rsid w:val="003D170F"/>
    <w:rsid w:val="003D45B8"/>
    <w:rsid w:val="003D4C32"/>
    <w:rsid w:val="003D6982"/>
    <w:rsid w:val="003E1B0F"/>
    <w:rsid w:val="003E41ED"/>
    <w:rsid w:val="003E4B94"/>
    <w:rsid w:val="003E5024"/>
    <w:rsid w:val="003F0E4B"/>
    <w:rsid w:val="003F5F19"/>
    <w:rsid w:val="003F6C09"/>
    <w:rsid w:val="003F7322"/>
    <w:rsid w:val="00400A03"/>
    <w:rsid w:val="00403178"/>
    <w:rsid w:val="00403CFD"/>
    <w:rsid w:val="004054DF"/>
    <w:rsid w:val="00410F2C"/>
    <w:rsid w:val="00415400"/>
    <w:rsid w:val="00421A00"/>
    <w:rsid w:val="0042206F"/>
    <w:rsid w:val="0042394D"/>
    <w:rsid w:val="004241F0"/>
    <w:rsid w:val="00436F19"/>
    <w:rsid w:val="0044098C"/>
    <w:rsid w:val="004442F5"/>
    <w:rsid w:val="00450D96"/>
    <w:rsid w:val="004537E6"/>
    <w:rsid w:val="00453DDA"/>
    <w:rsid w:val="00463CDF"/>
    <w:rsid w:val="00464724"/>
    <w:rsid w:val="00466B92"/>
    <w:rsid w:val="00466CD1"/>
    <w:rsid w:val="00467525"/>
    <w:rsid w:val="004712C9"/>
    <w:rsid w:val="0047331C"/>
    <w:rsid w:val="0047706B"/>
    <w:rsid w:val="00483C6C"/>
    <w:rsid w:val="004849BE"/>
    <w:rsid w:val="00485D81"/>
    <w:rsid w:val="004919B3"/>
    <w:rsid w:val="00496CB0"/>
    <w:rsid w:val="004978F4"/>
    <w:rsid w:val="004B0DDE"/>
    <w:rsid w:val="004B7094"/>
    <w:rsid w:val="004C13C1"/>
    <w:rsid w:val="004C18D3"/>
    <w:rsid w:val="004C390C"/>
    <w:rsid w:val="004D0F6A"/>
    <w:rsid w:val="004D4806"/>
    <w:rsid w:val="004D4D39"/>
    <w:rsid w:val="004D7DB1"/>
    <w:rsid w:val="004E0ABD"/>
    <w:rsid w:val="004E7128"/>
    <w:rsid w:val="004F2B66"/>
    <w:rsid w:val="004F4C55"/>
    <w:rsid w:val="005022F6"/>
    <w:rsid w:val="0050589F"/>
    <w:rsid w:val="005111D7"/>
    <w:rsid w:val="00513F35"/>
    <w:rsid w:val="005149C9"/>
    <w:rsid w:val="00515916"/>
    <w:rsid w:val="005167E8"/>
    <w:rsid w:val="00520C83"/>
    <w:rsid w:val="005256A7"/>
    <w:rsid w:val="00526961"/>
    <w:rsid w:val="00532624"/>
    <w:rsid w:val="00532B6B"/>
    <w:rsid w:val="00532D90"/>
    <w:rsid w:val="00532F99"/>
    <w:rsid w:val="0053720D"/>
    <w:rsid w:val="00541404"/>
    <w:rsid w:val="00541B61"/>
    <w:rsid w:val="00547F03"/>
    <w:rsid w:val="005511E8"/>
    <w:rsid w:val="005550A6"/>
    <w:rsid w:val="00561C1E"/>
    <w:rsid w:val="005629AA"/>
    <w:rsid w:val="00563141"/>
    <w:rsid w:val="00566AC5"/>
    <w:rsid w:val="00567AED"/>
    <w:rsid w:val="00570086"/>
    <w:rsid w:val="00570821"/>
    <w:rsid w:val="005751EF"/>
    <w:rsid w:val="00585941"/>
    <w:rsid w:val="005902FA"/>
    <w:rsid w:val="00593049"/>
    <w:rsid w:val="00593B73"/>
    <w:rsid w:val="005A0135"/>
    <w:rsid w:val="005A3352"/>
    <w:rsid w:val="005A4C8A"/>
    <w:rsid w:val="005A53DD"/>
    <w:rsid w:val="005B0912"/>
    <w:rsid w:val="005B55F3"/>
    <w:rsid w:val="005C4323"/>
    <w:rsid w:val="005C6552"/>
    <w:rsid w:val="005C6C0F"/>
    <w:rsid w:val="005C72FE"/>
    <w:rsid w:val="005D0C11"/>
    <w:rsid w:val="005D1EDD"/>
    <w:rsid w:val="005D70D6"/>
    <w:rsid w:val="005E0D14"/>
    <w:rsid w:val="005E1FD6"/>
    <w:rsid w:val="005E20DC"/>
    <w:rsid w:val="005E3EB3"/>
    <w:rsid w:val="005E6D7D"/>
    <w:rsid w:val="005F29AB"/>
    <w:rsid w:val="00612B3F"/>
    <w:rsid w:val="00615A25"/>
    <w:rsid w:val="00620A62"/>
    <w:rsid w:val="00624F38"/>
    <w:rsid w:val="00626B68"/>
    <w:rsid w:val="00627940"/>
    <w:rsid w:val="0063043F"/>
    <w:rsid w:val="006404F8"/>
    <w:rsid w:val="00640E6B"/>
    <w:rsid w:val="00640F7C"/>
    <w:rsid w:val="006418AB"/>
    <w:rsid w:val="00641963"/>
    <w:rsid w:val="0065071C"/>
    <w:rsid w:val="00651B90"/>
    <w:rsid w:val="00656CB2"/>
    <w:rsid w:val="0066082E"/>
    <w:rsid w:val="00665CC3"/>
    <w:rsid w:val="00667DFF"/>
    <w:rsid w:val="006711BB"/>
    <w:rsid w:val="00677DC2"/>
    <w:rsid w:val="00686041"/>
    <w:rsid w:val="00686CE1"/>
    <w:rsid w:val="00692AD6"/>
    <w:rsid w:val="006954F5"/>
    <w:rsid w:val="006957D1"/>
    <w:rsid w:val="00695DDB"/>
    <w:rsid w:val="006A205C"/>
    <w:rsid w:val="006A55DA"/>
    <w:rsid w:val="006A620A"/>
    <w:rsid w:val="006B23E2"/>
    <w:rsid w:val="006B34CF"/>
    <w:rsid w:val="006B5E80"/>
    <w:rsid w:val="006C1BD0"/>
    <w:rsid w:val="006C7448"/>
    <w:rsid w:val="006D00F2"/>
    <w:rsid w:val="006D43DB"/>
    <w:rsid w:val="006E19BB"/>
    <w:rsid w:val="006E357F"/>
    <w:rsid w:val="006E52DC"/>
    <w:rsid w:val="006F2984"/>
    <w:rsid w:val="006F5AC3"/>
    <w:rsid w:val="00701B1A"/>
    <w:rsid w:val="00702927"/>
    <w:rsid w:val="00703FFE"/>
    <w:rsid w:val="00706434"/>
    <w:rsid w:val="0070775E"/>
    <w:rsid w:val="00715FA8"/>
    <w:rsid w:val="00721161"/>
    <w:rsid w:val="00722E12"/>
    <w:rsid w:val="0072391E"/>
    <w:rsid w:val="0072520F"/>
    <w:rsid w:val="0072769C"/>
    <w:rsid w:val="007332D8"/>
    <w:rsid w:val="0073486B"/>
    <w:rsid w:val="00734ABA"/>
    <w:rsid w:val="00735AC9"/>
    <w:rsid w:val="0073752B"/>
    <w:rsid w:val="00737785"/>
    <w:rsid w:val="00743BF9"/>
    <w:rsid w:val="007625D6"/>
    <w:rsid w:val="007654B2"/>
    <w:rsid w:val="007702AA"/>
    <w:rsid w:val="007732D8"/>
    <w:rsid w:val="0077530B"/>
    <w:rsid w:val="0077638A"/>
    <w:rsid w:val="00786B42"/>
    <w:rsid w:val="00787D4E"/>
    <w:rsid w:val="00796079"/>
    <w:rsid w:val="007A203E"/>
    <w:rsid w:val="007A4678"/>
    <w:rsid w:val="007A794E"/>
    <w:rsid w:val="007B3890"/>
    <w:rsid w:val="007B744C"/>
    <w:rsid w:val="007B761A"/>
    <w:rsid w:val="007C2965"/>
    <w:rsid w:val="007C4BB7"/>
    <w:rsid w:val="007D3B7D"/>
    <w:rsid w:val="007D5E3C"/>
    <w:rsid w:val="007E04D8"/>
    <w:rsid w:val="007F4F26"/>
    <w:rsid w:val="007F783F"/>
    <w:rsid w:val="00804A50"/>
    <w:rsid w:val="00804C0C"/>
    <w:rsid w:val="00805210"/>
    <w:rsid w:val="00806EE1"/>
    <w:rsid w:val="00807E93"/>
    <w:rsid w:val="00807F5E"/>
    <w:rsid w:val="008100B2"/>
    <w:rsid w:val="00813C96"/>
    <w:rsid w:val="008144FD"/>
    <w:rsid w:val="00814666"/>
    <w:rsid w:val="00816892"/>
    <w:rsid w:val="00817729"/>
    <w:rsid w:val="00820BA3"/>
    <w:rsid w:val="0082741F"/>
    <w:rsid w:val="0083078D"/>
    <w:rsid w:val="008325C3"/>
    <w:rsid w:val="00834D6E"/>
    <w:rsid w:val="008401E0"/>
    <w:rsid w:val="008407A7"/>
    <w:rsid w:val="008573E6"/>
    <w:rsid w:val="0086749B"/>
    <w:rsid w:val="008727AB"/>
    <w:rsid w:val="008739A9"/>
    <w:rsid w:val="008870B7"/>
    <w:rsid w:val="0089035F"/>
    <w:rsid w:val="00894384"/>
    <w:rsid w:val="008956C6"/>
    <w:rsid w:val="008A3234"/>
    <w:rsid w:val="008A387B"/>
    <w:rsid w:val="008A3C02"/>
    <w:rsid w:val="008A6127"/>
    <w:rsid w:val="008B62E7"/>
    <w:rsid w:val="008D2564"/>
    <w:rsid w:val="008D3150"/>
    <w:rsid w:val="008D408C"/>
    <w:rsid w:val="008D4E49"/>
    <w:rsid w:val="008D6582"/>
    <w:rsid w:val="008D758D"/>
    <w:rsid w:val="008D7D88"/>
    <w:rsid w:val="008E5B99"/>
    <w:rsid w:val="008F05CA"/>
    <w:rsid w:val="008F41FB"/>
    <w:rsid w:val="008F7C43"/>
    <w:rsid w:val="00907F4F"/>
    <w:rsid w:val="00911BC5"/>
    <w:rsid w:val="00925ABC"/>
    <w:rsid w:val="0092623B"/>
    <w:rsid w:val="00926BAB"/>
    <w:rsid w:val="00926DF3"/>
    <w:rsid w:val="00927AFF"/>
    <w:rsid w:val="00933109"/>
    <w:rsid w:val="00936F69"/>
    <w:rsid w:val="0094113D"/>
    <w:rsid w:val="00942671"/>
    <w:rsid w:val="00945E8C"/>
    <w:rsid w:val="00947528"/>
    <w:rsid w:val="00947EEB"/>
    <w:rsid w:val="00951519"/>
    <w:rsid w:val="00961F4E"/>
    <w:rsid w:val="0096309F"/>
    <w:rsid w:val="009647F2"/>
    <w:rsid w:val="009654B8"/>
    <w:rsid w:val="009673DA"/>
    <w:rsid w:val="00973AB2"/>
    <w:rsid w:val="00973C34"/>
    <w:rsid w:val="00974447"/>
    <w:rsid w:val="00976B39"/>
    <w:rsid w:val="009917EB"/>
    <w:rsid w:val="009948D8"/>
    <w:rsid w:val="009A031C"/>
    <w:rsid w:val="009A0C3B"/>
    <w:rsid w:val="009A1EFC"/>
    <w:rsid w:val="009A6545"/>
    <w:rsid w:val="009B0A8B"/>
    <w:rsid w:val="009B12C4"/>
    <w:rsid w:val="009B1794"/>
    <w:rsid w:val="009B2C3E"/>
    <w:rsid w:val="009B2F50"/>
    <w:rsid w:val="009B7DF3"/>
    <w:rsid w:val="009C7232"/>
    <w:rsid w:val="009D71AA"/>
    <w:rsid w:val="009E49F5"/>
    <w:rsid w:val="009F13D6"/>
    <w:rsid w:val="009F4315"/>
    <w:rsid w:val="00A06A12"/>
    <w:rsid w:val="00A07CB9"/>
    <w:rsid w:val="00A100E5"/>
    <w:rsid w:val="00A1087A"/>
    <w:rsid w:val="00A134A9"/>
    <w:rsid w:val="00A1529C"/>
    <w:rsid w:val="00A15C89"/>
    <w:rsid w:val="00A300E0"/>
    <w:rsid w:val="00A41ABE"/>
    <w:rsid w:val="00A43223"/>
    <w:rsid w:val="00A466EC"/>
    <w:rsid w:val="00A505E4"/>
    <w:rsid w:val="00A5082F"/>
    <w:rsid w:val="00A50968"/>
    <w:rsid w:val="00A52980"/>
    <w:rsid w:val="00A63B80"/>
    <w:rsid w:val="00A649BB"/>
    <w:rsid w:val="00A71A30"/>
    <w:rsid w:val="00A74270"/>
    <w:rsid w:val="00A7491E"/>
    <w:rsid w:val="00A7544D"/>
    <w:rsid w:val="00A82D9F"/>
    <w:rsid w:val="00A84092"/>
    <w:rsid w:val="00A954BB"/>
    <w:rsid w:val="00AA02CF"/>
    <w:rsid w:val="00AA309E"/>
    <w:rsid w:val="00AA6014"/>
    <w:rsid w:val="00AB03CA"/>
    <w:rsid w:val="00AB0A71"/>
    <w:rsid w:val="00AB51C1"/>
    <w:rsid w:val="00AB56E0"/>
    <w:rsid w:val="00AB5853"/>
    <w:rsid w:val="00AB5C8F"/>
    <w:rsid w:val="00AC2456"/>
    <w:rsid w:val="00AC4B4E"/>
    <w:rsid w:val="00AD36A5"/>
    <w:rsid w:val="00AD59DD"/>
    <w:rsid w:val="00AE293C"/>
    <w:rsid w:val="00AF242E"/>
    <w:rsid w:val="00AF25A7"/>
    <w:rsid w:val="00AF4683"/>
    <w:rsid w:val="00AF4E49"/>
    <w:rsid w:val="00AF6898"/>
    <w:rsid w:val="00AF7874"/>
    <w:rsid w:val="00AF7C4B"/>
    <w:rsid w:val="00B0018F"/>
    <w:rsid w:val="00B05E76"/>
    <w:rsid w:val="00B10337"/>
    <w:rsid w:val="00B13783"/>
    <w:rsid w:val="00B148D5"/>
    <w:rsid w:val="00B151ED"/>
    <w:rsid w:val="00B24658"/>
    <w:rsid w:val="00B24D05"/>
    <w:rsid w:val="00B334C2"/>
    <w:rsid w:val="00B4255F"/>
    <w:rsid w:val="00B506B9"/>
    <w:rsid w:val="00B53E8C"/>
    <w:rsid w:val="00B55328"/>
    <w:rsid w:val="00B575BF"/>
    <w:rsid w:val="00B62B86"/>
    <w:rsid w:val="00B63FF8"/>
    <w:rsid w:val="00B66F0E"/>
    <w:rsid w:val="00B71115"/>
    <w:rsid w:val="00B74C08"/>
    <w:rsid w:val="00B75056"/>
    <w:rsid w:val="00B75301"/>
    <w:rsid w:val="00B814F2"/>
    <w:rsid w:val="00B84AD3"/>
    <w:rsid w:val="00B86006"/>
    <w:rsid w:val="00B90F6E"/>
    <w:rsid w:val="00B91E93"/>
    <w:rsid w:val="00B92C85"/>
    <w:rsid w:val="00B93999"/>
    <w:rsid w:val="00BA229C"/>
    <w:rsid w:val="00BB110D"/>
    <w:rsid w:val="00BB4BA5"/>
    <w:rsid w:val="00BB4BB8"/>
    <w:rsid w:val="00BB6B34"/>
    <w:rsid w:val="00BC3E18"/>
    <w:rsid w:val="00BC7D00"/>
    <w:rsid w:val="00BD0B2E"/>
    <w:rsid w:val="00BD1EA8"/>
    <w:rsid w:val="00BE60A4"/>
    <w:rsid w:val="00BE6A09"/>
    <w:rsid w:val="00BE7A4E"/>
    <w:rsid w:val="00BF1465"/>
    <w:rsid w:val="00BF6A58"/>
    <w:rsid w:val="00BF7DCF"/>
    <w:rsid w:val="00C02B55"/>
    <w:rsid w:val="00C17AEC"/>
    <w:rsid w:val="00C23405"/>
    <w:rsid w:val="00C26D68"/>
    <w:rsid w:val="00C31648"/>
    <w:rsid w:val="00C338CD"/>
    <w:rsid w:val="00C34FDC"/>
    <w:rsid w:val="00C35325"/>
    <w:rsid w:val="00C36142"/>
    <w:rsid w:val="00C418EF"/>
    <w:rsid w:val="00C61B2A"/>
    <w:rsid w:val="00C6254F"/>
    <w:rsid w:val="00C63C57"/>
    <w:rsid w:val="00C661B3"/>
    <w:rsid w:val="00C666A5"/>
    <w:rsid w:val="00C674B3"/>
    <w:rsid w:val="00C73684"/>
    <w:rsid w:val="00C74803"/>
    <w:rsid w:val="00C85B1E"/>
    <w:rsid w:val="00C90DFE"/>
    <w:rsid w:val="00C927E3"/>
    <w:rsid w:val="00C97818"/>
    <w:rsid w:val="00C978A6"/>
    <w:rsid w:val="00CA283B"/>
    <w:rsid w:val="00CA7196"/>
    <w:rsid w:val="00CB0EEB"/>
    <w:rsid w:val="00CB1A05"/>
    <w:rsid w:val="00CB761B"/>
    <w:rsid w:val="00CC6A1F"/>
    <w:rsid w:val="00CD41B8"/>
    <w:rsid w:val="00CD7DED"/>
    <w:rsid w:val="00CE3BB7"/>
    <w:rsid w:val="00CF4063"/>
    <w:rsid w:val="00CF4B42"/>
    <w:rsid w:val="00CF544C"/>
    <w:rsid w:val="00D05146"/>
    <w:rsid w:val="00D111BD"/>
    <w:rsid w:val="00D12177"/>
    <w:rsid w:val="00D1552C"/>
    <w:rsid w:val="00D24DA3"/>
    <w:rsid w:val="00D353B3"/>
    <w:rsid w:val="00D4438F"/>
    <w:rsid w:val="00D505D2"/>
    <w:rsid w:val="00D5467F"/>
    <w:rsid w:val="00D641AC"/>
    <w:rsid w:val="00D64923"/>
    <w:rsid w:val="00D73964"/>
    <w:rsid w:val="00D73FF4"/>
    <w:rsid w:val="00D803D8"/>
    <w:rsid w:val="00D82A47"/>
    <w:rsid w:val="00D85377"/>
    <w:rsid w:val="00D877EE"/>
    <w:rsid w:val="00D95D0C"/>
    <w:rsid w:val="00D95E23"/>
    <w:rsid w:val="00DA2C0C"/>
    <w:rsid w:val="00DB0E6A"/>
    <w:rsid w:val="00DB255D"/>
    <w:rsid w:val="00DB28A3"/>
    <w:rsid w:val="00DC0158"/>
    <w:rsid w:val="00DC0766"/>
    <w:rsid w:val="00DC699D"/>
    <w:rsid w:val="00DD009B"/>
    <w:rsid w:val="00DD1792"/>
    <w:rsid w:val="00DD296A"/>
    <w:rsid w:val="00DD32E0"/>
    <w:rsid w:val="00DD5B38"/>
    <w:rsid w:val="00DE3F0C"/>
    <w:rsid w:val="00DE41DD"/>
    <w:rsid w:val="00DE57A6"/>
    <w:rsid w:val="00DF095D"/>
    <w:rsid w:val="00DF16EF"/>
    <w:rsid w:val="00DF4DBD"/>
    <w:rsid w:val="00DF7E7A"/>
    <w:rsid w:val="00E0230F"/>
    <w:rsid w:val="00E051F8"/>
    <w:rsid w:val="00E07120"/>
    <w:rsid w:val="00E114A5"/>
    <w:rsid w:val="00E1189F"/>
    <w:rsid w:val="00E134A4"/>
    <w:rsid w:val="00E2304C"/>
    <w:rsid w:val="00E30E80"/>
    <w:rsid w:val="00E31582"/>
    <w:rsid w:val="00E34190"/>
    <w:rsid w:val="00E34B0E"/>
    <w:rsid w:val="00E35FB7"/>
    <w:rsid w:val="00E37A47"/>
    <w:rsid w:val="00E46245"/>
    <w:rsid w:val="00E51C21"/>
    <w:rsid w:val="00E547C1"/>
    <w:rsid w:val="00E548B8"/>
    <w:rsid w:val="00E63E7D"/>
    <w:rsid w:val="00E643AB"/>
    <w:rsid w:val="00E67157"/>
    <w:rsid w:val="00E6778E"/>
    <w:rsid w:val="00E747A4"/>
    <w:rsid w:val="00E85A71"/>
    <w:rsid w:val="00E85A8E"/>
    <w:rsid w:val="00E86578"/>
    <w:rsid w:val="00E86BE7"/>
    <w:rsid w:val="00E92EB2"/>
    <w:rsid w:val="00E9352A"/>
    <w:rsid w:val="00E9402E"/>
    <w:rsid w:val="00E95EA4"/>
    <w:rsid w:val="00EA0BDD"/>
    <w:rsid w:val="00EA3641"/>
    <w:rsid w:val="00EA55B0"/>
    <w:rsid w:val="00EA7C89"/>
    <w:rsid w:val="00EB1910"/>
    <w:rsid w:val="00EB29E4"/>
    <w:rsid w:val="00EB46BC"/>
    <w:rsid w:val="00EB56D2"/>
    <w:rsid w:val="00EC0866"/>
    <w:rsid w:val="00EC1802"/>
    <w:rsid w:val="00EC3203"/>
    <w:rsid w:val="00EC4C70"/>
    <w:rsid w:val="00EC50BF"/>
    <w:rsid w:val="00EC5755"/>
    <w:rsid w:val="00ED15EE"/>
    <w:rsid w:val="00ED1AC2"/>
    <w:rsid w:val="00ED2592"/>
    <w:rsid w:val="00ED41B4"/>
    <w:rsid w:val="00ED59B3"/>
    <w:rsid w:val="00ED5DDD"/>
    <w:rsid w:val="00EE1E38"/>
    <w:rsid w:val="00EE4D3C"/>
    <w:rsid w:val="00EF1733"/>
    <w:rsid w:val="00EF210C"/>
    <w:rsid w:val="00F01434"/>
    <w:rsid w:val="00F02C24"/>
    <w:rsid w:val="00F068DE"/>
    <w:rsid w:val="00F1530F"/>
    <w:rsid w:val="00F17A35"/>
    <w:rsid w:val="00F23DDE"/>
    <w:rsid w:val="00F27149"/>
    <w:rsid w:val="00F43253"/>
    <w:rsid w:val="00F51E9A"/>
    <w:rsid w:val="00F53F67"/>
    <w:rsid w:val="00F56545"/>
    <w:rsid w:val="00F741B1"/>
    <w:rsid w:val="00F7502F"/>
    <w:rsid w:val="00F776EB"/>
    <w:rsid w:val="00F94A77"/>
    <w:rsid w:val="00FA26CF"/>
    <w:rsid w:val="00FA27F4"/>
    <w:rsid w:val="00FA32D3"/>
    <w:rsid w:val="00FA7247"/>
    <w:rsid w:val="00FB2376"/>
    <w:rsid w:val="00FB3403"/>
    <w:rsid w:val="00FB3FEE"/>
    <w:rsid w:val="00FB6845"/>
    <w:rsid w:val="00FC5B4F"/>
    <w:rsid w:val="00FC6C38"/>
    <w:rsid w:val="00FD1AA3"/>
    <w:rsid w:val="00FE1998"/>
    <w:rsid w:val="00FF14EA"/>
    <w:rsid w:val="00FF2351"/>
    <w:rsid w:val="00FF4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5D13"/>
  <w15:docId w15:val="{CFC26CFB-E6FA-4A44-B035-E8C1E941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C5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1F4E"/>
    <w:pPr>
      <w:spacing w:after="0" w:line="240" w:lineRule="auto"/>
    </w:pPr>
  </w:style>
  <w:style w:type="paragraph" w:customStyle="1" w:styleId="Verdana">
    <w:name w:val="Verdana"/>
    <w:qFormat/>
    <w:rsid w:val="004F4C55"/>
    <w:pPr>
      <w:spacing w:after="0" w:line="240" w:lineRule="auto"/>
    </w:pPr>
    <w:rPr>
      <w:rFonts w:ascii="Verdana" w:eastAsia="Calibri" w:hAnsi="Verdana" w:cs="Times New Roman"/>
      <w:szCs w:val="24"/>
      <w:lang w:val="en-US"/>
    </w:rPr>
  </w:style>
  <w:style w:type="table" w:styleId="TableGrid">
    <w:name w:val="Table Grid"/>
    <w:basedOn w:val="TableNormal"/>
    <w:uiPriority w:val="59"/>
    <w:rsid w:val="004F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ADB"/>
    <w:pPr>
      <w:ind w:left="720"/>
    </w:pPr>
    <w:rPr>
      <w:rFonts w:eastAsiaTheme="minorHAnsi" w:cs="Calibri"/>
      <w:lang w:eastAsia="en-GB"/>
    </w:rPr>
  </w:style>
  <w:style w:type="character" w:customStyle="1" w:styleId="st1">
    <w:name w:val="st1"/>
    <w:basedOn w:val="DefaultParagraphFont"/>
    <w:rsid w:val="002D189E"/>
  </w:style>
  <w:style w:type="paragraph" w:styleId="BalloonText">
    <w:name w:val="Balloon Text"/>
    <w:basedOn w:val="Normal"/>
    <w:link w:val="BalloonTextChar"/>
    <w:uiPriority w:val="99"/>
    <w:semiHidden/>
    <w:unhideWhenUsed/>
    <w:rsid w:val="00FD1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AA3"/>
    <w:rPr>
      <w:rFonts w:ascii="Segoe UI" w:eastAsia="Calibri" w:hAnsi="Segoe UI" w:cs="Segoe UI"/>
      <w:sz w:val="18"/>
      <w:szCs w:val="18"/>
    </w:rPr>
  </w:style>
  <w:style w:type="paragraph" w:styleId="Title">
    <w:name w:val="Title"/>
    <w:basedOn w:val="Normal"/>
    <w:link w:val="TitleChar"/>
    <w:qFormat/>
    <w:rsid w:val="00F01434"/>
    <w:pPr>
      <w:jc w:val="center"/>
    </w:pPr>
    <w:rPr>
      <w:rFonts w:ascii="Times New Roman" w:eastAsia="Times New Roman" w:hAnsi="Times New Roman"/>
      <w:b/>
      <w:bCs/>
      <w:szCs w:val="20"/>
    </w:rPr>
  </w:style>
  <w:style w:type="character" w:customStyle="1" w:styleId="TitleChar">
    <w:name w:val="Title Char"/>
    <w:basedOn w:val="DefaultParagraphFont"/>
    <w:link w:val="Title"/>
    <w:rsid w:val="00F01434"/>
    <w:rPr>
      <w:rFonts w:ascii="Times New Roman" w:eastAsia="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01334">
      <w:bodyDiv w:val="1"/>
      <w:marLeft w:val="0"/>
      <w:marRight w:val="0"/>
      <w:marTop w:val="0"/>
      <w:marBottom w:val="0"/>
      <w:divBdr>
        <w:top w:val="none" w:sz="0" w:space="0" w:color="auto"/>
        <w:left w:val="none" w:sz="0" w:space="0" w:color="auto"/>
        <w:bottom w:val="none" w:sz="0" w:space="0" w:color="auto"/>
        <w:right w:val="none" w:sz="0" w:space="0" w:color="auto"/>
      </w:divBdr>
    </w:div>
    <w:div w:id="208500001">
      <w:bodyDiv w:val="1"/>
      <w:marLeft w:val="0"/>
      <w:marRight w:val="0"/>
      <w:marTop w:val="0"/>
      <w:marBottom w:val="0"/>
      <w:divBdr>
        <w:top w:val="none" w:sz="0" w:space="0" w:color="auto"/>
        <w:left w:val="none" w:sz="0" w:space="0" w:color="auto"/>
        <w:bottom w:val="none" w:sz="0" w:space="0" w:color="auto"/>
        <w:right w:val="none" w:sz="0" w:space="0" w:color="auto"/>
      </w:divBdr>
    </w:div>
    <w:div w:id="845049791">
      <w:bodyDiv w:val="1"/>
      <w:marLeft w:val="0"/>
      <w:marRight w:val="0"/>
      <w:marTop w:val="0"/>
      <w:marBottom w:val="0"/>
      <w:divBdr>
        <w:top w:val="none" w:sz="0" w:space="0" w:color="auto"/>
        <w:left w:val="none" w:sz="0" w:space="0" w:color="auto"/>
        <w:bottom w:val="none" w:sz="0" w:space="0" w:color="auto"/>
        <w:right w:val="none" w:sz="0" w:space="0" w:color="auto"/>
      </w:divBdr>
    </w:div>
    <w:div w:id="19920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FA2CC-677D-420E-92E4-CACFDB39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11</Pages>
  <Words>2988</Words>
  <Characters>17033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535</cp:revision>
  <cp:lastPrinted>2020-02-05T16:25:00Z</cp:lastPrinted>
  <dcterms:created xsi:type="dcterms:W3CDTF">2016-11-24T14:30:00Z</dcterms:created>
  <dcterms:modified xsi:type="dcterms:W3CDTF">2020-02-07T16:12:00Z</dcterms:modified>
</cp:coreProperties>
</file>