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A8312" w14:textId="77777777" w:rsidR="001E3DD7" w:rsidRPr="003475F7" w:rsidRDefault="001E3DD7" w:rsidP="001E3DD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CORPORATION OF </w:t>
      </w:r>
      <w:r w:rsidRPr="003475F7">
        <w:rPr>
          <w:rFonts w:ascii="Verdana" w:hAnsi="Verdana"/>
          <w:b/>
        </w:rPr>
        <w:t>SIR GEORGE MONOUX COLLEGE</w:t>
      </w:r>
    </w:p>
    <w:p w14:paraId="2C13002A" w14:textId="77777777" w:rsidR="001E3DD7" w:rsidRPr="003475F7" w:rsidRDefault="001E3DD7" w:rsidP="001E3DD7">
      <w:pPr>
        <w:jc w:val="center"/>
        <w:rPr>
          <w:rFonts w:ascii="Verdana" w:hAnsi="Verdana"/>
          <w:b/>
        </w:rPr>
      </w:pPr>
    </w:p>
    <w:p w14:paraId="49B6820F" w14:textId="77777777" w:rsidR="00C82AA2" w:rsidRDefault="001E3DD7" w:rsidP="001E3DD7">
      <w:pPr>
        <w:jc w:val="center"/>
        <w:rPr>
          <w:rFonts w:ascii="Verdana" w:hAnsi="Verdana"/>
          <w:b/>
        </w:rPr>
      </w:pPr>
      <w:r w:rsidRPr="003475F7">
        <w:rPr>
          <w:rFonts w:ascii="Verdana" w:hAnsi="Verdana"/>
          <w:b/>
        </w:rPr>
        <w:t xml:space="preserve">Minutes of the Meeting of the </w:t>
      </w:r>
      <w:r>
        <w:rPr>
          <w:rFonts w:ascii="Verdana" w:hAnsi="Verdana"/>
          <w:b/>
        </w:rPr>
        <w:t>Audit</w:t>
      </w:r>
      <w:r w:rsidRPr="003475F7">
        <w:rPr>
          <w:rFonts w:ascii="Verdana" w:hAnsi="Verdana"/>
          <w:b/>
        </w:rPr>
        <w:t xml:space="preserve"> Committee</w:t>
      </w:r>
      <w:r w:rsidR="00C82AA2">
        <w:rPr>
          <w:rFonts w:ascii="Verdana" w:hAnsi="Verdana"/>
          <w:b/>
        </w:rPr>
        <w:t xml:space="preserve"> (Ordinary Business)</w:t>
      </w:r>
      <w:r w:rsidRPr="003475F7">
        <w:rPr>
          <w:rFonts w:ascii="Verdana" w:hAnsi="Verdana"/>
          <w:b/>
        </w:rPr>
        <w:t xml:space="preserve"> </w:t>
      </w:r>
    </w:p>
    <w:p w14:paraId="6712886C" w14:textId="55C3AE58" w:rsidR="001E3DD7" w:rsidRDefault="001E3DD7" w:rsidP="00C82AA2">
      <w:pPr>
        <w:jc w:val="center"/>
        <w:rPr>
          <w:rFonts w:ascii="Verdana" w:hAnsi="Verdana"/>
          <w:b/>
        </w:rPr>
      </w:pPr>
      <w:r w:rsidRPr="003475F7">
        <w:rPr>
          <w:rFonts w:ascii="Verdana" w:hAnsi="Verdana"/>
          <w:b/>
        </w:rPr>
        <w:t xml:space="preserve">held on </w:t>
      </w:r>
      <w:r w:rsidR="005667AD">
        <w:rPr>
          <w:rFonts w:ascii="Verdana" w:hAnsi="Verdana"/>
          <w:b/>
        </w:rPr>
        <w:t>2</w:t>
      </w:r>
      <w:r w:rsidR="007736EE">
        <w:rPr>
          <w:rFonts w:ascii="Verdana" w:hAnsi="Verdana"/>
          <w:b/>
        </w:rPr>
        <w:t>3</w:t>
      </w:r>
      <w:r w:rsidR="00C41D2A">
        <w:rPr>
          <w:rFonts w:ascii="Verdana" w:hAnsi="Verdana"/>
          <w:b/>
        </w:rPr>
        <w:t xml:space="preserve"> November</w:t>
      </w:r>
      <w:r>
        <w:rPr>
          <w:rFonts w:ascii="Verdana" w:hAnsi="Verdana"/>
          <w:b/>
        </w:rPr>
        <w:t xml:space="preserve"> 20</w:t>
      </w:r>
      <w:r w:rsidR="00BA46A1">
        <w:rPr>
          <w:rFonts w:ascii="Verdana" w:hAnsi="Verdana"/>
          <w:b/>
        </w:rPr>
        <w:t>2</w:t>
      </w:r>
      <w:r w:rsidR="007736EE">
        <w:rPr>
          <w:rFonts w:ascii="Verdana" w:hAnsi="Verdana"/>
          <w:b/>
        </w:rPr>
        <w:t>1</w:t>
      </w:r>
    </w:p>
    <w:p w14:paraId="4D087545" w14:textId="77777777" w:rsidR="001E3DD7" w:rsidRDefault="001E3DD7" w:rsidP="001E3DD7">
      <w:pPr>
        <w:jc w:val="center"/>
        <w:rPr>
          <w:rFonts w:ascii="Verdana" w:hAnsi="Verdana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48"/>
        <w:gridCol w:w="6668"/>
      </w:tblGrid>
      <w:tr w:rsidR="00FB7A63" w:rsidRPr="003D3002" w14:paraId="657F3A5A" w14:textId="77777777" w:rsidTr="009C5147">
        <w:tc>
          <w:tcPr>
            <w:tcW w:w="2348" w:type="dxa"/>
          </w:tcPr>
          <w:p w14:paraId="5887B055" w14:textId="77777777" w:rsidR="001E3DD7" w:rsidRPr="003D3002" w:rsidRDefault="001E3DD7" w:rsidP="002D2153">
            <w:pPr>
              <w:rPr>
                <w:rFonts w:ascii="Verdana" w:hAnsi="Verdana"/>
                <w:b/>
              </w:rPr>
            </w:pPr>
            <w:r w:rsidRPr="003D3002">
              <w:rPr>
                <w:rFonts w:ascii="Verdana" w:hAnsi="Verdana"/>
                <w:b/>
              </w:rPr>
              <w:t>Present</w:t>
            </w:r>
          </w:p>
          <w:p w14:paraId="688485AB" w14:textId="77777777" w:rsidR="001E3DD7" w:rsidRPr="003D3002" w:rsidRDefault="001E3DD7" w:rsidP="002D2153">
            <w:pPr>
              <w:rPr>
                <w:rFonts w:ascii="Verdana" w:hAnsi="Verdana"/>
                <w:b/>
              </w:rPr>
            </w:pPr>
          </w:p>
        </w:tc>
        <w:tc>
          <w:tcPr>
            <w:tcW w:w="6668" w:type="dxa"/>
          </w:tcPr>
          <w:p w14:paraId="69B7EF41" w14:textId="77777777" w:rsidR="001E3DD7" w:rsidRDefault="005667AD" w:rsidP="002D215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Riddhi Bhalla</w:t>
            </w:r>
            <w:r w:rsidR="00B3680E">
              <w:rPr>
                <w:rFonts w:ascii="Verdana" w:hAnsi="Verdana"/>
              </w:rPr>
              <w:t xml:space="preserve"> (Chair), </w:t>
            </w:r>
            <w:r>
              <w:rPr>
                <w:rFonts w:ascii="Verdana" w:hAnsi="Verdana"/>
              </w:rPr>
              <w:t>Kwame Atta</w:t>
            </w:r>
            <w:r w:rsidR="00B3680E">
              <w:rPr>
                <w:rFonts w:ascii="Verdana" w:hAnsi="Verdana"/>
              </w:rPr>
              <w:t xml:space="preserve">, </w:t>
            </w:r>
            <w:r w:rsidR="007736EE">
              <w:rPr>
                <w:rFonts w:ascii="Verdana" w:hAnsi="Verdana"/>
              </w:rPr>
              <w:t>Sara Whittaker</w:t>
            </w:r>
            <w:r w:rsidR="00310DD9">
              <w:rPr>
                <w:rFonts w:ascii="Verdana" w:hAnsi="Verdana"/>
              </w:rPr>
              <w:t xml:space="preserve">, </w:t>
            </w:r>
            <w:r w:rsidR="00310DD9" w:rsidRPr="007736EE">
              <w:rPr>
                <w:rFonts w:ascii="Verdana" w:hAnsi="Verdana"/>
              </w:rPr>
              <w:t>Adenike Betiku</w:t>
            </w:r>
          </w:p>
          <w:p w14:paraId="50C660DF" w14:textId="7865854E" w:rsidR="001F4B07" w:rsidRPr="003D3002" w:rsidRDefault="001F4B07" w:rsidP="002D2153">
            <w:pPr>
              <w:rPr>
                <w:rFonts w:ascii="Verdana" w:hAnsi="Verdana"/>
              </w:rPr>
            </w:pPr>
          </w:p>
        </w:tc>
      </w:tr>
      <w:tr w:rsidR="00FB7A63" w:rsidRPr="003D3002" w14:paraId="0B868D94" w14:textId="77777777" w:rsidTr="009C5147">
        <w:tc>
          <w:tcPr>
            <w:tcW w:w="2348" w:type="dxa"/>
          </w:tcPr>
          <w:p w14:paraId="5CEE8BC0" w14:textId="408C3BF3" w:rsidR="001E3DD7" w:rsidRDefault="00F20F62" w:rsidP="002D215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In Attendance</w:t>
            </w:r>
          </w:p>
          <w:p w14:paraId="467424A8" w14:textId="77777777" w:rsidR="001E3DD7" w:rsidRPr="003D3002" w:rsidRDefault="001E3DD7" w:rsidP="002D2153">
            <w:pPr>
              <w:rPr>
                <w:rFonts w:ascii="Verdana" w:hAnsi="Verdana"/>
                <w:b/>
              </w:rPr>
            </w:pPr>
          </w:p>
        </w:tc>
        <w:tc>
          <w:tcPr>
            <w:tcW w:w="6668" w:type="dxa"/>
          </w:tcPr>
          <w:p w14:paraId="70AF2E0D" w14:textId="55B6F23B" w:rsidR="001F4B07" w:rsidRPr="007736EE" w:rsidRDefault="00F20F62" w:rsidP="002D2153">
            <w:pPr>
              <w:rPr>
                <w:rFonts w:ascii="Verdana" w:hAnsi="Verdana"/>
              </w:rPr>
            </w:pPr>
            <w:r w:rsidRPr="007736EE">
              <w:rPr>
                <w:rFonts w:ascii="Verdana" w:hAnsi="Verdana"/>
              </w:rPr>
              <w:t>David Ball</w:t>
            </w:r>
            <w:r w:rsidR="00416E10" w:rsidRPr="007736EE">
              <w:rPr>
                <w:rFonts w:ascii="Verdana" w:hAnsi="Verdana"/>
              </w:rPr>
              <w:t xml:space="preserve"> (Vice Principal: Corporate Services),</w:t>
            </w:r>
            <w:r w:rsidR="007736EE" w:rsidRPr="007736EE">
              <w:rPr>
                <w:rFonts w:ascii="Verdana" w:hAnsi="Verdana"/>
              </w:rPr>
              <w:t xml:space="preserve"> Paul Goddard (Internal Audit Service), Maurine Lewin, </w:t>
            </w:r>
            <w:r w:rsidR="00FB7A63" w:rsidRPr="007736EE">
              <w:rPr>
                <w:rFonts w:ascii="Verdana" w:hAnsi="Verdana"/>
              </w:rPr>
              <w:t>Sudh</w:t>
            </w:r>
            <w:r w:rsidR="00421743" w:rsidRPr="007736EE">
              <w:rPr>
                <w:rFonts w:ascii="Verdana" w:hAnsi="Verdana"/>
              </w:rPr>
              <w:t>i</w:t>
            </w:r>
            <w:r w:rsidR="00FB7A63" w:rsidRPr="007736EE">
              <w:rPr>
                <w:rFonts w:ascii="Verdana" w:hAnsi="Verdana"/>
              </w:rPr>
              <w:t>r Singh (</w:t>
            </w:r>
            <w:proofErr w:type="spellStart"/>
            <w:r w:rsidR="00FB7A63" w:rsidRPr="007736EE">
              <w:rPr>
                <w:rFonts w:ascii="Verdana" w:hAnsi="Verdana"/>
              </w:rPr>
              <w:t>MacIntyre</w:t>
            </w:r>
            <w:proofErr w:type="spellEnd"/>
            <w:r w:rsidR="00FB7A63" w:rsidRPr="007736EE">
              <w:rPr>
                <w:rFonts w:ascii="Verdana" w:hAnsi="Verdana"/>
              </w:rPr>
              <w:t xml:space="preserve"> Hudson</w:t>
            </w:r>
            <w:r w:rsidR="00C77758" w:rsidRPr="007736EE">
              <w:rPr>
                <w:rFonts w:ascii="Verdana" w:hAnsi="Verdana"/>
              </w:rPr>
              <w:t xml:space="preserve">: </w:t>
            </w:r>
            <w:r w:rsidR="00D10E91" w:rsidRPr="007736EE">
              <w:rPr>
                <w:rFonts w:ascii="Verdana" w:hAnsi="Verdana"/>
              </w:rPr>
              <w:t>Financial Statements Auditor),</w:t>
            </w:r>
            <w:r w:rsidR="00A90E8B" w:rsidRPr="007736EE">
              <w:rPr>
                <w:rFonts w:ascii="Verdana" w:hAnsi="Verdana"/>
              </w:rPr>
              <w:t xml:space="preserve"> David Vasse (Principal)</w:t>
            </w:r>
            <w:r w:rsidR="00A94C83">
              <w:rPr>
                <w:rFonts w:ascii="Verdana" w:hAnsi="Verdana"/>
              </w:rPr>
              <w:t>.</w:t>
            </w:r>
          </w:p>
        </w:tc>
      </w:tr>
    </w:tbl>
    <w:p w14:paraId="16A121E9" w14:textId="77777777" w:rsidR="001E3DD7" w:rsidRDefault="001E3DD7" w:rsidP="001E3DD7">
      <w:pPr>
        <w:rPr>
          <w:rFonts w:ascii="Verdana" w:hAnsi="Verdana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9"/>
        <w:gridCol w:w="8487"/>
      </w:tblGrid>
      <w:tr w:rsidR="001E3DD7" w:rsidRPr="003D3002" w14:paraId="04713CC2" w14:textId="77777777" w:rsidTr="009C5147">
        <w:tc>
          <w:tcPr>
            <w:tcW w:w="529" w:type="dxa"/>
          </w:tcPr>
          <w:p w14:paraId="3E9EAE4D" w14:textId="77777777" w:rsidR="001E3DD7" w:rsidRPr="00A85237" w:rsidRDefault="001E3DD7" w:rsidP="002D2153">
            <w:pPr>
              <w:pStyle w:val="NoSpacing"/>
              <w:rPr>
                <w:rFonts w:ascii="Verdana" w:hAnsi="Verdana"/>
                <w:b/>
              </w:rPr>
            </w:pPr>
            <w:r w:rsidRPr="00A85237">
              <w:rPr>
                <w:rFonts w:ascii="Verdana" w:hAnsi="Verdana"/>
                <w:b/>
              </w:rPr>
              <w:t>1</w:t>
            </w:r>
          </w:p>
        </w:tc>
        <w:tc>
          <w:tcPr>
            <w:tcW w:w="8487" w:type="dxa"/>
          </w:tcPr>
          <w:p w14:paraId="6891A4D3" w14:textId="77DF8CFE" w:rsidR="001E3DD7" w:rsidRPr="00A85237" w:rsidRDefault="004C1BEA" w:rsidP="002D2153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Welcome to New Member, </w:t>
            </w:r>
            <w:r w:rsidR="001E3DD7" w:rsidRPr="00A85237">
              <w:rPr>
                <w:rFonts w:ascii="Verdana" w:hAnsi="Verdana"/>
                <w:b/>
              </w:rPr>
              <w:t>Apologies for Absence</w:t>
            </w:r>
            <w:r w:rsidR="001E3DD7">
              <w:rPr>
                <w:rFonts w:ascii="Verdana" w:hAnsi="Verdana"/>
                <w:b/>
              </w:rPr>
              <w:t xml:space="preserve"> and Quoracy</w:t>
            </w:r>
          </w:p>
          <w:p w14:paraId="366D1F39" w14:textId="5630E6A1" w:rsidR="001E3DD7" w:rsidRDefault="001E3DD7" w:rsidP="002D2153">
            <w:pPr>
              <w:pStyle w:val="NoSpacing"/>
              <w:rPr>
                <w:rFonts w:ascii="Verdana" w:hAnsi="Verdana"/>
              </w:rPr>
            </w:pPr>
          </w:p>
          <w:p w14:paraId="05AC2B54" w14:textId="3159E7E7" w:rsidR="007736EE" w:rsidRDefault="007736EE" w:rsidP="002D2153">
            <w:pPr>
              <w:pStyle w:val="NoSpacing"/>
              <w:rPr>
                <w:rFonts w:ascii="Verdana" w:hAnsi="Verdana"/>
              </w:rPr>
            </w:pPr>
            <w:bookmarkStart w:id="0" w:name="_Hlk88057350"/>
            <w:r>
              <w:rPr>
                <w:rFonts w:ascii="Verdana" w:hAnsi="Verdana"/>
              </w:rPr>
              <w:t xml:space="preserve">It was noted that all members of the Corporation had been invited to attend for agenda </w:t>
            </w:r>
            <w:r w:rsidR="00041F89">
              <w:rPr>
                <w:rFonts w:ascii="Verdana" w:hAnsi="Verdana"/>
              </w:rPr>
              <w:t>1-</w:t>
            </w:r>
            <w:r w:rsidR="003C1F2C">
              <w:rPr>
                <w:rFonts w:ascii="Verdana" w:hAnsi="Verdana"/>
              </w:rPr>
              <w:t>6</w:t>
            </w:r>
            <w:r w:rsidR="00041F89">
              <w:rPr>
                <w:rFonts w:ascii="Verdana" w:hAnsi="Verdana"/>
              </w:rPr>
              <w:t xml:space="preserve">.  Those present are recorded under </w:t>
            </w:r>
            <w:r w:rsidR="00041F89" w:rsidRPr="00041F89">
              <w:rPr>
                <w:rFonts w:ascii="Verdana" w:hAnsi="Verdana"/>
                <w:i/>
                <w:iCs/>
              </w:rPr>
              <w:t>In Attendance</w:t>
            </w:r>
            <w:r w:rsidR="00041F89">
              <w:rPr>
                <w:rFonts w:ascii="Verdana" w:hAnsi="Verdana"/>
              </w:rPr>
              <w:t xml:space="preserve"> above.</w:t>
            </w:r>
          </w:p>
          <w:bookmarkEnd w:id="0"/>
          <w:p w14:paraId="438135D1" w14:textId="77777777" w:rsidR="00041F89" w:rsidRDefault="00041F89" w:rsidP="002D2153">
            <w:pPr>
              <w:pStyle w:val="NoSpacing"/>
              <w:rPr>
                <w:rFonts w:ascii="Verdana" w:hAnsi="Verdana"/>
              </w:rPr>
            </w:pPr>
          </w:p>
          <w:p w14:paraId="2D0CA028" w14:textId="77C96ECA" w:rsidR="004C1BEA" w:rsidRDefault="007736EE" w:rsidP="002D2153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Sara Whittaker</w:t>
            </w:r>
            <w:r w:rsidR="004C1BEA">
              <w:rPr>
                <w:rFonts w:ascii="Verdana" w:hAnsi="Verdana"/>
              </w:rPr>
              <w:t xml:space="preserve"> was welcomed </w:t>
            </w:r>
            <w:proofErr w:type="gramStart"/>
            <w:r w:rsidR="004C1BEA">
              <w:rPr>
                <w:rFonts w:ascii="Verdana" w:hAnsi="Verdana"/>
              </w:rPr>
              <w:t>on the occasion of</w:t>
            </w:r>
            <w:proofErr w:type="gramEnd"/>
            <w:r w:rsidR="004C1BEA">
              <w:rPr>
                <w:rFonts w:ascii="Verdana" w:hAnsi="Verdana"/>
              </w:rPr>
              <w:t xml:space="preserve"> her first meeting of the Committee.</w:t>
            </w:r>
          </w:p>
          <w:p w14:paraId="76CFF7C9" w14:textId="77777777" w:rsidR="004C1BEA" w:rsidRPr="00A85237" w:rsidRDefault="004C1BEA" w:rsidP="002D2153">
            <w:pPr>
              <w:pStyle w:val="NoSpacing"/>
              <w:rPr>
                <w:rFonts w:ascii="Verdana" w:hAnsi="Verdana"/>
              </w:rPr>
            </w:pPr>
          </w:p>
          <w:p w14:paraId="6DD107FF" w14:textId="62415937" w:rsidR="001E3DD7" w:rsidRDefault="002872E2" w:rsidP="002D2153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Apo</w:t>
            </w:r>
            <w:r w:rsidR="00045068">
              <w:rPr>
                <w:rFonts w:ascii="Verdana" w:hAnsi="Verdana"/>
              </w:rPr>
              <w:t>l</w:t>
            </w:r>
            <w:r>
              <w:rPr>
                <w:rFonts w:ascii="Verdana" w:hAnsi="Verdana"/>
              </w:rPr>
              <w:t xml:space="preserve">ogies for absence </w:t>
            </w:r>
            <w:r w:rsidR="001F4B07">
              <w:rPr>
                <w:rFonts w:ascii="Verdana" w:hAnsi="Verdana"/>
              </w:rPr>
              <w:t xml:space="preserve">owing to technical access issues </w:t>
            </w:r>
            <w:r>
              <w:rPr>
                <w:rFonts w:ascii="Verdana" w:hAnsi="Verdana"/>
              </w:rPr>
              <w:t>were received from</w:t>
            </w:r>
            <w:r w:rsidR="00194970">
              <w:rPr>
                <w:rFonts w:ascii="Verdana" w:hAnsi="Verdana"/>
              </w:rPr>
              <w:t xml:space="preserve"> the </w:t>
            </w:r>
            <w:r w:rsidR="001F4B07">
              <w:rPr>
                <w:rFonts w:ascii="Verdana" w:hAnsi="Verdana"/>
              </w:rPr>
              <w:t>Clerk to</w:t>
            </w:r>
            <w:r w:rsidR="00194970">
              <w:rPr>
                <w:rFonts w:ascii="Verdana" w:hAnsi="Verdana"/>
              </w:rPr>
              <w:t xml:space="preserve"> the Corporation</w:t>
            </w:r>
            <w:r>
              <w:rPr>
                <w:rFonts w:ascii="Verdana" w:hAnsi="Verdana"/>
              </w:rPr>
              <w:t>:</w:t>
            </w:r>
            <w:r w:rsidR="00045068">
              <w:rPr>
                <w:rFonts w:ascii="Verdana" w:hAnsi="Verdana"/>
              </w:rPr>
              <w:t xml:space="preserve"> </w:t>
            </w:r>
            <w:r w:rsidR="00310DD9" w:rsidRPr="007736EE">
              <w:rPr>
                <w:rFonts w:ascii="Verdana" w:hAnsi="Verdana"/>
              </w:rPr>
              <w:t>Robert Smith</w:t>
            </w:r>
            <w:r w:rsidR="001F4B07">
              <w:rPr>
                <w:rFonts w:ascii="Verdana" w:hAnsi="Verdana"/>
              </w:rPr>
              <w:t>.</w:t>
            </w:r>
          </w:p>
          <w:p w14:paraId="49A63F33" w14:textId="4F6DEAB5" w:rsidR="008924AA" w:rsidRDefault="008924AA" w:rsidP="002D2153">
            <w:pPr>
              <w:pStyle w:val="NoSpacing"/>
              <w:rPr>
                <w:rFonts w:ascii="Verdana" w:hAnsi="Verdana"/>
              </w:rPr>
            </w:pPr>
          </w:p>
          <w:p w14:paraId="0D0EC78A" w14:textId="01386B56" w:rsidR="008924AA" w:rsidRDefault="008924AA" w:rsidP="002D2153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meeting was quorate.</w:t>
            </w:r>
          </w:p>
          <w:p w14:paraId="0C71CA79" w14:textId="77777777" w:rsidR="001E3DD7" w:rsidRPr="00A85237" w:rsidRDefault="001E3DD7" w:rsidP="005667AD">
            <w:pPr>
              <w:pStyle w:val="NoSpacing"/>
              <w:rPr>
                <w:rFonts w:ascii="Verdana" w:hAnsi="Verdana"/>
              </w:rPr>
            </w:pPr>
          </w:p>
        </w:tc>
      </w:tr>
      <w:tr w:rsidR="001E3DD7" w:rsidRPr="00EA6008" w14:paraId="7B57ED0C" w14:textId="77777777" w:rsidTr="009C5147">
        <w:tc>
          <w:tcPr>
            <w:tcW w:w="529" w:type="dxa"/>
          </w:tcPr>
          <w:p w14:paraId="073485D1" w14:textId="77777777" w:rsidR="001E3DD7" w:rsidRPr="008D40C1" w:rsidRDefault="001E3DD7" w:rsidP="002D2153">
            <w:pPr>
              <w:pStyle w:val="NoSpacing"/>
              <w:rPr>
                <w:rFonts w:ascii="Verdana" w:hAnsi="Verdana"/>
                <w:b/>
              </w:rPr>
            </w:pPr>
            <w:r w:rsidRPr="008D40C1">
              <w:rPr>
                <w:rFonts w:ascii="Verdana" w:hAnsi="Verdana"/>
                <w:b/>
              </w:rPr>
              <w:t>2</w:t>
            </w:r>
          </w:p>
        </w:tc>
        <w:tc>
          <w:tcPr>
            <w:tcW w:w="8487" w:type="dxa"/>
          </w:tcPr>
          <w:p w14:paraId="04FE6444" w14:textId="77777777" w:rsidR="001E3DD7" w:rsidRPr="008D40C1" w:rsidRDefault="001E3DD7" w:rsidP="002D2153">
            <w:pPr>
              <w:pStyle w:val="NoSpacing"/>
              <w:rPr>
                <w:rFonts w:ascii="Verdana" w:hAnsi="Verdana"/>
                <w:b/>
              </w:rPr>
            </w:pPr>
            <w:r w:rsidRPr="008D40C1">
              <w:rPr>
                <w:rFonts w:ascii="Verdana" w:hAnsi="Verdana"/>
                <w:b/>
              </w:rPr>
              <w:t>Declarations of Interest</w:t>
            </w:r>
          </w:p>
          <w:p w14:paraId="2E59472A" w14:textId="77777777" w:rsidR="001E3DD7" w:rsidRPr="008D40C1" w:rsidRDefault="001E3DD7" w:rsidP="002D2153">
            <w:pPr>
              <w:pStyle w:val="NoSpacing"/>
              <w:rPr>
                <w:rFonts w:ascii="Verdana" w:hAnsi="Verdana"/>
                <w:b/>
              </w:rPr>
            </w:pPr>
          </w:p>
          <w:p w14:paraId="320BF485" w14:textId="77777777" w:rsidR="001E3DD7" w:rsidRPr="008D40C1" w:rsidRDefault="001E3DD7" w:rsidP="002D2153">
            <w:pPr>
              <w:pStyle w:val="NoSpacing"/>
              <w:rPr>
                <w:rFonts w:ascii="Verdana" w:hAnsi="Verdana"/>
              </w:rPr>
            </w:pPr>
            <w:r w:rsidRPr="008D40C1">
              <w:rPr>
                <w:rFonts w:ascii="Verdana" w:hAnsi="Verdana"/>
              </w:rPr>
              <w:t>None.</w:t>
            </w:r>
          </w:p>
          <w:p w14:paraId="0FB05920" w14:textId="77777777" w:rsidR="001E3DD7" w:rsidRPr="008D40C1" w:rsidRDefault="001E3DD7" w:rsidP="002D2153">
            <w:pPr>
              <w:pStyle w:val="NoSpacing"/>
              <w:rPr>
                <w:rFonts w:ascii="Verdana" w:hAnsi="Verdana"/>
                <w:b/>
              </w:rPr>
            </w:pPr>
          </w:p>
        </w:tc>
      </w:tr>
      <w:tr w:rsidR="001E3DD7" w:rsidRPr="00A85237" w14:paraId="2128F9CB" w14:textId="77777777" w:rsidTr="009C5147">
        <w:tc>
          <w:tcPr>
            <w:tcW w:w="529" w:type="dxa"/>
          </w:tcPr>
          <w:p w14:paraId="772DF00C" w14:textId="77777777" w:rsidR="001E3DD7" w:rsidRPr="008D40C1" w:rsidRDefault="001E3DD7" w:rsidP="002D2153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</w:t>
            </w:r>
          </w:p>
        </w:tc>
        <w:tc>
          <w:tcPr>
            <w:tcW w:w="8487" w:type="dxa"/>
          </w:tcPr>
          <w:p w14:paraId="385F04F4" w14:textId="0222135C" w:rsidR="001E3DD7" w:rsidRPr="008D40C1" w:rsidRDefault="001E3DD7" w:rsidP="002D2153">
            <w:pPr>
              <w:pStyle w:val="NoSpacing"/>
              <w:rPr>
                <w:rFonts w:ascii="Verdana" w:hAnsi="Verdana"/>
                <w:b/>
              </w:rPr>
            </w:pPr>
            <w:r w:rsidRPr="008D40C1">
              <w:rPr>
                <w:rFonts w:ascii="Verdana" w:hAnsi="Verdana"/>
                <w:b/>
              </w:rPr>
              <w:t>Min</w:t>
            </w:r>
            <w:r>
              <w:rPr>
                <w:rFonts w:ascii="Verdana" w:hAnsi="Verdana"/>
                <w:b/>
              </w:rPr>
              <w:t>utes of th</w:t>
            </w:r>
            <w:r w:rsidR="00B3680E">
              <w:rPr>
                <w:rFonts w:ascii="Verdana" w:hAnsi="Verdana"/>
                <w:b/>
              </w:rPr>
              <w:t>e Previous Meeting</w:t>
            </w:r>
            <w:r w:rsidR="007736EE">
              <w:rPr>
                <w:rFonts w:ascii="Verdana" w:hAnsi="Verdana"/>
                <w:b/>
              </w:rPr>
              <w:t xml:space="preserve">: </w:t>
            </w:r>
            <w:r w:rsidR="005667AD">
              <w:rPr>
                <w:rFonts w:ascii="Verdana" w:hAnsi="Verdana"/>
                <w:b/>
              </w:rPr>
              <w:t>1</w:t>
            </w:r>
            <w:r w:rsidR="007736EE">
              <w:rPr>
                <w:rFonts w:ascii="Verdana" w:hAnsi="Verdana"/>
                <w:b/>
              </w:rPr>
              <w:t>5</w:t>
            </w:r>
            <w:r w:rsidR="00B3680E">
              <w:rPr>
                <w:rFonts w:ascii="Verdana" w:hAnsi="Verdana"/>
                <w:b/>
              </w:rPr>
              <w:t xml:space="preserve"> June 20</w:t>
            </w:r>
            <w:r w:rsidR="004C1BEA">
              <w:rPr>
                <w:rFonts w:ascii="Verdana" w:hAnsi="Verdana"/>
                <w:b/>
              </w:rPr>
              <w:t>2</w:t>
            </w:r>
            <w:r w:rsidR="007736EE">
              <w:rPr>
                <w:rFonts w:ascii="Verdana" w:hAnsi="Verdana"/>
                <w:b/>
              </w:rPr>
              <w:t>1</w:t>
            </w:r>
          </w:p>
          <w:p w14:paraId="304DE393" w14:textId="77777777" w:rsidR="001E3DD7" w:rsidRPr="008D40C1" w:rsidRDefault="001E3DD7" w:rsidP="002D2153">
            <w:pPr>
              <w:pStyle w:val="NoSpacing"/>
              <w:rPr>
                <w:rFonts w:ascii="Verdana" w:hAnsi="Verdana"/>
                <w:b/>
              </w:rPr>
            </w:pPr>
          </w:p>
          <w:p w14:paraId="0FE54857" w14:textId="77777777" w:rsidR="007E6A1F" w:rsidRPr="00CA1B35" w:rsidRDefault="007E6A1F" w:rsidP="007E6A1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 was</w:t>
            </w:r>
            <w:r w:rsidRPr="00CA1B35">
              <w:rPr>
                <w:rFonts w:ascii="Verdana" w:hAnsi="Verdana"/>
              </w:rPr>
              <w:t xml:space="preserve"> note</w:t>
            </w:r>
            <w:r>
              <w:rPr>
                <w:rFonts w:ascii="Verdana" w:hAnsi="Verdana"/>
              </w:rPr>
              <w:t>d that the draft minutes had been approved</w:t>
            </w:r>
            <w:r w:rsidRPr="00CA1B35">
              <w:rPr>
                <w:rFonts w:ascii="Verdana" w:hAnsi="Verdana"/>
              </w:rPr>
              <w:t xml:space="preserve"> by the Chair of the Co</w:t>
            </w:r>
            <w:r>
              <w:rPr>
                <w:rFonts w:ascii="Verdana" w:hAnsi="Verdana"/>
              </w:rPr>
              <w:t>mmittee</w:t>
            </w:r>
            <w:r w:rsidRPr="00CA1B35">
              <w:rPr>
                <w:rFonts w:ascii="Verdana" w:hAnsi="Verdana"/>
              </w:rPr>
              <w:t xml:space="preserve"> for circulation.</w:t>
            </w:r>
          </w:p>
          <w:p w14:paraId="3ECB5A6E" w14:textId="77777777" w:rsidR="007E6A1F" w:rsidRDefault="007E6A1F" w:rsidP="002D2153">
            <w:pPr>
              <w:pStyle w:val="NoSpacing"/>
              <w:rPr>
                <w:rFonts w:ascii="Verdana" w:hAnsi="Verdana"/>
              </w:rPr>
            </w:pPr>
          </w:p>
          <w:p w14:paraId="37205D90" w14:textId="1C473623" w:rsidR="001E3DD7" w:rsidRDefault="001E3DD7" w:rsidP="002D2153">
            <w:pPr>
              <w:pStyle w:val="NoSpacing"/>
              <w:rPr>
                <w:rFonts w:ascii="Verdana" w:hAnsi="Verdana"/>
              </w:rPr>
            </w:pPr>
            <w:r w:rsidRPr="008D40C1">
              <w:rPr>
                <w:rFonts w:ascii="Verdana" w:hAnsi="Verdana"/>
              </w:rPr>
              <w:t xml:space="preserve">The minutes were approved as a correct record of the business transacted, and </w:t>
            </w:r>
            <w:r w:rsidRPr="00B152B1">
              <w:rPr>
                <w:rFonts w:ascii="Verdana" w:hAnsi="Verdana"/>
                <w:i/>
              </w:rPr>
              <w:t>prima facie</w:t>
            </w:r>
            <w:r w:rsidRPr="008D40C1">
              <w:rPr>
                <w:rFonts w:ascii="Verdana" w:hAnsi="Verdana"/>
              </w:rPr>
              <w:t xml:space="preserve"> evidence of the proceedings to which they relate.</w:t>
            </w:r>
          </w:p>
          <w:p w14:paraId="6FB22B03" w14:textId="1416DD72" w:rsidR="000C355C" w:rsidRPr="008D40C1" w:rsidRDefault="000C355C" w:rsidP="002D2153">
            <w:pPr>
              <w:pStyle w:val="NoSpacing"/>
              <w:rPr>
                <w:rFonts w:ascii="Verdana" w:hAnsi="Verdana"/>
                <w:b/>
              </w:rPr>
            </w:pPr>
          </w:p>
        </w:tc>
      </w:tr>
      <w:tr w:rsidR="001E3DD7" w:rsidRPr="00E874B5" w14:paraId="437198D3" w14:textId="77777777" w:rsidTr="009C5147">
        <w:tc>
          <w:tcPr>
            <w:tcW w:w="529" w:type="dxa"/>
          </w:tcPr>
          <w:p w14:paraId="3C03A335" w14:textId="77777777" w:rsidR="001E3DD7" w:rsidRPr="008D40C1" w:rsidRDefault="001E3DD7" w:rsidP="002D2153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4</w:t>
            </w:r>
          </w:p>
        </w:tc>
        <w:tc>
          <w:tcPr>
            <w:tcW w:w="8487" w:type="dxa"/>
          </w:tcPr>
          <w:p w14:paraId="7AF91CDF" w14:textId="3B13DF59" w:rsidR="007736EE" w:rsidRPr="008D40C1" w:rsidRDefault="001E3DD7" w:rsidP="007736EE">
            <w:pPr>
              <w:pStyle w:val="NoSpacing"/>
              <w:rPr>
                <w:rFonts w:ascii="Verdana" w:hAnsi="Verdana"/>
                <w:b/>
              </w:rPr>
            </w:pPr>
            <w:r w:rsidRPr="008D40C1">
              <w:rPr>
                <w:rFonts w:ascii="Verdana" w:hAnsi="Verdana"/>
                <w:b/>
              </w:rPr>
              <w:t>Matters Arising from the Minutes</w:t>
            </w:r>
            <w:r w:rsidR="007736EE">
              <w:rPr>
                <w:rFonts w:ascii="Verdana" w:hAnsi="Verdana"/>
                <w:b/>
              </w:rPr>
              <w:t>: 15 June 2021</w:t>
            </w:r>
          </w:p>
          <w:p w14:paraId="50A9B4DC" w14:textId="46AB9BD5" w:rsidR="00FA6DE0" w:rsidRDefault="00FA6DE0" w:rsidP="002D2153">
            <w:pPr>
              <w:pStyle w:val="NoSpacing"/>
              <w:rPr>
                <w:rFonts w:ascii="Verdana" w:hAnsi="Verdana"/>
              </w:rPr>
            </w:pPr>
          </w:p>
          <w:p w14:paraId="408625FA" w14:textId="57744B16" w:rsidR="00041F89" w:rsidRDefault="00041F89" w:rsidP="002D2153">
            <w:pPr>
              <w:pStyle w:val="NoSpacing"/>
              <w:rPr>
                <w:rFonts w:ascii="Verdana" w:hAnsi="Verdana" w:cs="Arial"/>
              </w:rPr>
            </w:pPr>
            <w:r w:rsidRPr="00041F89">
              <w:rPr>
                <w:rFonts w:ascii="Verdana" w:hAnsi="Verdana"/>
                <w:i/>
                <w:iCs/>
              </w:rPr>
              <w:t>Minute 7</w:t>
            </w:r>
            <w:r>
              <w:rPr>
                <w:rFonts w:ascii="Verdana" w:hAnsi="Verdana"/>
              </w:rPr>
              <w:t xml:space="preserve">: </w:t>
            </w:r>
            <w:r w:rsidRPr="00491FC5">
              <w:rPr>
                <w:rFonts w:ascii="Verdana" w:hAnsi="Verdana"/>
                <w:bCs/>
              </w:rPr>
              <w:t>a</w:t>
            </w:r>
            <w:r w:rsidRPr="00491FC5">
              <w:rPr>
                <w:rFonts w:ascii="Verdana" w:hAnsi="Verdana" w:cs="Arial"/>
              </w:rPr>
              <w:t xml:space="preserve"> risk appetite statement</w:t>
            </w:r>
            <w:r>
              <w:rPr>
                <w:rFonts w:ascii="Verdana" w:hAnsi="Verdana" w:cs="Arial"/>
              </w:rPr>
              <w:t xml:space="preserve"> will be prepared and submitted</w:t>
            </w:r>
            <w:r w:rsidRPr="00491FC5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for approval</w:t>
            </w:r>
            <w:r w:rsidRPr="00491FC5">
              <w:rPr>
                <w:rFonts w:ascii="Verdana" w:hAnsi="Verdana" w:cs="Arial"/>
              </w:rPr>
              <w:t xml:space="preserve"> by the Corporation</w:t>
            </w:r>
            <w:r>
              <w:rPr>
                <w:rFonts w:ascii="Verdana" w:hAnsi="Verdana" w:cs="Arial"/>
              </w:rPr>
              <w:t xml:space="preserve"> </w:t>
            </w:r>
            <w:r w:rsidRPr="00491FC5">
              <w:rPr>
                <w:rFonts w:ascii="Verdana" w:hAnsi="Verdana" w:cs="Arial"/>
              </w:rPr>
              <w:t xml:space="preserve">in the </w:t>
            </w:r>
            <w:r>
              <w:rPr>
                <w:rFonts w:ascii="Verdana" w:hAnsi="Verdana" w:cs="Arial"/>
              </w:rPr>
              <w:t>Spring</w:t>
            </w:r>
            <w:r w:rsidRPr="00491FC5">
              <w:rPr>
                <w:rFonts w:ascii="Verdana" w:hAnsi="Verdana" w:cs="Arial"/>
              </w:rPr>
              <w:t xml:space="preserve"> Term 2021-22</w:t>
            </w:r>
            <w:r>
              <w:rPr>
                <w:rFonts w:ascii="Verdana" w:hAnsi="Verdana" w:cs="Arial"/>
              </w:rPr>
              <w:t>.</w:t>
            </w:r>
          </w:p>
          <w:p w14:paraId="23717578" w14:textId="11E728C7" w:rsidR="00041F89" w:rsidRDefault="00041F89" w:rsidP="002D2153">
            <w:pPr>
              <w:pStyle w:val="NoSpacing"/>
              <w:rPr>
                <w:rFonts w:ascii="Verdana" w:hAnsi="Verdana" w:cs="Arial"/>
              </w:rPr>
            </w:pPr>
          </w:p>
          <w:p w14:paraId="5F7322CE" w14:textId="6BA06F58" w:rsidR="00041F89" w:rsidRDefault="00041F89" w:rsidP="00041F89">
            <w:pPr>
              <w:rPr>
                <w:rFonts w:ascii="Verdana" w:hAnsi="Verdana"/>
              </w:rPr>
            </w:pPr>
            <w:r w:rsidRPr="00041F89">
              <w:rPr>
                <w:rFonts w:ascii="Verdana" w:hAnsi="Verdana"/>
                <w:i/>
                <w:iCs/>
              </w:rPr>
              <w:t>Minute 8</w:t>
            </w:r>
            <w:r>
              <w:rPr>
                <w:rFonts w:ascii="Verdana" w:hAnsi="Verdana"/>
              </w:rPr>
              <w:t xml:space="preserve">: </w:t>
            </w:r>
            <w:r w:rsidRPr="00D6662E">
              <w:rPr>
                <w:rFonts w:ascii="Verdana" w:hAnsi="Verdana"/>
              </w:rPr>
              <w:t>the internal audit report on governance (recruitment and succession)</w:t>
            </w:r>
            <w:r>
              <w:rPr>
                <w:rFonts w:ascii="Verdana" w:hAnsi="Verdana"/>
              </w:rPr>
              <w:t xml:space="preserve"> was made </w:t>
            </w:r>
            <w:r w:rsidRPr="00D6662E">
              <w:rPr>
                <w:rFonts w:ascii="Verdana" w:hAnsi="Verdana"/>
              </w:rPr>
              <w:t>available to the Governance &amp; Nominations Committee.</w:t>
            </w:r>
          </w:p>
          <w:p w14:paraId="6C141782" w14:textId="04DC643B" w:rsidR="00041F89" w:rsidRDefault="00041F89" w:rsidP="002D2153">
            <w:pPr>
              <w:pStyle w:val="NoSpacing"/>
              <w:rPr>
                <w:rFonts w:ascii="Verdana" w:hAnsi="Verdana" w:cs="Arial"/>
              </w:rPr>
            </w:pPr>
          </w:p>
          <w:p w14:paraId="6CA99B7F" w14:textId="0DA4D962" w:rsidR="00041F89" w:rsidRDefault="00041F89" w:rsidP="00041F89">
            <w:pPr>
              <w:pStyle w:val="NoSpacing"/>
              <w:rPr>
                <w:rFonts w:ascii="Verdana" w:hAnsi="Verdana"/>
              </w:rPr>
            </w:pPr>
            <w:r w:rsidRPr="00041F89">
              <w:rPr>
                <w:rFonts w:ascii="Verdana" w:hAnsi="Verdana"/>
                <w:i/>
                <w:iCs/>
              </w:rPr>
              <w:t>Minute 11</w:t>
            </w:r>
            <w:r>
              <w:rPr>
                <w:rFonts w:ascii="Verdana" w:hAnsi="Verdana"/>
              </w:rPr>
              <w:t xml:space="preserve">: a draft External Audit Re-Tendering </w:t>
            </w:r>
            <w:r w:rsidR="005A3692">
              <w:rPr>
                <w:rFonts w:ascii="Verdana" w:hAnsi="Verdana"/>
              </w:rPr>
              <w:t>proposal</w:t>
            </w:r>
            <w:r>
              <w:rPr>
                <w:rFonts w:ascii="Verdana" w:hAnsi="Verdana"/>
              </w:rPr>
              <w:t xml:space="preserve"> will be prepared and submitted to the Audit Committee at the Spring Term meeting for </w:t>
            </w:r>
            <w:r>
              <w:rPr>
                <w:rFonts w:ascii="Verdana" w:hAnsi="Verdana"/>
              </w:rPr>
              <w:lastRenderedPageBreak/>
              <w:t>approval on behalf of the Corporation.</w:t>
            </w:r>
            <w:r w:rsidR="003C1F2C">
              <w:rPr>
                <w:rFonts w:ascii="Verdana" w:hAnsi="Verdana"/>
              </w:rPr>
              <w:t xml:space="preserve">  The external audit tender document will be submitted similarly.</w:t>
            </w:r>
          </w:p>
          <w:p w14:paraId="15FDD638" w14:textId="77777777" w:rsidR="00041F89" w:rsidRDefault="00041F89" w:rsidP="002D2153">
            <w:pPr>
              <w:pStyle w:val="NoSpacing"/>
              <w:rPr>
                <w:rFonts w:ascii="Verdana" w:hAnsi="Verdana" w:cs="Arial"/>
              </w:rPr>
            </w:pPr>
          </w:p>
          <w:p w14:paraId="6648CCD6" w14:textId="26763690" w:rsidR="00041F89" w:rsidRDefault="003C1F2C" w:rsidP="002D2153">
            <w:pPr>
              <w:pStyle w:val="NoSpacing"/>
              <w:rPr>
                <w:rFonts w:ascii="Verdana" w:hAnsi="Verdana" w:cs="Arial"/>
              </w:rPr>
            </w:pPr>
            <w:r w:rsidRPr="003C1F2C">
              <w:rPr>
                <w:rFonts w:ascii="Verdana" w:hAnsi="Verdana" w:cs="Arial"/>
                <w:i/>
                <w:iCs/>
              </w:rPr>
              <w:t>Minute 13</w:t>
            </w:r>
            <w:r>
              <w:rPr>
                <w:rFonts w:ascii="Verdana" w:hAnsi="Verdana" w:cs="Arial"/>
              </w:rPr>
              <w:t>: the Audit Committee induction programme is a work in progress.</w:t>
            </w:r>
          </w:p>
          <w:p w14:paraId="2FB939EB" w14:textId="6FEFAC22" w:rsidR="00041F89" w:rsidRDefault="00041F89" w:rsidP="002D2153">
            <w:pPr>
              <w:pStyle w:val="NoSpacing"/>
              <w:rPr>
                <w:rFonts w:ascii="Verdana" w:hAnsi="Verdana" w:cs="Arial"/>
              </w:rPr>
            </w:pPr>
          </w:p>
          <w:p w14:paraId="5A03E2A3" w14:textId="19BDCC74" w:rsidR="004C1BEA" w:rsidRDefault="004C1BEA" w:rsidP="004C1BE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There were no other matters arising except those dealt with elsewhere on the agenda.</w:t>
            </w:r>
          </w:p>
          <w:p w14:paraId="392E61FA" w14:textId="37308CFE" w:rsidR="00CB7331" w:rsidRPr="00DA094C" w:rsidRDefault="00CB7331" w:rsidP="002D2153">
            <w:pPr>
              <w:pStyle w:val="NoSpacing"/>
              <w:rPr>
                <w:rFonts w:ascii="Verdana" w:hAnsi="Verdana"/>
              </w:rPr>
            </w:pPr>
          </w:p>
        </w:tc>
      </w:tr>
      <w:tr w:rsidR="004C1BEA" w:rsidRPr="00E874B5" w14:paraId="6EDF02CF" w14:textId="77777777" w:rsidTr="009C5147">
        <w:tc>
          <w:tcPr>
            <w:tcW w:w="529" w:type="dxa"/>
          </w:tcPr>
          <w:p w14:paraId="6CFDE6B0" w14:textId="7C7BA998" w:rsidR="004C1BEA" w:rsidRDefault="004C1BEA" w:rsidP="002D2153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5</w:t>
            </w:r>
          </w:p>
        </w:tc>
        <w:tc>
          <w:tcPr>
            <w:tcW w:w="8487" w:type="dxa"/>
          </w:tcPr>
          <w:p w14:paraId="7F3EFDA1" w14:textId="77777777" w:rsidR="003C1F2C" w:rsidRPr="00A0279B" w:rsidRDefault="003C1F2C" w:rsidP="003C1F2C">
            <w:pPr>
              <w:pStyle w:val="NoSpacing"/>
              <w:rPr>
                <w:rFonts w:ascii="Verdana" w:hAnsi="Verdana"/>
                <w:b/>
                <w:bCs/>
              </w:rPr>
            </w:pPr>
            <w:r w:rsidRPr="00355333">
              <w:rPr>
                <w:rFonts w:ascii="Verdana" w:hAnsi="Verdana"/>
                <w:b/>
              </w:rPr>
              <w:t>Post-Audit Management Letter: Financial Statements Audit and Regularity Audit</w:t>
            </w:r>
            <w:r>
              <w:rPr>
                <w:rFonts w:ascii="Verdana" w:hAnsi="Verdana"/>
                <w:b/>
              </w:rPr>
              <w:t xml:space="preserve"> for the year ended 31 July 2021 </w:t>
            </w:r>
          </w:p>
          <w:p w14:paraId="1D116EB4" w14:textId="46E93A6D" w:rsidR="001D154D" w:rsidRDefault="001D154D" w:rsidP="001D154D">
            <w:pPr>
              <w:pStyle w:val="NoSpacing"/>
              <w:tabs>
                <w:tab w:val="left" w:pos="2895"/>
              </w:tabs>
              <w:rPr>
                <w:rFonts w:ascii="Verdana" w:hAnsi="Verdana"/>
                <w:bCs/>
              </w:rPr>
            </w:pPr>
          </w:p>
          <w:p w14:paraId="7C73501F" w14:textId="46D20AA2" w:rsidR="003C1F2C" w:rsidRPr="003C1F2C" w:rsidRDefault="003C1F2C" w:rsidP="001D154D">
            <w:pPr>
              <w:pStyle w:val="NoSpacing"/>
              <w:tabs>
                <w:tab w:val="left" w:pos="2895"/>
              </w:tabs>
              <w:rPr>
                <w:rFonts w:ascii="Verdana" w:hAnsi="Verdana"/>
                <w:bCs/>
              </w:rPr>
            </w:pPr>
            <w:r w:rsidRPr="003C1F2C">
              <w:rPr>
                <w:rFonts w:ascii="Verdana" w:hAnsi="Verdana"/>
                <w:bCs/>
              </w:rPr>
              <w:t>The draft letter was received and considered.</w:t>
            </w:r>
          </w:p>
          <w:p w14:paraId="02EECB76" w14:textId="1E0022D8" w:rsidR="003C1F2C" w:rsidRPr="003C1F2C" w:rsidRDefault="003C1F2C" w:rsidP="001D154D">
            <w:pPr>
              <w:pStyle w:val="NoSpacing"/>
              <w:tabs>
                <w:tab w:val="left" w:pos="2895"/>
              </w:tabs>
              <w:rPr>
                <w:rFonts w:ascii="Verdana" w:hAnsi="Verdana"/>
                <w:bCs/>
              </w:rPr>
            </w:pPr>
          </w:p>
          <w:p w14:paraId="767A5173" w14:textId="4FA7BE37" w:rsidR="00634C2A" w:rsidRDefault="003C1F2C" w:rsidP="00634C2A">
            <w:pPr>
              <w:pStyle w:val="NoSpacing"/>
              <w:rPr>
                <w:rFonts w:ascii="Verdana" w:hAnsi="Verdana"/>
              </w:rPr>
            </w:pPr>
            <w:r w:rsidRPr="00634C2A">
              <w:rPr>
                <w:rFonts w:ascii="Verdana" w:hAnsi="Verdana"/>
              </w:rPr>
              <w:t xml:space="preserve">It was noted that there are some matters in the Report </w:t>
            </w:r>
            <w:r w:rsidR="00634C2A" w:rsidRPr="00634C2A">
              <w:rPr>
                <w:rFonts w:ascii="Verdana" w:hAnsi="Verdana"/>
              </w:rPr>
              <w:t>relating</w:t>
            </w:r>
            <w:r w:rsidRPr="00634C2A">
              <w:rPr>
                <w:rFonts w:ascii="Verdana" w:hAnsi="Verdana"/>
              </w:rPr>
              <w:t xml:space="preserve"> to items which require further conclusions, mainly in relation to the </w:t>
            </w:r>
            <w:r w:rsidR="00C8248B" w:rsidRPr="00634C2A">
              <w:rPr>
                <w:rFonts w:ascii="Verdana" w:hAnsi="Verdana"/>
              </w:rPr>
              <w:t xml:space="preserve">conclusions on going concern and </w:t>
            </w:r>
            <w:r w:rsidRPr="00634C2A">
              <w:rPr>
                <w:rFonts w:ascii="Verdana" w:hAnsi="Verdana"/>
              </w:rPr>
              <w:t>irregularity matter.</w:t>
            </w:r>
          </w:p>
          <w:p w14:paraId="6387E166" w14:textId="7246EFF0" w:rsidR="003C1F2C" w:rsidRPr="008D7829" w:rsidRDefault="003C1F2C" w:rsidP="00634C2A">
            <w:pPr>
              <w:pStyle w:val="NoSpacing"/>
              <w:rPr>
                <w:rFonts w:ascii="Verdana" w:hAnsi="Verdana"/>
              </w:rPr>
            </w:pPr>
            <w:r w:rsidRPr="00634C2A">
              <w:rPr>
                <w:rFonts w:ascii="Verdana" w:hAnsi="Verdana"/>
              </w:rPr>
              <w:t xml:space="preserve"> </w:t>
            </w:r>
          </w:p>
        </w:tc>
      </w:tr>
      <w:tr w:rsidR="00C8248B" w:rsidRPr="00E874B5" w14:paraId="15C9BD43" w14:textId="77777777" w:rsidTr="009C5147">
        <w:tc>
          <w:tcPr>
            <w:tcW w:w="529" w:type="dxa"/>
          </w:tcPr>
          <w:p w14:paraId="19FFD59E" w14:textId="77777777" w:rsidR="00C8248B" w:rsidRDefault="00C8248B" w:rsidP="002D2153">
            <w:pPr>
              <w:pStyle w:val="NoSpacing"/>
              <w:rPr>
                <w:rFonts w:ascii="Verdana" w:hAnsi="Verdana"/>
                <w:b/>
              </w:rPr>
            </w:pPr>
          </w:p>
        </w:tc>
        <w:tc>
          <w:tcPr>
            <w:tcW w:w="8487" w:type="dxa"/>
          </w:tcPr>
          <w:p w14:paraId="274804E9" w14:textId="77777777" w:rsidR="00C8248B" w:rsidRDefault="00C8248B" w:rsidP="00C8248B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 was particularly noted that t</w:t>
            </w:r>
            <w:r w:rsidRPr="00634C2A">
              <w:rPr>
                <w:rFonts w:ascii="Verdana" w:hAnsi="Verdana"/>
              </w:rPr>
              <w:t>he 2022 budget and beyond ha</w:t>
            </w:r>
            <w:r>
              <w:rPr>
                <w:rFonts w:ascii="Verdana" w:hAnsi="Verdana"/>
              </w:rPr>
              <w:t>d</w:t>
            </w:r>
            <w:r w:rsidRPr="00634C2A">
              <w:rPr>
                <w:rFonts w:ascii="Verdana" w:hAnsi="Verdana"/>
              </w:rPr>
              <w:t xml:space="preserve"> been reviewed and considered in</w:t>
            </w:r>
            <w:r>
              <w:rPr>
                <w:rFonts w:ascii="Verdana" w:hAnsi="Verdana"/>
              </w:rPr>
              <w:t xml:space="preserve"> the</w:t>
            </w:r>
            <w:r w:rsidRPr="00634C2A">
              <w:rPr>
                <w:rFonts w:ascii="Verdana" w:hAnsi="Verdana"/>
              </w:rPr>
              <w:t xml:space="preserve"> light of the funding implications linked to student numbers</w:t>
            </w:r>
            <w:r>
              <w:rPr>
                <w:rFonts w:ascii="Verdana" w:hAnsi="Verdana"/>
              </w:rPr>
              <w:t xml:space="preserve">, and that a </w:t>
            </w:r>
            <w:r w:rsidRPr="00634C2A">
              <w:rPr>
                <w:rFonts w:ascii="Verdana" w:hAnsi="Verdana"/>
              </w:rPr>
              <w:t>paper ha</w:t>
            </w:r>
            <w:r>
              <w:rPr>
                <w:rFonts w:ascii="Verdana" w:hAnsi="Verdana"/>
              </w:rPr>
              <w:t>d</w:t>
            </w:r>
            <w:r w:rsidRPr="00634C2A">
              <w:rPr>
                <w:rFonts w:ascii="Verdana" w:hAnsi="Verdana"/>
              </w:rPr>
              <w:t xml:space="preserve"> been shared with </w:t>
            </w:r>
            <w:r>
              <w:rPr>
                <w:rFonts w:ascii="Verdana" w:hAnsi="Verdana"/>
              </w:rPr>
              <w:t>the auditor</w:t>
            </w:r>
            <w:r w:rsidRPr="00634C2A">
              <w:rPr>
                <w:rFonts w:ascii="Verdana" w:hAnsi="Verdana"/>
              </w:rPr>
              <w:t xml:space="preserve"> in respect of the implications of a fall in student enrolments in the current academic year. </w:t>
            </w:r>
            <w:r>
              <w:rPr>
                <w:rFonts w:ascii="Verdana" w:hAnsi="Verdana"/>
              </w:rPr>
              <w:t xml:space="preserve"> </w:t>
            </w:r>
          </w:p>
          <w:p w14:paraId="10F11F16" w14:textId="77777777" w:rsidR="00C8248B" w:rsidRDefault="00C8248B" w:rsidP="00C8248B">
            <w:pPr>
              <w:pStyle w:val="NoSpacing"/>
              <w:rPr>
                <w:rFonts w:ascii="Verdana" w:hAnsi="Verdana"/>
              </w:rPr>
            </w:pPr>
          </w:p>
          <w:p w14:paraId="0D424A90" w14:textId="489ABD78" w:rsidR="00C8248B" w:rsidRDefault="00C8248B" w:rsidP="00C8248B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  <w:r w:rsidRPr="00634C2A">
              <w:rPr>
                <w:rFonts w:ascii="Verdana" w:hAnsi="Verdana"/>
              </w:rPr>
              <w:t xml:space="preserve">tudent enrolments </w:t>
            </w:r>
            <w:r>
              <w:rPr>
                <w:rFonts w:ascii="Verdana" w:hAnsi="Verdana"/>
              </w:rPr>
              <w:t>are</w:t>
            </w:r>
            <w:r w:rsidRPr="00634C2A">
              <w:rPr>
                <w:rFonts w:ascii="Verdana" w:hAnsi="Verdana"/>
              </w:rPr>
              <w:t xml:space="preserve"> significantly lower than the target of 1,820</w:t>
            </w:r>
            <w:r>
              <w:rPr>
                <w:rFonts w:ascii="Verdana" w:hAnsi="Verdana"/>
              </w:rPr>
              <w:t xml:space="preserve">. </w:t>
            </w:r>
            <w:r w:rsidRPr="00634C2A">
              <w:rPr>
                <w:rFonts w:ascii="Verdana" w:hAnsi="Verdana"/>
              </w:rPr>
              <w:t xml:space="preserve"> Draft financial pr</w:t>
            </w:r>
            <w:r>
              <w:rPr>
                <w:rFonts w:ascii="Verdana" w:hAnsi="Verdana"/>
              </w:rPr>
              <w:t>oje</w:t>
            </w:r>
            <w:r w:rsidRPr="00634C2A">
              <w:rPr>
                <w:rFonts w:ascii="Verdana" w:hAnsi="Verdana"/>
              </w:rPr>
              <w:t xml:space="preserve">ctions shared with </w:t>
            </w:r>
            <w:r>
              <w:rPr>
                <w:rFonts w:ascii="Verdana" w:hAnsi="Verdana"/>
              </w:rPr>
              <w:t>the auditor</w:t>
            </w:r>
            <w:r w:rsidRPr="00634C2A">
              <w:rPr>
                <w:rFonts w:ascii="Verdana" w:hAnsi="Verdana"/>
              </w:rPr>
              <w:t xml:space="preserve"> by management show that cost savings w</w:t>
            </w:r>
            <w:r>
              <w:rPr>
                <w:rFonts w:ascii="Verdana" w:hAnsi="Verdana"/>
              </w:rPr>
              <w:t>ill</w:t>
            </w:r>
            <w:r w:rsidRPr="00634C2A">
              <w:rPr>
                <w:rFonts w:ascii="Verdana" w:hAnsi="Verdana"/>
              </w:rPr>
              <w:t xml:space="preserve"> be sought in salary costs in the year to reflect </w:t>
            </w:r>
            <w:r>
              <w:rPr>
                <w:rFonts w:ascii="Verdana" w:hAnsi="Verdana"/>
              </w:rPr>
              <w:t xml:space="preserve">the </w:t>
            </w:r>
            <w:r w:rsidRPr="00634C2A">
              <w:rPr>
                <w:rFonts w:ascii="Verdana" w:hAnsi="Verdana"/>
              </w:rPr>
              <w:t xml:space="preserve">decrease in income. </w:t>
            </w:r>
            <w:r>
              <w:rPr>
                <w:rFonts w:ascii="Verdana" w:hAnsi="Verdana"/>
              </w:rPr>
              <w:t xml:space="preserve"> R</w:t>
            </w:r>
            <w:r w:rsidRPr="00634C2A">
              <w:rPr>
                <w:rFonts w:ascii="Verdana" w:hAnsi="Verdana"/>
              </w:rPr>
              <w:t>etention rates are positive after the 42-day cut</w:t>
            </w:r>
            <w:r>
              <w:rPr>
                <w:rFonts w:ascii="Verdana" w:hAnsi="Verdana"/>
              </w:rPr>
              <w:t>-</w:t>
            </w:r>
            <w:r w:rsidRPr="00634C2A">
              <w:rPr>
                <w:rFonts w:ascii="Verdana" w:hAnsi="Verdana"/>
              </w:rPr>
              <w:t xml:space="preserve">off </w:t>
            </w:r>
            <w:r>
              <w:rPr>
                <w:rFonts w:ascii="Verdana" w:hAnsi="Verdana"/>
              </w:rPr>
              <w:t>by comparison with</w:t>
            </w:r>
            <w:r w:rsidRPr="00634C2A">
              <w:rPr>
                <w:rFonts w:ascii="Verdana" w:hAnsi="Verdana"/>
              </w:rPr>
              <w:t xml:space="preserve"> previous years</w:t>
            </w:r>
            <w:r>
              <w:rPr>
                <w:rFonts w:ascii="Verdana" w:hAnsi="Verdana"/>
              </w:rPr>
              <w:t>,</w:t>
            </w:r>
            <w:r w:rsidRPr="00634C2A">
              <w:rPr>
                <w:rFonts w:ascii="Verdana" w:hAnsi="Verdana"/>
              </w:rPr>
              <w:t xml:space="preserve"> and the College ha</w:t>
            </w:r>
            <w:r>
              <w:rPr>
                <w:rFonts w:ascii="Verdana" w:hAnsi="Verdana"/>
              </w:rPr>
              <w:t>d</w:t>
            </w:r>
            <w:r w:rsidRPr="00634C2A">
              <w:rPr>
                <w:rFonts w:ascii="Verdana" w:hAnsi="Verdana"/>
              </w:rPr>
              <w:t xml:space="preserve"> seen success with the </w:t>
            </w:r>
            <w:r w:rsidR="001F4B07">
              <w:rPr>
                <w:rFonts w:ascii="Verdana" w:hAnsi="Verdana"/>
              </w:rPr>
              <w:t>A</w:t>
            </w:r>
            <w:r w:rsidRPr="00634C2A">
              <w:rPr>
                <w:rFonts w:ascii="Verdana" w:hAnsi="Verdana"/>
              </w:rPr>
              <w:t>ccelerated Learning Pathway.</w:t>
            </w:r>
          </w:p>
          <w:p w14:paraId="4333394C" w14:textId="77777777" w:rsidR="00C8248B" w:rsidRPr="00634C2A" w:rsidRDefault="00C8248B" w:rsidP="00C8248B">
            <w:pPr>
              <w:pStyle w:val="NoSpacing"/>
              <w:rPr>
                <w:rFonts w:ascii="Verdana" w:hAnsi="Verdana"/>
              </w:rPr>
            </w:pPr>
          </w:p>
          <w:p w14:paraId="1F2A0149" w14:textId="3A21FBF4" w:rsidR="00C8248B" w:rsidRPr="00766530" w:rsidRDefault="00C8248B" w:rsidP="00C8248B">
            <w:pPr>
              <w:pStyle w:val="NoSpacing"/>
              <w:rPr>
                <w:rFonts w:ascii="Verdana" w:hAnsi="Verdana"/>
              </w:rPr>
            </w:pPr>
            <w:r w:rsidRPr="00766530">
              <w:rPr>
                <w:rFonts w:ascii="Verdana" w:hAnsi="Verdana"/>
              </w:rPr>
              <w:t>The External Relations Committee ha</w:t>
            </w:r>
            <w:r>
              <w:rPr>
                <w:rFonts w:ascii="Verdana" w:hAnsi="Verdana"/>
              </w:rPr>
              <w:t>d</w:t>
            </w:r>
            <w:r w:rsidRPr="00766530">
              <w:rPr>
                <w:rFonts w:ascii="Verdana" w:hAnsi="Verdana"/>
              </w:rPr>
              <w:t xml:space="preserve"> reviewed the matter and will report to the Corporation in December.  A revised financial forecast will be considered at the Resources Committee in </w:t>
            </w:r>
            <w:r w:rsidR="001F4B07">
              <w:rPr>
                <w:rFonts w:ascii="Verdana" w:hAnsi="Verdana"/>
              </w:rPr>
              <w:t>Dec</w:t>
            </w:r>
            <w:r w:rsidRPr="00766530">
              <w:rPr>
                <w:rFonts w:ascii="Verdana" w:hAnsi="Verdana"/>
              </w:rPr>
              <w:t xml:space="preserve">ember.  The auditor will review the Corporation’s assessment of going concern before concluding </w:t>
            </w:r>
            <w:r>
              <w:rPr>
                <w:rFonts w:ascii="Verdana" w:hAnsi="Verdana"/>
              </w:rPr>
              <w:t>his</w:t>
            </w:r>
            <w:r w:rsidRPr="00766530">
              <w:rPr>
                <w:rFonts w:ascii="Verdana" w:hAnsi="Verdana"/>
              </w:rPr>
              <w:t xml:space="preserve"> own work.  ISA 570 now requires a “stand back” approach immediately prior to audit completion.</w:t>
            </w:r>
          </w:p>
          <w:p w14:paraId="29801DD8" w14:textId="77777777" w:rsidR="00C8248B" w:rsidRPr="00766530" w:rsidRDefault="00C8248B" w:rsidP="00C8248B">
            <w:pPr>
              <w:pStyle w:val="NoSpacing"/>
              <w:rPr>
                <w:rFonts w:ascii="Verdana" w:hAnsi="Verdana"/>
              </w:rPr>
            </w:pPr>
          </w:p>
          <w:p w14:paraId="06B2D609" w14:textId="04082CF6" w:rsidR="00C8248B" w:rsidRPr="00355333" w:rsidRDefault="00C8248B" w:rsidP="00C8248B">
            <w:pPr>
              <w:pStyle w:val="NoSpacing"/>
              <w:rPr>
                <w:rFonts w:ascii="Verdana" w:hAnsi="Verdana"/>
                <w:b/>
              </w:rPr>
            </w:pPr>
            <w:r w:rsidRPr="00766530">
              <w:rPr>
                <w:rFonts w:ascii="Verdana" w:hAnsi="Verdana"/>
              </w:rPr>
              <w:t xml:space="preserve">The </w:t>
            </w:r>
            <w:r>
              <w:rPr>
                <w:rFonts w:ascii="Verdana" w:hAnsi="Verdana"/>
              </w:rPr>
              <w:t>C</w:t>
            </w:r>
            <w:r w:rsidRPr="00766530">
              <w:rPr>
                <w:rFonts w:ascii="Verdana" w:hAnsi="Verdana"/>
              </w:rPr>
              <w:t xml:space="preserve">ollege and </w:t>
            </w:r>
            <w:proofErr w:type="spellStart"/>
            <w:r w:rsidRPr="00766530">
              <w:rPr>
                <w:rFonts w:ascii="Verdana" w:hAnsi="Verdana"/>
              </w:rPr>
              <w:t>MacIntyre</w:t>
            </w:r>
            <w:proofErr w:type="spellEnd"/>
            <w:r w:rsidRPr="00766530">
              <w:rPr>
                <w:rFonts w:ascii="Verdana" w:hAnsi="Verdana"/>
              </w:rPr>
              <w:t xml:space="preserve"> Hudson will need to conclude if a material uncertainty in relation to going concern exists and needs disclosure within the financial statements. This would affect the wording of the audit report. </w:t>
            </w:r>
          </w:p>
        </w:tc>
      </w:tr>
      <w:tr w:rsidR="00C8248B" w:rsidRPr="00E874B5" w14:paraId="527D76C6" w14:textId="77777777" w:rsidTr="009C5147">
        <w:tc>
          <w:tcPr>
            <w:tcW w:w="529" w:type="dxa"/>
          </w:tcPr>
          <w:p w14:paraId="59E0A957" w14:textId="77777777" w:rsidR="00C8248B" w:rsidRDefault="00C8248B" w:rsidP="002D2153">
            <w:pPr>
              <w:pStyle w:val="NoSpacing"/>
              <w:rPr>
                <w:rFonts w:ascii="Verdana" w:hAnsi="Verdana"/>
                <w:b/>
              </w:rPr>
            </w:pPr>
          </w:p>
        </w:tc>
        <w:tc>
          <w:tcPr>
            <w:tcW w:w="8487" w:type="dxa"/>
          </w:tcPr>
          <w:p w14:paraId="36C99BF3" w14:textId="77777777" w:rsidR="00C8248B" w:rsidRPr="00766530" w:rsidRDefault="00C8248B" w:rsidP="00C8248B">
            <w:pPr>
              <w:pStyle w:val="NoSpacing"/>
              <w:rPr>
                <w:rFonts w:ascii="Verdana" w:hAnsi="Verdana"/>
                <w:bCs/>
              </w:rPr>
            </w:pPr>
          </w:p>
          <w:p w14:paraId="6F707B23" w14:textId="77777777" w:rsidR="00C8248B" w:rsidRPr="00766530" w:rsidRDefault="00C8248B" w:rsidP="00C8248B">
            <w:pPr>
              <w:pStyle w:val="NoSpacing"/>
              <w:rPr>
                <w:rFonts w:ascii="Verdana" w:hAnsi="Verdana"/>
              </w:rPr>
            </w:pPr>
            <w:r w:rsidRPr="001F4B07">
              <w:rPr>
                <w:rFonts w:ascii="Verdana" w:hAnsi="Verdana"/>
                <w:bCs/>
              </w:rPr>
              <w:t>It was also noted that, in the course of the</w:t>
            </w:r>
            <w:r w:rsidRPr="001F4B07">
              <w:rPr>
                <w:rFonts w:ascii="Verdana" w:hAnsi="Verdana"/>
              </w:rPr>
              <w:t xml:space="preserve"> audit, it had been brought to the auditor’s attention that a potentially irregular matter had arisen which had been reported internally using an escalated reporting </w:t>
            </w:r>
            <w:proofErr w:type="gramStart"/>
            <w:r w:rsidRPr="001F4B07">
              <w:rPr>
                <w:rFonts w:ascii="Verdana" w:hAnsi="Verdana"/>
              </w:rPr>
              <w:t>structure, and</w:t>
            </w:r>
            <w:proofErr w:type="gramEnd"/>
            <w:r w:rsidRPr="001F4B07">
              <w:rPr>
                <w:rFonts w:ascii="Verdana" w:hAnsi="Verdana"/>
              </w:rPr>
              <w:t xml:space="preserve"> is currently in the process of investigation within the College and by the internal audit service.  No external report has been made to date, including to the ESFA.</w:t>
            </w:r>
          </w:p>
          <w:p w14:paraId="4930E0F4" w14:textId="77777777" w:rsidR="00C8248B" w:rsidRPr="00766530" w:rsidRDefault="00C8248B" w:rsidP="00C8248B">
            <w:pPr>
              <w:pStyle w:val="NoSpacing"/>
              <w:rPr>
                <w:rFonts w:ascii="Verdana" w:hAnsi="Verdana"/>
              </w:rPr>
            </w:pPr>
          </w:p>
          <w:p w14:paraId="7332D890" w14:textId="77777777" w:rsidR="00C8248B" w:rsidRPr="00766530" w:rsidRDefault="00C8248B" w:rsidP="00C8248B">
            <w:pPr>
              <w:pStyle w:val="NoSpacing"/>
              <w:rPr>
                <w:rFonts w:ascii="Verdana" w:hAnsi="Verdana"/>
              </w:rPr>
            </w:pPr>
            <w:r w:rsidRPr="00766530">
              <w:rPr>
                <w:rFonts w:ascii="Verdana" w:hAnsi="Verdana"/>
              </w:rPr>
              <w:t>The outcome of the internal audit on procurement which is currently being undertaken will be reviewed by the financial statements’ auditor.</w:t>
            </w:r>
          </w:p>
          <w:p w14:paraId="00AB0A0C" w14:textId="77777777" w:rsidR="00C8248B" w:rsidRPr="00766530" w:rsidRDefault="00C8248B" w:rsidP="00C8248B">
            <w:pPr>
              <w:pStyle w:val="NoSpacing"/>
              <w:rPr>
                <w:rFonts w:ascii="Verdana" w:hAnsi="Verdana"/>
              </w:rPr>
            </w:pPr>
          </w:p>
          <w:p w14:paraId="3CAD1A0B" w14:textId="422ED646" w:rsidR="00C8248B" w:rsidRDefault="00C8248B" w:rsidP="00C8248B">
            <w:pPr>
              <w:pStyle w:val="NoSpacing"/>
              <w:rPr>
                <w:rFonts w:ascii="Verdana" w:hAnsi="Verdana" w:cs="Arial"/>
              </w:rPr>
            </w:pPr>
            <w:r w:rsidRPr="00B0161A">
              <w:rPr>
                <w:rFonts w:ascii="Verdana" w:hAnsi="Verdana" w:cs="Arial"/>
              </w:rPr>
              <w:t xml:space="preserve">Because the financial exposure of this irregular transaction is greater than £10,000 </w:t>
            </w:r>
            <w:r>
              <w:rPr>
                <w:rFonts w:ascii="Verdana" w:hAnsi="Verdana" w:cs="Arial"/>
              </w:rPr>
              <w:t xml:space="preserve">this appears, </w:t>
            </w:r>
            <w:r w:rsidR="00D95115">
              <w:rPr>
                <w:rFonts w:ascii="Verdana" w:hAnsi="Verdana" w:cs="Arial"/>
              </w:rPr>
              <w:t xml:space="preserve">as </w:t>
            </w:r>
            <w:r w:rsidRPr="00B0161A">
              <w:rPr>
                <w:rFonts w:ascii="Verdana" w:hAnsi="Verdana" w:cs="Arial"/>
              </w:rPr>
              <w:t>per the Audit Code of Practice</w:t>
            </w:r>
            <w:r>
              <w:rPr>
                <w:rFonts w:ascii="Verdana" w:hAnsi="Verdana" w:cs="Arial"/>
              </w:rPr>
              <w:t>,</w:t>
            </w:r>
            <w:r w:rsidRPr="00B0161A">
              <w:rPr>
                <w:rFonts w:ascii="Verdana" w:hAnsi="Verdana" w:cs="Arial"/>
              </w:rPr>
              <w:t xml:space="preserve"> likely to require disclosure to the ESFA.  Additionally, on completion of the work of </w:t>
            </w:r>
            <w:proofErr w:type="gramStart"/>
            <w:r w:rsidRPr="00B0161A">
              <w:rPr>
                <w:rFonts w:ascii="Verdana" w:hAnsi="Verdana" w:cs="Arial"/>
              </w:rPr>
              <w:t>the  Internal</w:t>
            </w:r>
            <w:proofErr w:type="gramEnd"/>
            <w:r w:rsidRPr="00B0161A">
              <w:rPr>
                <w:rFonts w:ascii="Verdana" w:hAnsi="Verdana" w:cs="Arial"/>
              </w:rPr>
              <w:t xml:space="preserve"> Audit Service, and based on their further findings, the financial statements’ auditor will seek internal technical guidance on whether there are any implications for the regularity reporting accountant opinion and</w:t>
            </w:r>
            <w:r>
              <w:rPr>
                <w:rFonts w:ascii="Verdana" w:hAnsi="Verdana" w:cs="Arial"/>
              </w:rPr>
              <w:t>,</w:t>
            </w:r>
            <w:r w:rsidRPr="00B0161A">
              <w:rPr>
                <w:rFonts w:ascii="Verdana" w:hAnsi="Verdana" w:cs="Arial"/>
              </w:rPr>
              <w:t xml:space="preserve"> in liaison with management and </w:t>
            </w:r>
            <w:r>
              <w:rPr>
                <w:rFonts w:ascii="Verdana" w:hAnsi="Verdana" w:cs="Arial"/>
              </w:rPr>
              <w:t xml:space="preserve">the </w:t>
            </w:r>
            <w:r w:rsidRPr="00B0161A">
              <w:rPr>
                <w:rFonts w:ascii="Verdana" w:hAnsi="Verdana" w:cs="Arial"/>
              </w:rPr>
              <w:t>Audit Committee / Corporation</w:t>
            </w:r>
            <w:r>
              <w:rPr>
                <w:rFonts w:ascii="Verdana" w:hAnsi="Verdana" w:cs="Arial"/>
              </w:rPr>
              <w:t>,</w:t>
            </w:r>
            <w:r w:rsidRPr="00B0161A">
              <w:rPr>
                <w:rFonts w:ascii="Verdana" w:hAnsi="Verdana" w:cs="Arial"/>
              </w:rPr>
              <w:t xml:space="preserve"> on appropriate disclosure wording</w:t>
            </w:r>
            <w:r>
              <w:rPr>
                <w:rFonts w:ascii="Verdana" w:hAnsi="Verdana" w:cs="Arial"/>
              </w:rPr>
              <w:t xml:space="preserve"> to be included</w:t>
            </w:r>
            <w:r w:rsidRPr="00B0161A">
              <w:rPr>
                <w:rFonts w:ascii="Verdana" w:hAnsi="Verdana" w:cs="Arial"/>
              </w:rPr>
              <w:t xml:space="preserve"> in the Regularity Report and Strategic Report.</w:t>
            </w:r>
          </w:p>
          <w:p w14:paraId="1ACD5689" w14:textId="77777777" w:rsidR="00C8248B" w:rsidRPr="00634C2A" w:rsidRDefault="00C8248B" w:rsidP="00310DD9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</w:tr>
      <w:tr w:rsidR="00C8248B" w:rsidRPr="00E874B5" w14:paraId="25A31F19" w14:textId="77777777" w:rsidTr="009C5147">
        <w:tc>
          <w:tcPr>
            <w:tcW w:w="529" w:type="dxa"/>
          </w:tcPr>
          <w:p w14:paraId="3780E615" w14:textId="77777777" w:rsidR="00C8248B" w:rsidRDefault="00C8248B" w:rsidP="002D2153">
            <w:pPr>
              <w:pStyle w:val="NoSpacing"/>
              <w:rPr>
                <w:rFonts w:ascii="Verdana" w:hAnsi="Verdana"/>
                <w:b/>
              </w:rPr>
            </w:pPr>
          </w:p>
        </w:tc>
        <w:tc>
          <w:tcPr>
            <w:tcW w:w="8487" w:type="dxa"/>
          </w:tcPr>
          <w:p w14:paraId="4E82CB0A" w14:textId="6963C66F" w:rsidR="00C8248B" w:rsidRPr="00C8248B" w:rsidRDefault="00C8248B" w:rsidP="00C8248B">
            <w:pPr>
              <w:pStyle w:val="NoSpacing"/>
              <w:rPr>
                <w:rFonts w:ascii="Verdana" w:hAnsi="Verdana"/>
              </w:rPr>
            </w:pPr>
            <w:r w:rsidRPr="00B0161A">
              <w:rPr>
                <w:rFonts w:ascii="Verdana" w:hAnsi="Verdana"/>
              </w:rPr>
              <w:t xml:space="preserve">The audit work on the financial statements is now substantially complete and the financial statements’ auditor </w:t>
            </w:r>
            <w:r w:rsidRPr="00C8248B">
              <w:rPr>
                <w:rFonts w:ascii="Verdana" w:hAnsi="Verdana"/>
                <w:u w:val="single"/>
              </w:rPr>
              <w:t>anticipates</w:t>
            </w:r>
            <w:r w:rsidRPr="00B0161A">
              <w:rPr>
                <w:rFonts w:ascii="Verdana" w:hAnsi="Verdana"/>
              </w:rPr>
              <w:t xml:space="preserve"> issuing an unqualified audit opinion for the year ended 31 July 2021 for the College</w:t>
            </w:r>
            <w:r w:rsidR="001F4B07">
              <w:rPr>
                <w:rFonts w:ascii="Verdana" w:hAnsi="Verdana"/>
              </w:rPr>
              <w:t xml:space="preserve">, though </w:t>
            </w:r>
            <w:r>
              <w:rPr>
                <w:rFonts w:ascii="Verdana" w:hAnsi="Verdana"/>
              </w:rPr>
              <w:t>this remains subject to the above conclusions.</w:t>
            </w:r>
          </w:p>
          <w:p w14:paraId="67077F14" w14:textId="77777777" w:rsidR="00C8248B" w:rsidRPr="00766530" w:rsidRDefault="00C8248B" w:rsidP="00310DD9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</w:p>
        </w:tc>
      </w:tr>
      <w:tr w:rsidR="008D7829" w:rsidRPr="005678BD" w14:paraId="59BFEB5A" w14:textId="77777777" w:rsidTr="009C5147">
        <w:tc>
          <w:tcPr>
            <w:tcW w:w="529" w:type="dxa"/>
          </w:tcPr>
          <w:p w14:paraId="21908E9C" w14:textId="7B864DE1" w:rsidR="008D7829" w:rsidRPr="005678BD" w:rsidRDefault="008D7829" w:rsidP="002D2153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6</w:t>
            </w:r>
          </w:p>
        </w:tc>
        <w:tc>
          <w:tcPr>
            <w:tcW w:w="8487" w:type="dxa"/>
          </w:tcPr>
          <w:p w14:paraId="21EC2386" w14:textId="77777777" w:rsidR="008D7829" w:rsidRPr="00355333" w:rsidRDefault="008D7829" w:rsidP="008D7829">
            <w:pPr>
              <w:pStyle w:val="NoSpacing"/>
              <w:rPr>
                <w:rFonts w:ascii="Verdana" w:hAnsi="Verdana"/>
                <w:b/>
              </w:rPr>
            </w:pPr>
            <w:r w:rsidRPr="00355333">
              <w:rPr>
                <w:rFonts w:ascii="Verdana" w:hAnsi="Verdana"/>
                <w:b/>
              </w:rPr>
              <w:t>Draft Annual Report &amp; Financial Statements</w:t>
            </w:r>
            <w:r>
              <w:rPr>
                <w:rFonts w:ascii="Verdana" w:hAnsi="Verdana"/>
                <w:b/>
              </w:rPr>
              <w:t xml:space="preserve"> for the year ended 31 July 2021</w:t>
            </w:r>
          </w:p>
          <w:p w14:paraId="255C59DB" w14:textId="77777777" w:rsidR="008D7829" w:rsidRDefault="008D7829" w:rsidP="004C1BEA">
            <w:pPr>
              <w:pStyle w:val="NoSpacing"/>
              <w:rPr>
                <w:rFonts w:ascii="Verdana" w:hAnsi="Verdana"/>
                <w:b/>
                <w:bCs/>
              </w:rPr>
            </w:pPr>
          </w:p>
          <w:p w14:paraId="3FE5F4A3" w14:textId="557CB45C" w:rsidR="008D7829" w:rsidRPr="008D7829" w:rsidRDefault="008D7829" w:rsidP="004C1BEA">
            <w:pPr>
              <w:pStyle w:val="NoSpacing"/>
              <w:rPr>
                <w:rFonts w:ascii="Verdana" w:hAnsi="Verdana"/>
              </w:rPr>
            </w:pPr>
            <w:r w:rsidRPr="008D7829">
              <w:rPr>
                <w:rFonts w:ascii="Verdana" w:hAnsi="Verdana"/>
              </w:rPr>
              <w:t>The following documents were received and considered:</w:t>
            </w:r>
          </w:p>
          <w:p w14:paraId="7AB50232" w14:textId="77777777" w:rsidR="008D7829" w:rsidRPr="008D7829" w:rsidRDefault="008D7829" w:rsidP="004C1BEA">
            <w:pPr>
              <w:pStyle w:val="NoSpacing"/>
              <w:rPr>
                <w:rFonts w:ascii="Verdana" w:hAnsi="Verdana"/>
              </w:rPr>
            </w:pPr>
          </w:p>
          <w:p w14:paraId="1055E64C" w14:textId="748029F9" w:rsidR="008D7829" w:rsidRPr="008D7829" w:rsidRDefault="008D7829" w:rsidP="00310DD9">
            <w:pPr>
              <w:pStyle w:val="NoSpacing"/>
              <w:numPr>
                <w:ilvl w:val="0"/>
                <w:numId w:val="23"/>
              </w:numPr>
              <w:rPr>
                <w:rFonts w:ascii="Verdana" w:hAnsi="Verdana" w:cstheme="minorHAnsi"/>
                <w:bCs/>
                <w:i/>
                <w:iCs/>
              </w:rPr>
            </w:pPr>
            <w:r w:rsidRPr="008D7829">
              <w:rPr>
                <w:rFonts w:ascii="Verdana" w:hAnsi="Verdana" w:cstheme="minorHAnsi"/>
                <w:bCs/>
                <w:i/>
                <w:iCs/>
              </w:rPr>
              <w:t>The Annual Report and Financial Statements</w:t>
            </w:r>
          </w:p>
          <w:p w14:paraId="733A12E8" w14:textId="0D2D7A04" w:rsidR="008D7829" w:rsidRPr="008D7829" w:rsidRDefault="008D7829" w:rsidP="00310DD9">
            <w:pPr>
              <w:pStyle w:val="NoSpacing"/>
              <w:numPr>
                <w:ilvl w:val="0"/>
                <w:numId w:val="23"/>
              </w:numPr>
              <w:rPr>
                <w:rFonts w:ascii="Verdana" w:hAnsi="Verdana" w:cstheme="minorHAnsi"/>
                <w:bCs/>
                <w:i/>
                <w:iCs/>
              </w:rPr>
            </w:pPr>
            <w:r w:rsidRPr="008D7829">
              <w:rPr>
                <w:rFonts w:ascii="Verdana" w:hAnsi="Verdana" w:cstheme="minorHAnsi"/>
                <w:bCs/>
                <w:i/>
                <w:iCs/>
              </w:rPr>
              <w:t>The Letter of Representation</w:t>
            </w:r>
          </w:p>
          <w:p w14:paraId="2F276773" w14:textId="71B15170" w:rsidR="008D7829" w:rsidRPr="008D7829" w:rsidRDefault="008D7829" w:rsidP="00310DD9">
            <w:pPr>
              <w:pStyle w:val="NoSpacing"/>
              <w:numPr>
                <w:ilvl w:val="0"/>
                <w:numId w:val="23"/>
              </w:numPr>
              <w:rPr>
                <w:rFonts w:ascii="Verdana" w:hAnsi="Verdana" w:cstheme="minorHAnsi"/>
                <w:bCs/>
                <w:i/>
                <w:iCs/>
              </w:rPr>
            </w:pPr>
            <w:r w:rsidRPr="008D7829">
              <w:rPr>
                <w:rFonts w:ascii="Verdana" w:hAnsi="Verdana" w:cstheme="minorHAnsi"/>
                <w:bCs/>
                <w:i/>
                <w:iCs/>
              </w:rPr>
              <w:t>The Regularity Self</w:t>
            </w:r>
            <w:r>
              <w:rPr>
                <w:rFonts w:ascii="Verdana" w:hAnsi="Verdana" w:cstheme="minorHAnsi"/>
                <w:bCs/>
                <w:i/>
                <w:iCs/>
              </w:rPr>
              <w:t>-</w:t>
            </w:r>
            <w:r w:rsidRPr="008D7829">
              <w:rPr>
                <w:rFonts w:ascii="Verdana" w:hAnsi="Verdana" w:cstheme="minorHAnsi"/>
                <w:bCs/>
                <w:i/>
                <w:iCs/>
              </w:rPr>
              <w:t>Assessment Report</w:t>
            </w:r>
          </w:p>
          <w:p w14:paraId="763600DC" w14:textId="77777777" w:rsidR="008D7829" w:rsidRPr="008D7829" w:rsidRDefault="008D7829" w:rsidP="00310DD9">
            <w:pPr>
              <w:pStyle w:val="NoSpacing"/>
              <w:numPr>
                <w:ilvl w:val="0"/>
                <w:numId w:val="23"/>
              </w:numPr>
              <w:rPr>
                <w:rFonts w:ascii="Verdana" w:hAnsi="Verdana" w:cstheme="minorHAnsi"/>
                <w:bCs/>
                <w:i/>
                <w:iCs/>
              </w:rPr>
            </w:pPr>
            <w:r w:rsidRPr="008D7829">
              <w:rPr>
                <w:rFonts w:ascii="Verdana" w:hAnsi="Verdana" w:cstheme="minorHAnsi"/>
                <w:bCs/>
                <w:i/>
                <w:iCs/>
              </w:rPr>
              <w:t>The Accounting Estimates Paper</w:t>
            </w:r>
          </w:p>
          <w:p w14:paraId="10CBF056" w14:textId="77777777" w:rsidR="008D7829" w:rsidRDefault="008D7829" w:rsidP="008D7829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14:paraId="7B0CD0B6" w14:textId="55C82CE6" w:rsidR="008D7829" w:rsidRDefault="008D7829" w:rsidP="008D7829">
            <w:pPr>
              <w:rPr>
                <w:rFonts w:ascii="Verdana" w:hAnsi="Verdana"/>
              </w:rPr>
            </w:pPr>
            <w:r w:rsidRPr="008D7829">
              <w:rPr>
                <w:rFonts w:ascii="Verdana" w:hAnsi="Verdana"/>
              </w:rPr>
              <w:t>It was noted that the papers had been prepared on the basis that the matter under investigation by the internal audit service will report that there is not a systemic</w:t>
            </w:r>
            <w:r w:rsidR="008850E3">
              <w:rPr>
                <w:rFonts w:ascii="Verdana" w:hAnsi="Verdana"/>
              </w:rPr>
              <w:t xml:space="preserve"> control</w:t>
            </w:r>
            <w:r w:rsidRPr="008D7829">
              <w:rPr>
                <w:rFonts w:ascii="Verdana" w:hAnsi="Verdana"/>
              </w:rPr>
              <w:t xml:space="preserve"> issue.  If this is not the case</w:t>
            </w:r>
            <w:r w:rsidR="008850E3">
              <w:rPr>
                <w:rFonts w:ascii="Verdana" w:hAnsi="Verdana"/>
              </w:rPr>
              <w:t>,</w:t>
            </w:r>
            <w:r w:rsidRPr="008D7829">
              <w:rPr>
                <w:rFonts w:ascii="Verdana" w:hAnsi="Verdana"/>
              </w:rPr>
              <w:t xml:space="preserve"> they will be amended.</w:t>
            </w:r>
          </w:p>
          <w:p w14:paraId="7B6F4FDD" w14:textId="7857C918" w:rsidR="00310DD9" w:rsidRDefault="00310DD9" w:rsidP="008D7829">
            <w:pPr>
              <w:rPr>
                <w:rFonts w:ascii="Verdana" w:hAnsi="Verdana"/>
              </w:rPr>
            </w:pPr>
          </w:p>
          <w:p w14:paraId="2DFA7F28" w14:textId="53064C47" w:rsidR="00310DD9" w:rsidRDefault="00310DD9" w:rsidP="00310DD9">
            <w:pPr>
              <w:pStyle w:val="NoSpacing"/>
              <w:rPr>
                <w:rFonts w:ascii="Verdana" w:hAnsi="Verdana"/>
              </w:rPr>
            </w:pPr>
            <w:r w:rsidRPr="001F4B07">
              <w:rPr>
                <w:rFonts w:ascii="Verdana" w:hAnsi="Verdana"/>
              </w:rPr>
              <w:t xml:space="preserve">It was agreed that the Internal Auditors will confirm their investigation by December 6. </w:t>
            </w:r>
            <w:r w:rsidR="001F4B07" w:rsidRPr="001F4B07">
              <w:rPr>
                <w:rFonts w:ascii="Verdana" w:hAnsi="Verdana"/>
              </w:rPr>
              <w:t xml:space="preserve"> </w:t>
            </w:r>
            <w:r w:rsidRPr="001F4B07">
              <w:rPr>
                <w:rFonts w:ascii="Verdana" w:hAnsi="Verdana"/>
              </w:rPr>
              <w:t xml:space="preserve">Following the completion of that document </w:t>
            </w:r>
            <w:r w:rsidR="00C8248B" w:rsidRPr="001F4B07">
              <w:rPr>
                <w:rFonts w:ascii="Verdana" w:hAnsi="Verdana"/>
              </w:rPr>
              <w:t>all documents relating to this agenda</w:t>
            </w:r>
            <w:r w:rsidRPr="001F4B07">
              <w:rPr>
                <w:rFonts w:ascii="Verdana" w:hAnsi="Verdana"/>
              </w:rPr>
              <w:t xml:space="preserve"> will be updated by the College</w:t>
            </w:r>
            <w:r w:rsidR="00C8248B" w:rsidRPr="001F4B07">
              <w:rPr>
                <w:rFonts w:ascii="Verdana" w:hAnsi="Verdana"/>
              </w:rPr>
              <w:t xml:space="preserve">. </w:t>
            </w:r>
            <w:r w:rsidR="001F4B07" w:rsidRPr="001F4B07">
              <w:rPr>
                <w:rFonts w:ascii="Verdana" w:hAnsi="Verdana"/>
              </w:rPr>
              <w:t xml:space="preserve"> </w:t>
            </w:r>
            <w:r w:rsidR="00BC0065" w:rsidRPr="001F4B07">
              <w:rPr>
                <w:rFonts w:ascii="Verdana" w:hAnsi="Verdana"/>
              </w:rPr>
              <w:t>Once amended</w:t>
            </w:r>
            <w:r w:rsidR="001F4B07" w:rsidRPr="001F4B07">
              <w:rPr>
                <w:rFonts w:ascii="Verdana" w:hAnsi="Verdana"/>
              </w:rPr>
              <w:t>,</w:t>
            </w:r>
            <w:r w:rsidR="001F4B07">
              <w:rPr>
                <w:rFonts w:ascii="Verdana" w:hAnsi="Verdana"/>
              </w:rPr>
              <w:t xml:space="preserve"> </w:t>
            </w:r>
            <w:r w:rsidR="00BC0065" w:rsidRPr="001F4B07">
              <w:rPr>
                <w:rFonts w:ascii="Verdana" w:hAnsi="Verdana"/>
              </w:rPr>
              <w:t xml:space="preserve">they </w:t>
            </w:r>
            <w:r w:rsidRPr="001F4B07">
              <w:rPr>
                <w:rFonts w:ascii="Verdana" w:hAnsi="Verdana"/>
              </w:rPr>
              <w:t>will be received and approved by the Corporation at the meeting to be held on 14 December 2021.</w:t>
            </w:r>
            <w:r w:rsidR="001F4B07" w:rsidRPr="001F4B07">
              <w:rPr>
                <w:rFonts w:ascii="Verdana" w:hAnsi="Verdana"/>
              </w:rPr>
              <w:t xml:space="preserve"> </w:t>
            </w:r>
            <w:r w:rsidRPr="001F4B07">
              <w:rPr>
                <w:rFonts w:ascii="Verdana" w:hAnsi="Verdana"/>
              </w:rPr>
              <w:t xml:space="preserve"> It will be decided at that meeting if the letter should be signed by the Acting Chair of the Corporation. </w:t>
            </w:r>
          </w:p>
          <w:p w14:paraId="5A41A9DE" w14:textId="241E9C5E" w:rsidR="008D7829" w:rsidRDefault="008D7829" w:rsidP="008D7829">
            <w:pPr>
              <w:rPr>
                <w:rFonts w:ascii="Verdana" w:hAnsi="Verdana"/>
              </w:rPr>
            </w:pPr>
          </w:p>
          <w:p w14:paraId="2F3A881E" w14:textId="52E4BAC8" w:rsidR="008850E3" w:rsidRDefault="008850E3" w:rsidP="008850E3">
            <w:pPr>
              <w:pStyle w:val="NoSpacing"/>
              <w:rPr>
                <w:rFonts w:ascii="Verdana" w:hAnsi="Verdana"/>
              </w:rPr>
            </w:pPr>
            <w:r w:rsidRPr="008850E3">
              <w:rPr>
                <w:rFonts w:ascii="Verdana" w:hAnsi="Verdana"/>
              </w:rPr>
              <w:t>The draft financial statements in the prescribed format were received and considered. They were noted and recommended for approval by the Corporation,</w:t>
            </w:r>
            <w:r w:rsidRPr="008850E3">
              <w:rPr>
                <w:rFonts w:ascii="Verdana" w:hAnsi="Verdana" w:cstheme="minorHAnsi"/>
                <w:bCs/>
              </w:rPr>
              <w:t xml:space="preserve"> subject to the potential changes</w:t>
            </w:r>
            <w:r w:rsidRPr="008850E3">
              <w:rPr>
                <w:rFonts w:ascii="Verdana" w:hAnsi="Verdana"/>
              </w:rPr>
              <w:t>.</w:t>
            </w:r>
          </w:p>
          <w:p w14:paraId="41BBB949" w14:textId="692D77B2" w:rsidR="008D7829" w:rsidRPr="008D7829" w:rsidRDefault="008D7829" w:rsidP="00310DD9">
            <w:pPr>
              <w:pStyle w:val="NoSpacing"/>
              <w:rPr>
                <w:rFonts w:ascii="Verdana" w:hAnsi="Verdana"/>
              </w:rPr>
            </w:pPr>
          </w:p>
        </w:tc>
      </w:tr>
      <w:tr w:rsidR="004C1BEA" w:rsidRPr="005678BD" w14:paraId="06D196AE" w14:textId="77777777" w:rsidTr="009C5147">
        <w:tc>
          <w:tcPr>
            <w:tcW w:w="529" w:type="dxa"/>
          </w:tcPr>
          <w:p w14:paraId="622C4156" w14:textId="25058B03" w:rsidR="004C1BEA" w:rsidRPr="005678BD" w:rsidRDefault="004E715A" w:rsidP="002D2153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7</w:t>
            </w:r>
          </w:p>
        </w:tc>
        <w:tc>
          <w:tcPr>
            <w:tcW w:w="8487" w:type="dxa"/>
          </w:tcPr>
          <w:p w14:paraId="243CFA8A" w14:textId="77777777" w:rsidR="004C1BEA" w:rsidRPr="005678BD" w:rsidRDefault="004C1BEA" w:rsidP="004C1BEA">
            <w:pPr>
              <w:pStyle w:val="NoSpacing"/>
              <w:rPr>
                <w:rFonts w:ascii="Verdana" w:hAnsi="Verdana"/>
                <w:b/>
                <w:bCs/>
              </w:rPr>
            </w:pPr>
            <w:r w:rsidRPr="005678BD">
              <w:rPr>
                <w:rFonts w:ascii="Verdana" w:hAnsi="Verdana"/>
                <w:b/>
                <w:bCs/>
              </w:rPr>
              <w:t>Reports from Other Committees on the Monitoring of Risk</w:t>
            </w:r>
          </w:p>
          <w:p w14:paraId="242F3D7C" w14:textId="77777777" w:rsidR="004C1BEA" w:rsidRPr="005678BD" w:rsidRDefault="004C1BEA" w:rsidP="004C1BEA">
            <w:pPr>
              <w:pStyle w:val="NoSpacing"/>
              <w:rPr>
                <w:rFonts w:ascii="Verdana" w:hAnsi="Verdana"/>
                <w:b/>
              </w:rPr>
            </w:pPr>
          </w:p>
          <w:p w14:paraId="331BB2AE" w14:textId="4BA2CE72" w:rsidR="004C1BEA" w:rsidRDefault="004C1BEA" w:rsidP="004C1BEA">
            <w:pPr>
              <w:pStyle w:val="NoSpacing"/>
              <w:rPr>
                <w:rFonts w:ascii="Verdana" w:hAnsi="Verdana"/>
              </w:rPr>
            </w:pPr>
            <w:r w:rsidRPr="005678BD">
              <w:rPr>
                <w:rFonts w:ascii="Verdana" w:hAnsi="Verdana"/>
              </w:rPr>
              <w:t xml:space="preserve">Minutes of the monitoring of board level risks by other committees were received for information. </w:t>
            </w:r>
            <w:r w:rsidR="0096036D">
              <w:rPr>
                <w:rFonts w:ascii="Verdana" w:hAnsi="Verdana"/>
              </w:rPr>
              <w:t xml:space="preserve"> </w:t>
            </w:r>
            <w:r w:rsidRPr="005678BD">
              <w:rPr>
                <w:rFonts w:ascii="Verdana" w:hAnsi="Verdana"/>
              </w:rPr>
              <w:t>The Audit Committee was satisfied with the approach taken by each Committee.</w:t>
            </w:r>
          </w:p>
          <w:p w14:paraId="3FD6D3B7" w14:textId="2F84E754" w:rsidR="00BC0065" w:rsidRDefault="00BC0065" w:rsidP="004C1BEA">
            <w:pPr>
              <w:pStyle w:val="NoSpacing"/>
              <w:rPr>
                <w:rFonts w:ascii="Verdana" w:hAnsi="Verdana"/>
              </w:rPr>
            </w:pPr>
          </w:p>
          <w:p w14:paraId="18AB3ECF" w14:textId="01AC04E2" w:rsidR="00BC0065" w:rsidRPr="005678BD" w:rsidRDefault="00BC0065" w:rsidP="004C1BEA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It was recommended that T-Levels </w:t>
            </w:r>
            <w:r w:rsidR="001F4B07">
              <w:rPr>
                <w:rFonts w:ascii="Verdana" w:hAnsi="Verdana"/>
              </w:rPr>
              <w:t xml:space="preserve">henceforth </w:t>
            </w:r>
            <w:r>
              <w:rPr>
                <w:rFonts w:ascii="Verdana" w:hAnsi="Verdana"/>
              </w:rPr>
              <w:t xml:space="preserve">be monitored by </w:t>
            </w:r>
            <w:r w:rsidR="001F4B07">
              <w:rPr>
                <w:rFonts w:ascii="Verdana" w:hAnsi="Verdana"/>
              </w:rPr>
              <w:t>the Quality &amp; Performance</w:t>
            </w:r>
            <w:r>
              <w:rPr>
                <w:rFonts w:ascii="Verdana" w:hAnsi="Verdana"/>
              </w:rPr>
              <w:t xml:space="preserve"> </w:t>
            </w:r>
            <w:r w:rsidR="001F4B07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 xml:space="preserve">ommittee </w:t>
            </w:r>
            <w:r w:rsidR="001F4B07">
              <w:rPr>
                <w:rFonts w:ascii="Verdana" w:hAnsi="Verdana"/>
              </w:rPr>
              <w:t>(see Minute</w:t>
            </w:r>
            <w:r>
              <w:rPr>
                <w:rFonts w:ascii="Verdana" w:hAnsi="Verdana"/>
              </w:rPr>
              <w:t xml:space="preserve"> 8</w:t>
            </w:r>
            <w:r w:rsidR="001F4B07">
              <w:rPr>
                <w:rFonts w:ascii="Verdana" w:hAnsi="Verdana"/>
              </w:rPr>
              <w:t xml:space="preserve"> below)</w:t>
            </w:r>
            <w:r>
              <w:rPr>
                <w:rFonts w:ascii="Verdana" w:hAnsi="Verdana"/>
              </w:rPr>
              <w:t>.</w:t>
            </w:r>
          </w:p>
          <w:p w14:paraId="20B26D8C" w14:textId="77777777" w:rsidR="0096036D" w:rsidRDefault="0096036D" w:rsidP="00285AE5">
            <w:pPr>
              <w:pStyle w:val="NoSpacing"/>
              <w:rPr>
                <w:rFonts w:ascii="Verdana" w:hAnsi="Verdana"/>
              </w:rPr>
            </w:pPr>
          </w:p>
          <w:p w14:paraId="56D364DF" w14:textId="19DF259B" w:rsidR="00D95115" w:rsidRPr="00285AE5" w:rsidRDefault="00D95115" w:rsidP="00285AE5">
            <w:pPr>
              <w:pStyle w:val="NoSpacing"/>
              <w:rPr>
                <w:rFonts w:ascii="Verdana" w:hAnsi="Verdana"/>
              </w:rPr>
            </w:pPr>
          </w:p>
        </w:tc>
      </w:tr>
      <w:tr w:rsidR="004E715A" w:rsidRPr="004B3234" w14:paraId="48A0B81F" w14:textId="77777777" w:rsidTr="009C5147">
        <w:tc>
          <w:tcPr>
            <w:tcW w:w="529" w:type="dxa"/>
          </w:tcPr>
          <w:p w14:paraId="00FDF2B9" w14:textId="58C4495A" w:rsidR="004E715A" w:rsidRPr="004B3234" w:rsidRDefault="004E715A" w:rsidP="002D2153">
            <w:pPr>
              <w:pStyle w:val="NoSpacing"/>
              <w:rPr>
                <w:rFonts w:ascii="Verdana" w:hAnsi="Verdana"/>
                <w:b/>
              </w:rPr>
            </w:pPr>
            <w:r w:rsidRPr="004B3234">
              <w:rPr>
                <w:rFonts w:ascii="Verdana" w:hAnsi="Verdana"/>
                <w:b/>
              </w:rPr>
              <w:lastRenderedPageBreak/>
              <w:t>8</w:t>
            </w:r>
          </w:p>
        </w:tc>
        <w:tc>
          <w:tcPr>
            <w:tcW w:w="8487" w:type="dxa"/>
          </w:tcPr>
          <w:p w14:paraId="75FD388E" w14:textId="77777777" w:rsidR="004E715A" w:rsidRPr="004B3234" w:rsidRDefault="004E715A" w:rsidP="004E715A">
            <w:pPr>
              <w:pStyle w:val="NoSpacing"/>
              <w:rPr>
                <w:rFonts w:ascii="Verdana" w:hAnsi="Verdana"/>
                <w:b/>
              </w:rPr>
            </w:pPr>
            <w:r w:rsidRPr="004B3234">
              <w:rPr>
                <w:rFonts w:ascii="Verdana" w:hAnsi="Verdana"/>
                <w:b/>
              </w:rPr>
              <w:t>Risk Management Report: Autumn Term 2021-22</w:t>
            </w:r>
          </w:p>
          <w:p w14:paraId="2882DB79" w14:textId="77777777" w:rsidR="004E715A" w:rsidRPr="004B3234" w:rsidRDefault="004E715A" w:rsidP="004C1BEA">
            <w:pPr>
              <w:pStyle w:val="NoSpacing"/>
              <w:rPr>
                <w:rFonts w:ascii="Verdana" w:hAnsi="Verdana"/>
                <w:b/>
                <w:bCs/>
              </w:rPr>
            </w:pPr>
          </w:p>
          <w:p w14:paraId="529C4246" w14:textId="11618C24" w:rsidR="004E715A" w:rsidRPr="004B3234" w:rsidRDefault="004E715A" w:rsidP="004C1BEA">
            <w:pPr>
              <w:pStyle w:val="NoSpacing"/>
              <w:rPr>
                <w:rFonts w:ascii="Verdana" w:hAnsi="Verdana"/>
              </w:rPr>
            </w:pPr>
            <w:r w:rsidRPr="004B3234">
              <w:rPr>
                <w:rFonts w:ascii="Verdana" w:hAnsi="Verdana"/>
              </w:rPr>
              <w:t>A report prepared by the Senior Director: Finance and Resources</w:t>
            </w:r>
            <w:r w:rsidR="004B3234" w:rsidRPr="004B3234">
              <w:rPr>
                <w:rFonts w:ascii="Verdana" w:hAnsi="Verdana"/>
              </w:rPr>
              <w:t xml:space="preserve">, together with the College’s </w:t>
            </w:r>
            <w:r w:rsidR="004B3234" w:rsidRPr="004B3234">
              <w:rPr>
                <w:rFonts w:ascii="Verdana" w:hAnsi="Verdana" w:cstheme="minorHAnsi"/>
                <w:bCs/>
              </w:rPr>
              <w:t>revised COVID 19 plan</w:t>
            </w:r>
            <w:r w:rsidR="004B3234">
              <w:rPr>
                <w:rFonts w:ascii="Verdana" w:hAnsi="Verdana" w:cstheme="minorHAnsi"/>
                <w:bCs/>
              </w:rPr>
              <w:t xml:space="preserve"> (dated August 2021),</w:t>
            </w:r>
            <w:r w:rsidRPr="004B3234">
              <w:rPr>
                <w:rFonts w:ascii="Verdana" w:hAnsi="Verdana"/>
              </w:rPr>
              <w:t xml:space="preserve"> was received and considered.</w:t>
            </w:r>
          </w:p>
          <w:p w14:paraId="616F8F87" w14:textId="77777777" w:rsidR="004E715A" w:rsidRPr="004B3234" w:rsidRDefault="004E715A" w:rsidP="004C1BEA">
            <w:pPr>
              <w:pStyle w:val="NoSpacing"/>
              <w:rPr>
                <w:rFonts w:ascii="Verdana" w:hAnsi="Verdana"/>
              </w:rPr>
            </w:pPr>
          </w:p>
          <w:p w14:paraId="0CEF63AE" w14:textId="66EE3A97" w:rsidR="004B3234" w:rsidRPr="001F4B07" w:rsidRDefault="004C0F1C" w:rsidP="004C1BEA">
            <w:pPr>
              <w:pStyle w:val="NoSpacing"/>
              <w:rPr>
                <w:rFonts w:ascii="Verdana" w:hAnsi="Verdana"/>
              </w:rPr>
            </w:pPr>
            <w:r w:rsidRPr="001F4B07">
              <w:rPr>
                <w:rFonts w:ascii="Verdana" w:hAnsi="Verdana"/>
              </w:rPr>
              <w:t xml:space="preserve">It was noted that T-Levels have not been included on the board level risks in line with the discussion at the previous audit committee meeting. </w:t>
            </w:r>
            <w:r w:rsidR="00D95115">
              <w:rPr>
                <w:rFonts w:ascii="Verdana" w:hAnsi="Verdana"/>
              </w:rPr>
              <w:t xml:space="preserve"> </w:t>
            </w:r>
            <w:r w:rsidRPr="001F4B07">
              <w:rPr>
                <w:rFonts w:ascii="Verdana" w:hAnsi="Verdana"/>
              </w:rPr>
              <w:t xml:space="preserve">It was suggested by the Committee that T-Levels are included as standing </w:t>
            </w:r>
            <w:r w:rsidR="001F4B07" w:rsidRPr="001F4B07">
              <w:rPr>
                <w:rFonts w:ascii="Verdana" w:hAnsi="Verdana"/>
              </w:rPr>
              <w:t xml:space="preserve">business </w:t>
            </w:r>
            <w:r w:rsidRPr="001F4B07">
              <w:rPr>
                <w:rFonts w:ascii="Verdana" w:hAnsi="Verdana"/>
              </w:rPr>
              <w:t>on the agenda for the Q</w:t>
            </w:r>
            <w:r w:rsidR="001F4B07" w:rsidRPr="001F4B07">
              <w:rPr>
                <w:rFonts w:ascii="Verdana" w:hAnsi="Verdana"/>
              </w:rPr>
              <w:t xml:space="preserve">uality and </w:t>
            </w:r>
            <w:r w:rsidRPr="001F4B07">
              <w:rPr>
                <w:rFonts w:ascii="Verdana" w:hAnsi="Verdana"/>
              </w:rPr>
              <w:t>P</w:t>
            </w:r>
            <w:r w:rsidR="001F4B07" w:rsidRPr="001F4B07">
              <w:rPr>
                <w:rFonts w:ascii="Verdana" w:hAnsi="Verdana"/>
              </w:rPr>
              <w:t>erformance</w:t>
            </w:r>
            <w:r w:rsidRPr="001F4B07">
              <w:rPr>
                <w:rFonts w:ascii="Verdana" w:hAnsi="Verdana"/>
              </w:rPr>
              <w:t xml:space="preserve"> </w:t>
            </w:r>
            <w:r w:rsidR="001F4B07" w:rsidRPr="001F4B07">
              <w:rPr>
                <w:rFonts w:ascii="Verdana" w:hAnsi="Verdana"/>
              </w:rPr>
              <w:t>C</w:t>
            </w:r>
            <w:r w:rsidRPr="001F4B07">
              <w:rPr>
                <w:rFonts w:ascii="Verdana" w:hAnsi="Verdana"/>
              </w:rPr>
              <w:t>ommittee who can monitor the College’s preparation for th</w:t>
            </w:r>
            <w:r w:rsidR="001F4B07" w:rsidRPr="001F4B07">
              <w:rPr>
                <w:rFonts w:ascii="Verdana" w:hAnsi="Verdana"/>
              </w:rPr>
              <w:t>eir introduction</w:t>
            </w:r>
            <w:r w:rsidRPr="001F4B07">
              <w:rPr>
                <w:rFonts w:ascii="Verdana" w:hAnsi="Verdana"/>
              </w:rPr>
              <w:t xml:space="preserve"> and report back to Audit </w:t>
            </w:r>
            <w:r w:rsidR="001F4B07" w:rsidRPr="001F4B07">
              <w:rPr>
                <w:rFonts w:ascii="Verdana" w:hAnsi="Verdana"/>
              </w:rPr>
              <w:t>C</w:t>
            </w:r>
            <w:r w:rsidRPr="001F4B07">
              <w:rPr>
                <w:rFonts w:ascii="Verdana" w:hAnsi="Verdana"/>
              </w:rPr>
              <w:t xml:space="preserve">ommittee. </w:t>
            </w:r>
          </w:p>
          <w:p w14:paraId="55994056" w14:textId="7345FC67" w:rsidR="004C0F1C" w:rsidRPr="001F4B07" w:rsidRDefault="004C0F1C" w:rsidP="004C1BEA">
            <w:pPr>
              <w:pStyle w:val="NoSpacing"/>
              <w:rPr>
                <w:rFonts w:ascii="Verdana" w:hAnsi="Verdana"/>
              </w:rPr>
            </w:pPr>
          </w:p>
          <w:p w14:paraId="5EF10177" w14:textId="3B091819" w:rsidR="004C0F1C" w:rsidRDefault="004C0F1C" w:rsidP="004C1BEA">
            <w:pPr>
              <w:pStyle w:val="NoSpacing"/>
              <w:rPr>
                <w:rFonts w:ascii="Verdana" w:hAnsi="Verdana"/>
              </w:rPr>
            </w:pPr>
            <w:r w:rsidRPr="001F4B07">
              <w:rPr>
                <w:rFonts w:ascii="Verdana" w:hAnsi="Verdana"/>
              </w:rPr>
              <w:t>Sara</w:t>
            </w:r>
            <w:r w:rsidR="00D95115">
              <w:rPr>
                <w:rFonts w:ascii="Verdana" w:hAnsi="Verdana"/>
              </w:rPr>
              <w:t xml:space="preserve"> Whittaker</w:t>
            </w:r>
            <w:r w:rsidRPr="001F4B07">
              <w:rPr>
                <w:rFonts w:ascii="Verdana" w:hAnsi="Verdana"/>
              </w:rPr>
              <w:t xml:space="preserve"> raised a question on the target rating for financial health which is a 3 while the impact score is also a 3. It was noted that the Risk </w:t>
            </w:r>
            <w:r w:rsidR="001F4B07" w:rsidRPr="001F4B07">
              <w:rPr>
                <w:rFonts w:ascii="Verdana" w:hAnsi="Verdana"/>
              </w:rPr>
              <w:t>C</w:t>
            </w:r>
            <w:r w:rsidRPr="001F4B07">
              <w:rPr>
                <w:rFonts w:ascii="Verdana" w:hAnsi="Verdana"/>
              </w:rPr>
              <w:t xml:space="preserve">ommittee will review this and amend the target score </w:t>
            </w:r>
            <w:proofErr w:type="gramStart"/>
            <w:r w:rsidRPr="001F4B07">
              <w:rPr>
                <w:rFonts w:ascii="Verdana" w:hAnsi="Verdana"/>
              </w:rPr>
              <w:t>in light of the fact that</w:t>
            </w:r>
            <w:proofErr w:type="gramEnd"/>
            <w:r w:rsidRPr="001F4B07">
              <w:rPr>
                <w:rFonts w:ascii="Verdana" w:hAnsi="Verdana"/>
              </w:rPr>
              <w:t xml:space="preserve"> the target score is not achievable given the impact score.</w:t>
            </w:r>
            <w:r>
              <w:rPr>
                <w:rFonts w:ascii="Verdana" w:hAnsi="Verdana"/>
              </w:rPr>
              <w:t xml:space="preserve">  </w:t>
            </w:r>
          </w:p>
          <w:p w14:paraId="29554E11" w14:textId="0E772C69" w:rsidR="004B3234" w:rsidRPr="004B3234" w:rsidRDefault="004B3234" w:rsidP="004C1BEA">
            <w:pPr>
              <w:pStyle w:val="NoSpacing"/>
              <w:rPr>
                <w:rFonts w:ascii="Verdana" w:hAnsi="Verdana"/>
              </w:rPr>
            </w:pPr>
          </w:p>
        </w:tc>
      </w:tr>
      <w:tr w:rsidR="004B3234" w:rsidRPr="004B3234" w14:paraId="34CB66F0" w14:textId="77777777" w:rsidTr="009C5147">
        <w:tc>
          <w:tcPr>
            <w:tcW w:w="529" w:type="dxa"/>
          </w:tcPr>
          <w:p w14:paraId="6D625836" w14:textId="7A38DE20" w:rsidR="004B3234" w:rsidRPr="004B3234" w:rsidRDefault="004B3234" w:rsidP="002D2153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9</w:t>
            </w:r>
          </w:p>
        </w:tc>
        <w:tc>
          <w:tcPr>
            <w:tcW w:w="8487" w:type="dxa"/>
          </w:tcPr>
          <w:p w14:paraId="72B72460" w14:textId="77777777" w:rsidR="004B3234" w:rsidRPr="001031D9" w:rsidRDefault="004B3234" w:rsidP="004B3234">
            <w:pPr>
              <w:pStyle w:val="NoSpacing"/>
              <w:rPr>
                <w:rFonts w:ascii="Verdana" w:hAnsi="Verdana"/>
                <w:b/>
              </w:rPr>
            </w:pPr>
            <w:r w:rsidRPr="001031D9">
              <w:rPr>
                <w:rFonts w:ascii="Verdana" w:hAnsi="Verdana"/>
                <w:b/>
              </w:rPr>
              <w:t xml:space="preserve">Opportunity for Members to Meet the </w:t>
            </w:r>
            <w:r>
              <w:rPr>
                <w:rFonts w:ascii="Verdana" w:hAnsi="Verdana"/>
                <w:b/>
              </w:rPr>
              <w:t xml:space="preserve">External </w:t>
            </w:r>
            <w:r w:rsidRPr="001031D9">
              <w:rPr>
                <w:rFonts w:ascii="Verdana" w:hAnsi="Verdana"/>
                <w:b/>
              </w:rPr>
              <w:t>Auditors in the Absence of College Officers</w:t>
            </w:r>
          </w:p>
          <w:p w14:paraId="31295118" w14:textId="77777777" w:rsidR="004B3234" w:rsidRDefault="004B3234" w:rsidP="004E715A">
            <w:pPr>
              <w:pStyle w:val="NoSpacing"/>
              <w:rPr>
                <w:rFonts w:ascii="Verdana" w:hAnsi="Verdana"/>
                <w:b/>
              </w:rPr>
            </w:pPr>
          </w:p>
          <w:p w14:paraId="6995EA82" w14:textId="4051F954" w:rsidR="004C0F1C" w:rsidRPr="004C0F1C" w:rsidRDefault="004C0F1C" w:rsidP="004E715A">
            <w:pPr>
              <w:pStyle w:val="NoSpacing"/>
              <w:rPr>
                <w:rFonts w:ascii="Verdana" w:hAnsi="Verdana"/>
                <w:bCs/>
              </w:rPr>
            </w:pPr>
            <w:r w:rsidRPr="001F4B07">
              <w:rPr>
                <w:rFonts w:ascii="Verdana" w:hAnsi="Verdana"/>
                <w:bCs/>
              </w:rPr>
              <w:t>It was noted that from the next meeting this item will be amended to include the Internal Auditors as well.</w:t>
            </w:r>
            <w:r>
              <w:rPr>
                <w:rFonts w:ascii="Verdana" w:hAnsi="Verdana"/>
                <w:bCs/>
              </w:rPr>
              <w:t xml:space="preserve"> </w:t>
            </w:r>
          </w:p>
          <w:p w14:paraId="70DEF78A" w14:textId="1918DAFD" w:rsidR="004C0F1C" w:rsidRPr="004B3234" w:rsidRDefault="004C0F1C" w:rsidP="004E715A">
            <w:pPr>
              <w:pStyle w:val="NoSpacing"/>
              <w:rPr>
                <w:rFonts w:ascii="Verdana" w:hAnsi="Verdana"/>
                <w:b/>
              </w:rPr>
            </w:pPr>
          </w:p>
        </w:tc>
      </w:tr>
      <w:tr w:rsidR="004B3234" w:rsidRPr="004B3234" w14:paraId="2AEAC72F" w14:textId="77777777" w:rsidTr="009C5147">
        <w:tc>
          <w:tcPr>
            <w:tcW w:w="529" w:type="dxa"/>
          </w:tcPr>
          <w:p w14:paraId="4048B575" w14:textId="628EF7B1" w:rsidR="004B3234" w:rsidRDefault="004B3234" w:rsidP="002D2153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10</w:t>
            </w:r>
          </w:p>
        </w:tc>
        <w:tc>
          <w:tcPr>
            <w:tcW w:w="8487" w:type="dxa"/>
          </w:tcPr>
          <w:p w14:paraId="66AE6D79" w14:textId="77777777" w:rsidR="004B3234" w:rsidRDefault="004B3234" w:rsidP="004B3234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ESFA Letter to Chief Accounting Officers</w:t>
            </w:r>
          </w:p>
          <w:p w14:paraId="7F9EE877" w14:textId="77777777" w:rsidR="004B3234" w:rsidRDefault="004B3234" w:rsidP="004B3234">
            <w:pPr>
              <w:pStyle w:val="NoSpacing"/>
              <w:rPr>
                <w:rFonts w:ascii="Verdana" w:hAnsi="Verdana"/>
                <w:b/>
              </w:rPr>
            </w:pPr>
          </w:p>
          <w:p w14:paraId="4887AFB1" w14:textId="77777777" w:rsidR="004B3234" w:rsidRPr="007F0661" w:rsidRDefault="004B3234" w:rsidP="004B3234">
            <w:pPr>
              <w:pStyle w:val="NoSpacing"/>
              <w:rPr>
                <w:rFonts w:ascii="Verdana" w:hAnsi="Verdana"/>
                <w:bCs/>
              </w:rPr>
            </w:pPr>
            <w:r w:rsidRPr="007F0661">
              <w:rPr>
                <w:rFonts w:ascii="Verdana" w:hAnsi="Verdana"/>
                <w:bCs/>
              </w:rPr>
              <w:t>The letter was received and noted.</w:t>
            </w:r>
          </w:p>
          <w:p w14:paraId="40662D75" w14:textId="711FD2B4" w:rsidR="007F0661" w:rsidRPr="001031D9" w:rsidRDefault="007F0661" w:rsidP="004C0F1C">
            <w:pPr>
              <w:pStyle w:val="NoSpacing"/>
              <w:rPr>
                <w:rFonts w:ascii="Verdana" w:hAnsi="Verdana"/>
                <w:b/>
              </w:rPr>
            </w:pPr>
          </w:p>
        </w:tc>
      </w:tr>
      <w:tr w:rsidR="007F0661" w:rsidRPr="004B3234" w14:paraId="564BFF26" w14:textId="77777777" w:rsidTr="009C5147">
        <w:tc>
          <w:tcPr>
            <w:tcW w:w="529" w:type="dxa"/>
          </w:tcPr>
          <w:p w14:paraId="49693FCF" w14:textId="4ED148DB" w:rsidR="007F0661" w:rsidRDefault="007F0661" w:rsidP="002D2153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11</w:t>
            </w:r>
          </w:p>
        </w:tc>
        <w:tc>
          <w:tcPr>
            <w:tcW w:w="8487" w:type="dxa"/>
          </w:tcPr>
          <w:p w14:paraId="5E948177" w14:textId="77777777" w:rsidR="007F0661" w:rsidRDefault="007F0661" w:rsidP="007F0661">
            <w:pPr>
              <w:pStyle w:val="NoSpacing"/>
              <w:rPr>
                <w:rFonts w:ascii="Verdana" w:hAnsi="Verdana"/>
                <w:b/>
                <w:bCs/>
              </w:rPr>
            </w:pPr>
            <w:r w:rsidRPr="002F0B57">
              <w:rPr>
                <w:rFonts w:ascii="Verdana" w:hAnsi="Verdana"/>
                <w:b/>
                <w:bCs/>
              </w:rPr>
              <w:t xml:space="preserve">Schedule of Implementation of </w:t>
            </w:r>
            <w:r>
              <w:rPr>
                <w:rFonts w:ascii="Verdana" w:hAnsi="Verdana"/>
                <w:b/>
                <w:bCs/>
              </w:rPr>
              <w:t>Outstanding In</w:t>
            </w:r>
            <w:r w:rsidRPr="002F0B57">
              <w:rPr>
                <w:rFonts w:ascii="Verdana" w:hAnsi="Verdana"/>
                <w:b/>
                <w:bCs/>
              </w:rPr>
              <w:t>ternal Audit Recommendations</w:t>
            </w:r>
          </w:p>
          <w:p w14:paraId="2B932F40" w14:textId="77777777" w:rsidR="007F0661" w:rsidRDefault="007F0661" w:rsidP="004B3234">
            <w:pPr>
              <w:jc w:val="both"/>
              <w:rPr>
                <w:rFonts w:ascii="Verdana" w:hAnsi="Verdana"/>
                <w:b/>
              </w:rPr>
            </w:pPr>
          </w:p>
          <w:p w14:paraId="6C9544A9" w14:textId="4003A891" w:rsidR="007F0661" w:rsidRDefault="007F0661" w:rsidP="007F0661">
            <w:pPr>
              <w:pStyle w:val="NoSpacing"/>
              <w:rPr>
                <w:rFonts w:ascii="Verdana" w:hAnsi="Verdana"/>
              </w:rPr>
            </w:pPr>
            <w:r w:rsidRPr="004B3234">
              <w:rPr>
                <w:rFonts w:ascii="Verdana" w:hAnsi="Verdana"/>
              </w:rPr>
              <w:t>A report prepared by the Senior Director: Finance and Resources was received and considered.</w:t>
            </w:r>
          </w:p>
          <w:p w14:paraId="676694DF" w14:textId="656A12D0" w:rsidR="007F0661" w:rsidRDefault="007F0661" w:rsidP="007F0661">
            <w:pPr>
              <w:pStyle w:val="NoSpacing"/>
              <w:rPr>
                <w:rFonts w:ascii="Verdana" w:hAnsi="Verdana"/>
              </w:rPr>
            </w:pPr>
          </w:p>
          <w:p w14:paraId="66045DC5" w14:textId="402CAF93" w:rsidR="007F0661" w:rsidRDefault="007F0661" w:rsidP="007F0661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 was noted tha</w:t>
            </w:r>
            <w:r w:rsidR="00BC0065">
              <w:rPr>
                <w:rFonts w:ascii="Verdana" w:hAnsi="Verdana"/>
              </w:rPr>
              <w:t xml:space="preserve">t </w:t>
            </w:r>
            <w:r>
              <w:rPr>
                <w:rFonts w:ascii="Verdana" w:hAnsi="Verdana"/>
              </w:rPr>
              <w:t xml:space="preserve">recommendations </w:t>
            </w:r>
            <w:r w:rsidR="001F4B07">
              <w:rPr>
                <w:rFonts w:ascii="Verdana" w:hAnsi="Verdana"/>
              </w:rPr>
              <w:t>are being acted on in a timely manner</w:t>
            </w:r>
            <w:r>
              <w:rPr>
                <w:rFonts w:ascii="Verdana" w:hAnsi="Verdana"/>
              </w:rPr>
              <w:t>.</w:t>
            </w:r>
          </w:p>
          <w:p w14:paraId="65C1C914" w14:textId="06349DB7" w:rsidR="007F0661" w:rsidRDefault="007F0661" w:rsidP="00BC0065">
            <w:pPr>
              <w:pStyle w:val="NoSpacing"/>
              <w:rPr>
                <w:rFonts w:ascii="Verdana" w:hAnsi="Verdana"/>
                <w:b/>
              </w:rPr>
            </w:pPr>
          </w:p>
        </w:tc>
      </w:tr>
      <w:tr w:rsidR="007F0661" w:rsidRPr="004B3234" w14:paraId="439E7FB4" w14:textId="77777777" w:rsidTr="009C5147">
        <w:tc>
          <w:tcPr>
            <w:tcW w:w="529" w:type="dxa"/>
          </w:tcPr>
          <w:p w14:paraId="149D5AC6" w14:textId="400270DD" w:rsidR="007F0661" w:rsidRDefault="007F0661" w:rsidP="002D2153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12</w:t>
            </w:r>
          </w:p>
        </w:tc>
        <w:tc>
          <w:tcPr>
            <w:tcW w:w="8487" w:type="dxa"/>
          </w:tcPr>
          <w:p w14:paraId="696005A0" w14:textId="77777777" w:rsidR="007F0661" w:rsidRDefault="007F0661" w:rsidP="007F0661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Internal Audit Reports: HR, and IT Infrastructure and Cyber Security</w:t>
            </w:r>
          </w:p>
          <w:p w14:paraId="4641C405" w14:textId="77777777" w:rsidR="007F0661" w:rsidRDefault="007F0661" w:rsidP="007F0661">
            <w:pPr>
              <w:pStyle w:val="NoSpacing"/>
              <w:rPr>
                <w:rFonts w:ascii="Verdana" w:hAnsi="Verdana"/>
                <w:b/>
                <w:bCs/>
              </w:rPr>
            </w:pPr>
          </w:p>
          <w:p w14:paraId="2330921D" w14:textId="1A3BAE89" w:rsidR="009A07AA" w:rsidRDefault="007F0661" w:rsidP="007F0661">
            <w:pPr>
              <w:pStyle w:val="NoSpacing"/>
              <w:rPr>
                <w:rFonts w:ascii="Verdana" w:hAnsi="Verdana"/>
              </w:rPr>
            </w:pPr>
            <w:r w:rsidRPr="007F0661">
              <w:rPr>
                <w:rFonts w:ascii="Verdana" w:hAnsi="Verdana"/>
              </w:rPr>
              <w:t xml:space="preserve">A </w:t>
            </w:r>
            <w:r>
              <w:rPr>
                <w:rFonts w:ascii="Verdana" w:hAnsi="Verdana"/>
              </w:rPr>
              <w:t>Risk and Assurance Report on Human Resources – Safer Recruitment was received and considered.</w:t>
            </w:r>
            <w:r w:rsidR="00BC0065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It was noted that a reasonable assurance opinion had been given.</w:t>
            </w:r>
            <w:r w:rsidR="00BC0065">
              <w:rPr>
                <w:rFonts w:ascii="Verdana" w:hAnsi="Verdana"/>
              </w:rPr>
              <w:t xml:space="preserve"> </w:t>
            </w:r>
            <w:r w:rsidR="009A07AA">
              <w:rPr>
                <w:rFonts w:ascii="Verdana" w:hAnsi="Verdana"/>
              </w:rPr>
              <w:t>Two medium-level recommendations had been made, both of which had been agreed by the College management for implementation by December 2021.</w:t>
            </w:r>
          </w:p>
          <w:p w14:paraId="7EA38493" w14:textId="6221EE31" w:rsidR="00BC0065" w:rsidRDefault="00BC0065" w:rsidP="007F0661">
            <w:pPr>
              <w:pStyle w:val="NoSpacing"/>
              <w:rPr>
                <w:rFonts w:ascii="Verdana" w:hAnsi="Verdana"/>
              </w:rPr>
            </w:pPr>
          </w:p>
          <w:p w14:paraId="4ABBB221" w14:textId="6B8FA19D" w:rsidR="00BC0065" w:rsidRDefault="00BC0065" w:rsidP="007F0661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Chair also noted that risks here</w:t>
            </w:r>
            <w:r w:rsidR="009C5147">
              <w:rPr>
                <w:rFonts w:ascii="Verdana" w:hAnsi="Verdana"/>
              </w:rPr>
              <w:t>in identified</w:t>
            </w:r>
            <w:r>
              <w:rPr>
                <w:rFonts w:ascii="Verdana" w:hAnsi="Verdana"/>
              </w:rPr>
              <w:t xml:space="preserve"> had also been identified independently while investigating a grievance. For this reason</w:t>
            </w:r>
            <w:r w:rsidR="009C5147">
              <w:rPr>
                <w:rFonts w:ascii="Verdana" w:hAnsi="Verdana"/>
              </w:rPr>
              <w:t>,</w:t>
            </w:r>
            <w:r>
              <w:rPr>
                <w:rFonts w:ascii="Verdana" w:hAnsi="Verdana"/>
              </w:rPr>
              <w:t xml:space="preserve"> the Chair questioned whether this risk should in fact be rated as </w:t>
            </w:r>
            <w:r w:rsidR="009C5147">
              <w:rPr>
                <w:rFonts w:ascii="Verdana" w:hAnsi="Verdana"/>
              </w:rPr>
              <w:t>“</w:t>
            </w:r>
            <w:r>
              <w:rPr>
                <w:rFonts w:ascii="Verdana" w:hAnsi="Verdana"/>
              </w:rPr>
              <w:t>High</w:t>
            </w:r>
            <w:r w:rsidR="009C5147">
              <w:rPr>
                <w:rFonts w:ascii="Verdana" w:hAnsi="Verdana"/>
              </w:rPr>
              <w:t>”</w:t>
            </w:r>
            <w:r>
              <w:rPr>
                <w:rFonts w:ascii="Verdana" w:hAnsi="Verdana"/>
              </w:rPr>
              <w:t xml:space="preserve"> rather than “Medium”.</w:t>
            </w:r>
          </w:p>
          <w:p w14:paraId="6648FC5A" w14:textId="77777777" w:rsidR="009A07AA" w:rsidRDefault="009A07AA" w:rsidP="007F0661">
            <w:pPr>
              <w:pStyle w:val="NoSpacing"/>
              <w:rPr>
                <w:rFonts w:ascii="Verdana" w:hAnsi="Verdana"/>
              </w:rPr>
            </w:pPr>
          </w:p>
          <w:p w14:paraId="2A23B6A5" w14:textId="5DC7D5AA" w:rsidR="007F0661" w:rsidRDefault="009A07AA" w:rsidP="007F0661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A Risk and Assurance Report on IT Infrastructure and Cyber Security was received and considered.</w:t>
            </w:r>
            <w:r w:rsidR="00BC0065">
              <w:rPr>
                <w:rFonts w:ascii="Verdana" w:hAnsi="Verdana"/>
              </w:rPr>
              <w:t xml:space="preserve"> </w:t>
            </w:r>
          </w:p>
          <w:p w14:paraId="73B00AE2" w14:textId="41F49831" w:rsidR="009A07AA" w:rsidRPr="007F0661" w:rsidRDefault="009A07AA" w:rsidP="00BC0065">
            <w:pPr>
              <w:pStyle w:val="NoSpacing"/>
              <w:rPr>
                <w:rFonts w:ascii="Verdana" w:hAnsi="Verdana"/>
              </w:rPr>
            </w:pPr>
          </w:p>
        </w:tc>
      </w:tr>
      <w:tr w:rsidR="009A07AA" w:rsidRPr="004B3234" w14:paraId="17B3830F" w14:textId="77777777" w:rsidTr="009C5147">
        <w:tc>
          <w:tcPr>
            <w:tcW w:w="529" w:type="dxa"/>
          </w:tcPr>
          <w:p w14:paraId="7EF2C352" w14:textId="085E38D5" w:rsidR="009A07AA" w:rsidRDefault="009A07AA" w:rsidP="002D2153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13</w:t>
            </w:r>
          </w:p>
        </w:tc>
        <w:tc>
          <w:tcPr>
            <w:tcW w:w="8487" w:type="dxa"/>
          </w:tcPr>
          <w:p w14:paraId="0553C846" w14:textId="77777777" w:rsidR="009A07AA" w:rsidRPr="00355333" w:rsidRDefault="009A07AA" w:rsidP="009A07AA">
            <w:pPr>
              <w:pStyle w:val="NoSpacing"/>
              <w:rPr>
                <w:rFonts w:ascii="Verdana" w:hAnsi="Verdana"/>
                <w:b/>
              </w:rPr>
            </w:pPr>
            <w:r w:rsidRPr="00355333">
              <w:rPr>
                <w:rFonts w:ascii="Verdana" w:hAnsi="Verdana"/>
                <w:b/>
              </w:rPr>
              <w:t xml:space="preserve">Internal </w:t>
            </w:r>
            <w:r>
              <w:rPr>
                <w:rFonts w:ascii="Verdana" w:hAnsi="Verdana"/>
                <w:b/>
              </w:rPr>
              <w:t>Audit Service Annual Report 2020-21</w:t>
            </w:r>
          </w:p>
          <w:p w14:paraId="69FCA290" w14:textId="77777777" w:rsidR="009A07AA" w:rsidRDefault="009A07AA" w:rsidP="007F0661">
            <w:pPr>
              <w:pStyle w:val="NoSpacing"/>
              <w:rPr>
                <w:rFonts w:ascii="Verdana" w:hAnsi="Verdana"/>
                <w:b/>
              </w:rPr>
            </w:pPr>
          </w:p>
          <w:p w14:paraId="33493D83" w14:textId="77777777" w:rsidR="009A07AA" w:rsidRDefault="009A07AA" w:rsidP="007F0661">
            <w:pPr>
              <w:pStyle w:val="NoSpacing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The Report was received and considered.</w:t>
            </w:r>
          </w:p>
          <w:p w14:paraId="203792D6" w14:textId="77777777" w:rsidR="009A07AA" w:rsidRDefault="009A07AA" w:rsidP="007F0661">
            <w:pPr>
              <w:pStyle w:val="NoSpacing"/>
              <w:rPr>
                <w:rFonts w:ascii="Verdana" w:hAnsi="Verdana"/>
                <w:bCs/>
              </w:rPr>
            </w:pPr>
          </w:p>
          <w:p w14:paraId="7779FA48" w14:textId="664F441E" w:rsidR="009A07AA" w:rsidRDefault="009A07AA" w:rsidP="007F0661">
            <w:pPr>
              <w:pStyle w:val="NoSpacing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It was noted that, in the audit service’s opinion</w:t>
            </w:r>
            <w:r w:rsidR="009E47A0">
              <w:rPr>
                <w:rFonts w:ascii="Verdana" w:hAnsi="Verdana"/>
                <w:bCs/>
              </w:rPr>
              <w:t xml:space="preserve"> </w:t>
            </w:r>
            <w:r w:rsidR="009C5147">
              <w:rPr>
                <w:rFonts w:ascii="Verdana" w:hAnsi="Verdana"/>
                <w:bCs/>
              </w:rPr>
              <w:t xml:space="preserve">the College </w:t>
            </w:r>
            <w:r w:rsidR="009E47A0">
              <w:rPr>
                <w:rFonts w:ascii="Verdana" w:hAnsi="Verdana"/>
                <w:bCs/>
              </w:rPr>
              <w:t>has adequate and effective risk management, governance and control processes.</w:t>
            </w:r>
          </w:p>
          <w:p w14:paraId="423C2064" w14:textId="6612591D" w:rsidR="009E47A0" w:rsidRPr="009A07AA" w:rsidRDefault="009E47A0" w:rsidP="00BC0065">
            <w:pPr>
              <w:pStyle w:val="NoSpacing"/>
              <w:rPr>
                <w:rFonts w:ascii="Verdana" w:hAnsi="Verdana"/>
                <w:bCs/>
              </w:rPr>
            </w:pPr>
          </w:p>
        </w:tc>
      </w:tr>
      <w:tr w:rsidR="009E47A0" w:rsidRPr="004B3234" w14:paraId="0E62E8AE" w14:textId="77777777" w:rsidTr="009C5147">
        <w:tc>
          <w:tcPr>
            <w:tcW w:w="529" w:type="dxa"/>
          </w:tcPr>
          <w:p w14:paraId="26BC0017" w14:textId="223DEB5D" w:rsidR="009E47A0" w:rsidRDefault="009E47A0" w:rsidP="002D2153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14</w:t>
            </w:r>
          </w:p>
        </w:tc>
        <w:tc>
          <w:tcPr>
            <w:tcW w:w="8487" w:type="dxa"/>
          </w:tcPr>
          <w:p w14:paraId="56AAEF28" w14:textId="77777777" w:rsidR="009E47A0" w:rsidRDefault="009E47A0" w:rsidP="009E47A0">
            <w:pPr>
              <w:pStyle w:val="NoSpacing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Internal Audit Plan 2021-22</w:t>
            </w:r>
          </w:p>
          <w:p w14:paraId="3A9EFAF2" w14:textId="77777777" w:rsidR="009E47A0" w:rsidRDefault="009E47A0" w:rsidP="009A07AA">
            <w:pPr>
              <w:pStyle w:val="NoSpacing"/>
              <w:rPr>
                <w:rFonts w:ascii="Verdana" w:hAnsi="Verdana"/>
                <w:b/>
              </w:rPr>
            </w:pPr>
          </w:p>
          <w:p w14:paraId="6897298D" w14:textId="77777777" w:rsidR="009C5147" w:rsidRDefault="009E47A0" w:rsidP="009A07AA">
            <w:pPr>
              <w:pStyle w:val="NoSpacing"/>
              <w:rPr>
                <w:rFonts w:ascii="Verdana" w:hAnsi="Verdana"/>
                <w:bCs/>
              </w:rPr>
            </w:pPr>
            <w:r w:rsidRPr="009E47A0">
              <w:rPr>
                <w:rFonts w:ascii="Verdana" w:hAnsi="Verdana"/>
                <w:bCs/>
              </w:rPr>
              <w:t xml:space="preserve">The Plan, </w:t>
            </w:r>
            <w:r w:rsidR="00BC0065">
              <w:rPr>
                <w:rFonts w:ascii="Verdana" w:hAnsi="Verdana"/>
                <w:bCs/>
              </w:rPr>
              <w:t>was discussed</w:t>
            </w:r>
            <w:r w:rsidR="009C5147">
              <w:rPr>
                <w:rFonts w:ascii="Verdana" w:hAnsi="Verdana"/>
                <w:bCs/>
              </w:rPr>
              <w:t>,</w:t>
            </w:r>
            <w:r w:rsidR="00BC0065">
              <w:rPr>
                <w:rFonts w:ascii="Verdana" w:hAnsi="Verdana"/>
                <w:bCs/>
              </w:rPr>
              <w:t xml:space="preserve"> and </w:t>
            </w:r>
            <w:r w:rsidR="009C5147">
              <w:rPr>
                <w:rFonts w:ascii="Verdana" w:hAnsi="Verdana"/>
                <w:bCs/>
              </w:rPr>
              <w:t xml:space="preserve">the </w:t>
            </w:r>
            <w:r w:rsidR="00BC0065">
              <w:rPr>
                <w:rFonts w:ascii="Verdana" w:hAnsi="Verdana"/>
                <w:bCs/>
              </w:rPr>
              <w:t xml:space="preserve">Chair questioned if the plan </w:t>
            </w:r>
            <w:r w:rsidR="009C5147">
              <w:rPr>
                <w:rFonts w:ascii="Verdana" w:hAnsi="Verdana"/>
                <w:bCs/>
              </w:rPr>
              <w:t xml:space="preserve">continues to </w:t>
            </w:r>
            <w:r w:rsidR="00BC0065">
              <w:rPr>
                <w:rFonts w:ascii="Verdana" w:hAnsi="Verdana"/>
                <w:bCs/>
              </w:rPr>
              <w:t xml:space="preserve"> </w:t>
            </w:r>
          </w:p>
          <w:p w14:paraId="29B15466" w14:textId="61071AAC" w:rsidR="00BC0065" w:rsidRDefault="00BC0065" w:rsidP="009A07AA">
            <w:pPr>
              <w:pStyle w:val="NoSpacing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reflect the most pressing matters or should be amended in any way. </w:t>
            </w:r>
            <w:r w:rsidR="009C5147">
              <w:rPr>
                <w:rFonts w:ascii="Verdana" w:hAnsi="Verdana"/>
                <w:bCs/>
              </w:rPr>
              <w:t xml:space="preserve"> </w:t>
            </w:r>
            <w:r>
              <w:rPr>
                <w:rFonts w:ascii="Verdana" w:hAnsi="Verdana"/>
                <w:bCs/>
              </w:rPr>
              <w:t>It was discussed and decided that the current plan was appropriate and hence approved.</w:t>
            </w:r>
          </w:p>
          <w:p w14:paraId="155C3B7D" w14:textId="550EF6C6" w:rsidR="009E47A0" w:rsidRPr="009E47A0" w:rsidRDefault="009E47A0" w:rsidP="00BC0065">
            <w:pPr>
              <w:pStyle w:val="NoSpacing"/>
              <w:rPr>
                <w:rFonts w:ascii="Verdana" w:hAnsi="Verdana"/>
                <w:bCs/>
              </w:rPr>
            </w:pPr>
          </w:p>
        </w:tc>
      </w:tr>
      <w:tr w:rsidR="009E47A0" w:rsidRPr="004B3234" w14:paraId="172B8FC9" w14:textId="77777777" w:rsidTr="009C5147">
        <w:tc>
          <w:tcPr>
            <w:tcW w:w="529" w:type="dxa"/>
          </w:tcPr>
          <w:p w14:paraId="6EFB4095" w14:textId="5E83D79C" w:rsidR="009E47A0" w:rsidRDefault="009E47A0" w:rsidP="002D2153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15</w:t>
            </w:r>
          </w:p>
        </w:tc>
        <w:tc>
          <w:tcPr>
            <w:tcW w:w="8487" w:type="dxa"/>
          </w:tcPr>
          <w:p w14:paraId="4FBC2AE0" w14:textId="77777777" w:rsidR="009E47A0" w:rsidRDefault="009E47A0" w:rsidP="009E47A0">
            <w:pPr>
              <w:pStyle w:val="NoSpacing"/>
              <w:rPr>
                <w:rFonts w:ascii="Verdana" w:hAnsi="Verdana"/>
                <w:b/>
              </w:rPr>
            </w:pPr>
            <w:r w:rsidRPr="00355333">
              <w:rPr>
                <w:rFonts w:ascii="Verdana" w:hAnsi="Verdana"/>
                <w:b/>
              </w:rPr>
              <w:t>Audit Committee Annual Report</w:t>
            </w:r>
            <w:r>
              <w:rPr>
                <w:rFonts w:ascii="Verdana" w:hAnsi="Verdana"/>
                <w:b/>
              </w:rPr>
              <w:t xml:space="preserve"> 2020-21</w:t>
            </w:r>
          </w:p>
          <w:p w14:paraId="6BBCFD3D" w14:textId="77777777" w:rsidR="009E47A0" w:rsidRDefault="009E47A0" w:rsidP="009E47A0">
            <w:pPr>
              <w:pStyle w:val="NoSpacing"/>
              <w:rPr>
                <w:rFonts w:ascii="Verdana" w:hAnsi="Verdana"/>
                <w:b/>
                <w:bCs/>
              </w:rPr>
            </w:pPr>
          </w:p>
          <w:p w14:paraId="041C0651" w14:textId="77777777" w:rsidR="009E47A0" w:rsidRDefault="009E47A0" w:rsidP="009E47A0">
            <w:pPr>
              <w:pStyle w:val="NoSpacing"/>
              <w:rPr>
                <w:rFonts w:ascii="Verdana" w:hAnsi="Verdana"/>
              </w:rPr>
            </w:pPr>
            <w:r w:rsidRPr="009E47A0">
              <w:rPr>
                <w:rFonts w:ascii="Verdana" w:hAnsi="Verdana"/>
              </w:rPr>
              <w:t>A draft report was received</w:t>
            </w:r>
            <w:r>
              <w:rPr>
                <w:rFonts w:ascii="Verdana" w:hAnsi="Verdana"/>
              </w:rPr>
              <w:t>.</w:t>
            </w:r>
          </w:p>
          <w:p w14:paraId="05039F24" w14:textId="77777777" w:rsidR="009E47A0" w:rsidRDefault="009E47A0" w:rsidP="009E47A0">
            <w:pPr>
              <w:pStyle w:val="NoSpacing"/>
              <w:rPr>
                <w:rFonts w:ascii="Verdana" w:hAnsi="Verdana"/>
              </w:rPr>
            </w:pPr>
          </w:p>
          <w:p w14:paraId="4E3DBC51" w14:textId="64438E14" w:rsidR="009E47A0" w:rsidRDefault="009E47A0" w:rsidP="009E47A0">
            <w:pPr>
              <w:pStyle w:val="NoSpacing"/>
              <w:rPr>
                <w:rFonts w:ascii="Verdana" w:hAnsi="Verdana"/>
              </w:rPr>
            </w:pPr>
            <w:r w:rsidRPr="009C5147">
              <w:rPr>
                <w:rFonts w:ascii="Verdana" w:hAnsi="Verdana"/>
              </w:rPr>
              <w:t xml:space="preserve">The internal audit service recommended a few additions. </w:t>
            </w:r>
            <w:r w:rsidR="00217865" w:rsidRPr="009C5147">
              <w:rPr>
                <w:rFonts w:ascii="Verdana" w:hAnsi="Verdana"/>
              </w:rPr>
              <w:t xml:space="preserve">Sara also independently pointed out that some items from the Post-16 Audit Code of Practice 2020 – 2021 were not explicitly addressed. </w:t>
            </w:r>
            <w:r w:rsidR="009C5147" w:rsidRPr="009C5147">
              <w:rPr>
                <w:rFonts w:ascii="Verdana" w:hAnsi="Verdana"/>
              </w:rPr>
              <w:t xml:space="preserve"> </w:t>
            </w:r>
            <w:r w:rsidR="00217865" w:rsidRPr="009C5147">
              <w:rPr>
                <w:rFonts w:ascii="Verdana" w:hAnsi="Verdana"/>
              </w:rPr>
              <w:t xml:space="preserve">It was agreed by the </w:t>
            </w:r>
            <w:r w:rsidR="009C5147" w:rsidRPr="009C5147">
              <w:rPr>
                <w:rFonts w:ascii="Verdana" w:hAnsi="Verdana"/>
              </w:rPr>
              <w:t>C</w:t>
            </w:r>
            <w:r w:rsidR="00217865" w:rsidRPr="009C5147">
              <w:rPr>
                <w:rFonts w:ascii="Verdana" w:hAnsi="Verdana"/>
              </w:rPr>
              <w:t>ommittee to amend the annual report to note these additional points</w:t>
            </w:r>
            <w:r w:rsidR="002E4A27" w:rsidRPr="009C5147">
              <w:rPr>
                <w:rFonts w:ascii="Verdana" w:hAnsi="Verdana"/>
              </w:rPr>
              <w:t>.</w:t>
            </w:r>
          </w:p>
          <w:p w14:paraId="37E995FB" w14:textId="7973101A" w:rsidR="009E47A0" w:rsidRPr="009E47A0" w:rsidRDefault="009E47A0" w:rsidP="009E47A0">
            <w:pPr>
              <w:pStyle w:val="NoSpacing"/>
              <w:rPr>
                <w:rFonts w:ascii="Verdana" w:hAnsi="Verdana"/>
              </w:rPr>
            </w:pPr>
          </w:p>
        </w:tc>
      </w:tr>
      <w:tr w:rsidR="009E47A0" w:rsidRPr="004B3234" w14:paraId="66472A3A" w14:textId="77777777" w:rsidTr="009C5147">
        <w:tc>
          <w:tcPr>
            <w:tcW w:w="529" w:type="dxa"/>
          </w:tcPr>
          <w:p w14:paraId="38A559E4" w14:textId="54CDBC62" w:rsidR="009E47A0" w:rsidRDefault="009E47A0" w:rsidP="002D2153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16</w:t>
            </w:r>
          </w:p>
        </w:tc>
        <w:tc>
          <w:tcPr>
            <w:tcW w:w="8487" w:type="dxa"/>
          </w:tcPr>
          <w:p w14:paraId="1D4FB470" w14:textId="77777777" w:rsidR="00C907EB" w:rsidRDefault="00C907EB" w:rsidP="00C907EB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Any Other Competent Business</w:t>
            </w:r>
          </w:p>
          <w:p w14:paraId="7954902E" w14:textId="77777777" w:rsidR="009E47A0" w:rsidRDefault="009E47A0" w:rsidP="009E47A0">
            <w:pPr>
              <w:pStyle w:val="NoSpacing"/>
              <w:rPr>
                <w:rFonts w:ascii="Verdana" w:hAnsi="Verdana"/>
                <w:b/>
              </w:rPr>
            </w:pPr>
          </w:p>
          <w:p w14:paraId="4984F811" w14:textId="77777777" w:rsidR="00C907EB" w:rsidRDefault="00C907EB" w:rsidP="009E47A0">
            <w:pPr>
              <w:pStyle w:val="NoSpacing"/>
              <w:rPr>
                <w:rFonts w:ascii="Verdana" w:hAnsi="Verdana"/>
                <w:bCs/>
              </w:rPr>
            </w:pPr>
            <w:r w:rsidRPr="00C907EB">
              <w:rPr>
                <w:rFonts w:ascii="Verdana" w:hAnsi="Verdana"/>
                <w:bCs/>
              </w:rPr>
              <w:t>None.</w:t>
            </w:r>
          </w:p>
          <w:p w14:paraId="3A764523" w14:textId="6C490D02" w:rsidR="00C907EB" w:rsidRPr="00C907EB" w:rsidRDefault="00C907EB" w:rsidP="009E47A0">
            <w:pPr>
              <w:pStyle w:val="NoSpacing"/>
              <w:rPr>
                <w:rFonts w:ascii="Verdana" w:hAnsi="Verdana"/>
                <w:bCs/>
              </w:rPr>
            </w:pPr>
          </w:p>
        </w:tc>
      </w:tr>
      <w:tr w:rsidR="00C907EB" w:rsidRPr="004B3234" w14:paraId="4EFC8F63" w14:textId="77777777" w:rsidTr="009C5147">
        <w:tc>
          <w:tcPr>
            <w:tcW w:w="529" w:type="dxa"/>
          </w:tcPr>
          <w:p w14:paraId="37F92785" w14:textId="3B868556" w:rsidR="00C907EB" w:rsidRDefault="00C907EB" w:rsidP="002D2153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17</w:t>
            </w:r>
          </w:p>
        </w:tc>
        <w:tc>
          <w:tcPr>
            <w:tcW w:w="8487" w:type="dxa"/>
          </w:tcPr>
          <w:p w14:paraId="2125DFE5" w14:textId="77777777" w:rsidR="00C907EB" w:rsidRDefault="00C907EB" w:rsidP="00C907E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Dates and Times of Remaining Meetings in the 2021-22 Year</w:t>
            </w:r>
          </w:p>
          <w:p w14:paraId="450B1647" w14:textId="77777777" w:rsidR="00C907EB" w:rsidRDefault="00C907EB" w:rsidP="00C907EB">
            <w:pPr>
              <w:rPr>
                <w:rFonts w:ascii="Verdana" w:hAnsi="Verdana"/>
                <w:b/>
              </w:rPr>
            </w:pPr>
          </w:p>
          <w:p w14:paraId="55628393" w14:textId="7EF00C6C" w:rsidR="00C907EB" w:rsidRDefault="00C907EB" w:rsidP="00C907E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following approved dates and times were noted:</w:t>
            </w:r>
          </w:p>
          <w:p w14:paraId="3F5E79D1" w14:textId="77777777" w:rsidR="00C907EB" w:rsidRDefault="00C907EB" w:rsidP="00C907EB">
            <w:pPr>
              <w:rPr>
                <w:rFonts w:ascii="Verdana" w:hAnsi="Verdana"/>
              </w:rPr>
            </w:pPr>
          </w:p>
          <w:p w14:paraId="2674117B" w14:textId="77777777" w:rsidR="00C907EB" w:rsidRPr="008912B0" w:rsidRDefault="00C907EB" w:rsidP="00C907EB">
            <w:pPr>
              <w:pStyle w:val="NoSpacing"/>
              <w:rPr>
                <w:rFonts w:ascii="Verdana" w:hAnsi="Verdana" w:cs="Times New Roman"/>
                <w:b/>
                <w:i/>
              </w:rPr>
            </w:pPr>
            <w:r w:rsidRPr="008912B0">
              <w:rPr>
                <w:rFonts w:ascii="Verdana" w:hAnsi="Verdana" w:cs="Times New Roman"/>
                <w:b/>
                <w:i/>
              </w:rPr>
              <w:t>Tuesday 8 March 2022 (17.30)</w:t>
            </w:r>
          </w:p>
          <w:p w14:paraId="6C6DE524" w14:textId="4DCF6B42" w:rsidR="00C907EB" w:rsidRDefault="00C907EB" w:rsidP="00C907EB">
            <w:pPr>
              <w:pStyle w:val="NoSpacing"/>
              <w:rPr>
                <w:rFonts w:ascii="Verdana" w:hAnsi="Verdana"/>
                <w:b/>
              </w:rPr>
            </w:pPr>
            <w:r w:rsidRPr="008912B0">
              <w:rPr>
                <w:rFonts w:ascii="Verdana" w:hAnsi="Verdana" w:cs="Times New Roman"/>
                <w:b/>
                <w:i/>
              </w:rPr>
              <w:t>Tuesday 14 June 2022 (17.30)</w:t>
            </w:r>
          </w:p>
        </w:tc>
      </w:tr>
    </w:tbl>
    <w:p w14:paraId="651D2403" w14:textId="3F2A6BB4" w:rsidR="00CB7331" w:rsidRPr="004B3234" w:rsidRDefault="00CB7331" w:rsidP="00253435">
      <w:pPr>
        <w:rPr>
          <w:rFonts w:ascii="Verdana" w:hAnsi="Verdana"/>
        </w:rPr>
      </w:pPr>
    </w:p>
    <w:p w14:paraId="01DCD115" w14:textId="77777777" w:rsidR="00285AE5" w:rsidRDefault="00285AE5" w:rsidP="001E3DD7"/>
    <w:p w14:paraId="2F5355D0" w14:textId="5E639F76" w:rsidR="0086139B" w:rsidRPr="00413682" w:rsidRDefault="0086139B" w:rsidP="0086139B">
      <w:pPr>
        <w:rPr>
          <w:rFonts w:ascii="Verdana" w:hAnsi="Verdana"/>
          <w:b/>
        </w:rPr>
      </w:pPr>
      <w:r w:rsidRPr="00413682">
        <w:rPr>
          <w:rFonts w:ascii="Verdana" w:hAnsi="Verdana"/>
          <w:b/>
        </w:rPr>
        <w:t xml:space="preserve">List of Actions Arising from </w:t>
      </w:r>
      <w:r>
        <w:rPr>
          <w:rFonts w:ascii="Verdana" w:hAnsi="Verdana"/>
          <w:b/>
        </w:rPr>
        <w:t>This Meeting</w:t>
      </w:r>
      <w:r w:rsidR="00B75B18">
        <w:rPr>
          <w:rFonts w:ascii="Verdana" w:hAnsi="Verdana"/>
          <w:b/>
        </w:rPr>
        <w:t xml:space="preserve"> </w:t>
      </w:r>
    </w:p>
    <w:p w14:paraId="2B0FE401" w14:textId="77777777" w:rsidR="0086139B" w:rsidRDefault="0086139B" w:rsidP="0086139B">
      <w:pPr>
        <w:rPr>
          <w:rFonts w:ascii="Verdana" w:hAnsi="Verdana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060"/>
        <w:gridCol w:w="3017"/>
        <w:gridCol w:w="4990"/>
      </w:tblGrid>
      <w:tr w:rsidR="008F4343" w14:paraId="1C81896E" w14:textId="77777777" w:rsidTr="00C907EB">
        <w:tc>
          <w:tcPr>
            <w:tcW w:w="1060" w:type="dxa"/>
          </w:tcPr>
          <w:p w14:paraId="1BAAD33B" w14:textId="77777777" w:rsidR="008F4343" w:rsidRPr="009C5147" w:rsidRDefault="008F4343" w:rsidP="008F4343">
            <w:pPr>
              <w:rPr>
                <w:rFonts w:ascii="Verdana" w:hAnsi="Verdana"/>
                <w:b/>
                <w:i/>
              </w:rPr>
            </w:pPr>
            <w:r w:rsidRPr="009C5147">
              <w:rPr>
                <w:rFonts w:ascii="Verdana" w:hAnsi="Verdana"/>
                <w:b/>
                <w:i/>
              </w:rPr>
              <w:t>Minute</w:t>
            </w:r>
          </w:p>
        </w:tc>
        <w:tc>
          <w:tcPr>
            <w:tcW w:w="3017" w:type="dxa"/>
          </w:tcPr>
          <w:p w14:paraId="0376423F" w14:textId="77777777" w:rsidR="008F4343" w:rsidRPr="009C5147" w:rsidRDefault="008F4343" w:rsidP="008F4343">
            <w:pPr>
              <w:rPr>
                <w:rFonts w:ascii="Verdana" w:hAnsi="Verdana"/>
                <w:b/>
                <w:i/>
              </w:rPr>
            </w:pPr>
            <w:r w:rsidRPr="009C5147">
              <w:rPr>
                <w:rFonts w:ascii="Verdana" w:hAnsi="Verdana"/>
                <w:b/>
                <w:i/>
              </w:rPr>
              <w:t>Person Responsible</w:t>
            </w:r>
          </w:p>
        </w:tc>
        <w:tc>
          <w:tcPr>
            <w:tcW w:w="4990" w:type="dxa"/>
          </w:tcPr>
          <w:p w14:paraId="6AD82D1F" w14:textId="77777777" w:rsidR="008F4343" w:rsidRPr="009C5147" w:rsidRDefault="008F4343" w:rsidP="008F4343">
            <w:pPr>
              <w:rPr>
                <w:rFonts w:ascii="Verdana" w:hAnsi="Verdana"/>
                <w:b/>
                <w:i/>
              </w:rPr>
            </w:pPr>
            <w:r w:rsidRPr="009C5147">
              <w:rPr>
                <w:rFonts w:ascii="Verdana" w:hAnsi="Verdana"/>
                <w:b/>
                <w:i/>
              </w:rPr>
              <w:t>Action</w:t>
            </w:r>
          </w:p>
          <w:p w14:paraId="0247EDFC" w14:textId="77777777" w:rsidR="008F4343" w:rsidRPr="009C5147" w:rsidRDefault="008F4343" w:rsidP="008F4343">
            <w:pPr>
              <w:rPr>
                <w:rFonts w:ascii="Verdana" w:hAnsi="Verdana"/>
                <w:b/>
                <w:i/>
              </w:rPr>
            </w:pPr>
          </w:p>
        </w:tc>
      </w:tr>
      <w:tr w:rsidR="00DB3A35" w14:paraId="4D19072A" w14:textId="77777777" w:rsidTr="00C907EB">
        <w:tc>
          <w:tcPr>
            <w:tcW w:w="1060" w:type="dxa"/>
          </w:tcPr>
          <w:p w14:paraId="7DDB461D" w14:textId="5C4AA5F2" w:rsidR="00DB3A35" w:rsidRPr="00D95115" w:rsidRDefault="00D95115" w:rsidP="008F4343">
            <w:pPr>
              <w:rPr>
                <w:rFonts w:ascii="Verdana" w:hAnsi="Verdana"/>
                <w:b/>
                <w:bCs/>
              </w:rPr>
            </w:pPr>
            <w:r w:rsidRPr="00D95115">
              <w:rPr>
                <w:rFonts w:ascii="Verdana" w:hAnsi="Verdana"/>
                <w:b/>
                <w:bCs/>
              </w:rPr>
              <w:t>8</w:t>
            </w:r>
          </w:p>
        </w:tc>
        <w:tc>
          <w:tcPr>
            <w:tcW w:w="3017" w:type="dxa"/>
          </w:tcPr>
          <w:p w14:paraId="628EBF97" w14:textId="77777777" w:rsidR="00DB3A35" w:rsidRDefault="00D95115" w:rsidP="00B106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Clerk to the Corporation (or interim appointee).</w:t>
            </w:r>
          </w:p>
          <w:p w14:paraId="04B8DF40" w14:textId="77777777" w:rsidR="00D95115" w:rsidRDefault="00D95115" w:rsidP="00B106A2">
            <w:pPr>
              <w:rPr>
                <w:rFonts w:ascii="Verdana" w:hAnsi="Verdana"/>
              </w:rPr>
            </w:pPr>
          </w:p>
          <w:p w14:paraId="359D5DC2" w14:textId="7122B11E" w:rsidR="00D95115" w:rsidRDefault="00D95115" w:rsidP="00B106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Chair of Quality &amp; Performance Committee</w:t>
            </w:r>
          </w:p>
          <w:p w14:paraId="601DB9B3" w14:textId="75400F71" w:rsidR="00D95115" w:rsidRPr="009C5147" w:rsidRDefault="00D95115" w:rsidP="00B106A2">
            <w:pPr>
              <w:rPr>
                <w:rFonts w:ascii="Verdana" w:hAnsi="Verdana"/>
              </w:rPr>
            </w:pPr>
          </w:p>
        </w:tc>
        <w:tc>
          <w:tcPr>
            <w:tcW w:w="4990" w:type="dxa"/>
          </w:tcPr>
          <w:p w14:paraId="4DDA7887" w14:textId="2F6B9749" w:rsidR="00B106A2" w:rsidRDefault="00D95115" w:rsidP="008F43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Include T levels as standing business on Quality &amp; Performance Committee agendas, and report deliberations to the Audit Committee.</w:t>
            </w:r>
          </w:p>
          <w:p w14:paraId="6F69E8E8" w14:textId="73959DFA" w:rsidR="00D95115" w:rsidRPr="009C5147" w:rsidRDefault="00D95115" w:rsidP="008F4343">
            <w:pPr>
              <w:rPr>
                <w:rFonts w:ascii="Verdana" w:hAnsi="Verdana"/>
              </w:rPr>
            </w:pPr>
          </w:p>
        </w:tc>
      </w:tr>
      <w:tr w:rsidR="008F4343" w14:paraId="6283E131" w14:textId="77777777" w:rsidTr="00C907EB">
        <w:tc>
          <w:tcPr>
            <w:tcW w:w="1060" w:type="dxa"/>
          </w:tcPr>
          <w:p w14:paraId="3082133C" w14:textId="36CD0EC1" w:rsidR="008F4343" w:rsidRPr="00D95115" w:rsidRDefault="00D95115" w:rsidP="008F4343">
            <w:pPr>
              <w:rPr>
                <w:rFonts w:ascii="Verdana" w:hAnsi="Verdana"/>
                <w:b/>
                <w:bCs/>
              </w:rPr>
            </w:pPr>
            <w:r w:rsidRPr="00D95115">
              <w:rPr>
                <w:rFonts w:ascii="Verdana" w:hAnsi="Verdana"/>
                <w:b/>
                <w:bCs/>
              </w:rPr>
              <w:t>8</w:t>
            </w:r>
          </w:p>
        </w:tc>
        <w:tc>
          <w:tcPr>
            <w:tcW w:w="3017" w:type="dxa"/>
          </w:tcPr>
          <w:p w14:paraId="7B62A22B" w14:textId="41F0A113" w:rsidR="00B106A2" w:rsidRPr="009C5147" w:rsidRDefault="00D95115" w:rsidP="008F43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Risk Committee</w:t>
            </w:r>
          </w:p>
        </w:tc>
        <w:tc>
          <w:tcPr>
            <w:tcW w:w="4990" w:type="dxa"/>
          </w:tcPr>
          <w:p w14:paraId="11F44190" w14:textId="1F2F6402" w:rsidR="002572F1" w:rsidRPr="009C5147" w:rsidRDefault="00D95115" w:rsidP="008F43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Revise </w:t>
            </w:r>
            <w:r w:rsidRPr="001F4B07">
              <w:rPr>
                <w:rFonts w:ascii="Verdana" w:hAnsi="Verdana"/>
              </w:rPr>
              <w:t xml:space="preserve">the target rating for financial health which is a 3 </w:t>
            </w:r>
            <w:r>
              <w:rPr>
                <w:rFonts w:ascii="Verdana" w:hAnsi="Verdana"/>
              </w:rPr>
              <w:t>to ensure it is achievable.</w:t>
            </w:r>
          </w:p>
        </w:tc>
      </w:tr>
    </w:tbl>
    <w:p w14:paraId="53B78268" w14:textId="77777777" w:rsidR="00E42868" w:rsidRDefault="00E42868" w:rsidP="001E3DD7"/>
    <w:p w14:paraId="7C7A09A8" w14:textId="70D1638C" w:rsidR="00613FA4" w:rsidRDefault="00613FA4" w:rsidP="001E3DD7"/>
    <w:p w14:paraId="2BE4D2E5" w14:textId="047B575D" w:rsidR="00613FA4" w:rsidRDefault="00613FA4" w:rsidP="001E3DD7"/>
    <w:p w14:paraId="0AD338CB" w14:textId="64368B73" w:rsidR="00613FA4" w:rsidRDefault="00613FA4" w:rsidP="001E3DD7"/>
    <w:p w14:paraId="25D8E4B6" w14:textId="0CCAF2C3" w:rsidR="009527E1" w:rsidRDefault="009527E1" w:rsidP="001E3DD7"/>
    <w:p w14:paraId="60CFD1BE" w14:textId="1FAE5AFD" w:rsidR="009527E1" w:rsidRDefault="009527E1" w:rsidP="001E3DD7"/>
    <w:p w14:paraId="7EE56423" w14:textId="413F96D0" w:rsidR="009527E1" w:rsidRDefault="009527E1" w:rsidP="001E3DD7"/>
    <w:p w14:paraId="3F898C65" w14:textId="1ADBC893" w:rsidR="009527E1" w:rsidRDefault="009527E1" w:rsidP="001E3DD7"/>
    <w:p w14:paraId="7CAA669F" w14:textId="77777777" w:rsidR="009527E1" w:rsidRDefault="009527E1" w:rsidP="001E3DD7"/>
    <w:p w14:paraId="5C691EB5" w14:textId="47CBEE47" w:rsidR="00AC2106" w:rsidRDefault="00AC2106" w:rsidP="001E3DD7"/>
    <w:p w14:paraId="000F478D" w14:textId="77777777" w:rsidR="009149E4" w:rsidRDefault="009149E4" w:rsidP="001E3DD7"/>
    <w:p w14:paraId="277EA72B" w14:textId="2148AA5E" w:rsidR="00253435" w:rsidRDefault="00253435" w:rsidP="001E3DD7"/>
    <w:p w14:paraId="2FF685E5" w14:textId="7D325128" w:rsidR="0044593F" w:rsidRDefault="0044593F" w:rsidP="001E3DD7"/>
    <w:p w14:paraId="600516B6" w14:textId="696ADDAC" w:rsidR="00AF2279" w:rsidRDefault="00AF2279" w:rsidP="001E3DD7"/>
    <w:p w14:paraId="4CBE5350" w14:textId="6D78AF20" w:rsidR="00506E65" w:rsidRDefault="00506E65" w:rsidP="00506E65"/>
    <w:p w14:paraId="6C556E5A" w14:textId="77777777" w:rsidR="00506E65" w:rsidRDefault="00506E65" w:rsidP="00506E65"/>
    <w:p w14:paraId="470DC78D" w14:textId="77777777" w:rsidR="00506E65" w:rsidRDefault="00506E65" w:rsidP="00506E65"/>
    <w:p w14:paraId="7E531D10" w14:textId="77777777" w:rsidR="00506E65" w:rsidRDefault="00506E65" w:rsidP="00506E65"/>
    <w:p w14:paraId="0617D049" w14:textId="70F8F982" w:rsidR="00AF2279" w:rsidRDefault="00AF2279" w:rsidP="001E3DD7"/>
    <w:p w14:paraId="185705C6" w14:textId="325CAEF1" w:rsidR="00506E65" w:rsidRDefault="00506E65" w:rsidP="001E3DD7"/>
    <w:p w14:paraId="28B030FD" w14:textId="7C7CEBF3" w:rsidR="00092982" w:rsidRDefault="00092982" w:rsidP="001E3DD7"/>
    <w:p w14:paraId="5F74BF5D" w14:textId="13084221" w:rsidR="00092982" w:rsidRDefault="00092982" w:rsidP="001E3DD7"/>
    <w:p w14:paraId="225AE2D9" w14:textId="05D33221" w:rsidR="00B3680E" w:rsidRDefault="00B3680E" w:rsidP="001E3DD7">
      <w:pPr>
        <w:rPr>
          <w:rFonts w:ascii="Verdana" w:hAnsi="Verdana"/>
        </w:rPr>
      </w:pPr>
    </w:p>
    <w:p w14:paraId="23E54D69" w14:textId="77777777" w:rsidR="00092982" w:rsidRDefault="00092982" w:rsidP="001E3DD7">
      <w:pPr>
        <w:rPr>
          <w:rFonts w:ascii="Verdana" w:hAnsi="Verdana"/>
        </w:rPr>
      </w:pPr>
    </w:p>
    <w:p w14:paraId="72DCC4EC" w14:textId="099633E9" w:rsidR="005F7E8E" w:rsidRDefault="005F7E8E" w:rsidP="001E3DD7">
      <w:pPr>
        <w:rPr>
          <w:rFonts w:ascii="Verdana" w:hAnsi="Verdana"/>
        </w:rPr>
      </w:pPr>
    </w:p>
    <w:p w14:paraId="14C52113" w14:textId="7D73B29D" w:rsidR="005F7E8E" w:rsidRDefault="005F7E8E" w:rsidP="001E3DD7">
      <w:pPr>
        <w:rPr>
          <w:rFonts w:ascii="Verdana" w:hAnsi="Verdana"/>
        </w:rPr>
      </w:pPr>
    </w:p>
    <w:p w14:paraId="5C286605" w14:textId="77777777" w:rsidR="005F7E8E" w:rsidRDefault="005F7E8E" w:rsidP="005F7E8E">
      <w:pPr>
        <w:rPr>
          <w:rFonts w:ascii="Verdana" w:hAnsi="Verdana"/>
        </w:rPr>
      </w:pPr>
    </w:p>
    <w:p w14:paraId="5F6B5CB5" w14:textId="3BF1C1A8" w:rsidR="005F7E8E" w:rsidRDefault="005F7E8E" w:rsidP="001E3DD7">
      <w:pPr>
        <w:rPr>
          <w:rFonts w:ascii="Verdana" w:hAnsi="Verdana"/>
        </w:rPr>
      </w:pPr>
    </w:p>
    <w:p w14:paraId="35AA7BB5" w14:textId="755DC3B5" w:rsidR="00F408F9" w:rsidRDefault="00F408F9" w:rsidP="001E3DD7">
      <w:pPr>
        <w:rPr>
          <w:rFonts w:ascii="Verdana" w:hAnsi="Verdana"/>
        </w:rPr>
      </w:pPr>
    </w:p>
    <w:p w14:paraId="208DA7BA" w14:textId="77777777" w:rsidR="00F408F9" w:rsidRDefault="00F408F9" w:rsidP="001E3DD7">
      <w:pPr>
        <w:rPr>
          <w:rFonts w:ascii="Verdana" w:hAnsi="Verdana"/>
        </w:rPr>
      </w:pPr>
    </w:p>
    <w:sectPr w:rsidR="00F408F9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8946E" w14:textId="77777777" w:rsidR="00786D20" w:rsidRDefault="00786D20" w:rsidP="006629EF">
      <w:r>
        <w:separator/>
      </w:r>
    </w:p>
  </w:endnote>
  <w:endnote w:type="continuationSeparator" w:id="0">
    <w:p w14:paraId="2165822D" w14:textId="77777777" w:rsidR="00786D20" w:rsidRDefault="00786D20" w:rsidP="0066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030557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69605E" w14:textId="074580BF" w:rsidR="00166C1B" w:rsidRDefault="00166C1B" w:rsidP="008F29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B993D6" w14:textId="77777777" w:rsidR="00166C1B" w:rsidRDefault="00166C1B" w:rsidP="00166C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387637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562AFB" w14:textId="675E1381" w:rsidR="00166C1B" w:rsidRDefault="00166C1B" w:rsidP="008F29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C8B33FD" w14:textId="77777777" w:rsidR="00166C1B" w:rsidRDefault="00166C1B" w:rsidP="00166C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1AA27" w14:textId="77777777" w:rsidR="00786D20" w:rsidRDefault="00786D20" w:rsidP="006629EF">
      <w:r>
        <w:separator/>
      </w:r>
    </w:p>
  </w:footnote>
  <w:footnote w:type="continuationSeparator" w:id="0">
    <w:p w14:paraId="07CCE82A" w14:textId="77777777" w:rsidR="00786D20" w:rsidRDefault="00786D20" w:rsidP="00662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92D58"/>
    <w:multiLevelType w:val="hybridMultilevel"/>
    <w:tmpl w:val="72CEA7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65B92"/>
    <w:multiLevelType w:val="hybridMultilevel"/>
    <w:tmpl w:val="2C4CCA96"/>
    <w:lvl w:ilvl="0" w:tplc="8FBA5F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A3255B"/>
    <w:multiLevelType w:val="hybridMultilevel"/>
    <w:tmpl w:val="1632BB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41F03"/>
    <w:multiLevelType w:val="hybridMultilevel"/>
    <w:tmpl w:val="D33AD4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AA1AB9"/>
    <w:multiLevelType w:val="hybridMultilevel"/>
    <w:tmpl w:val="72CEA7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40BE9"/>
    <w:multiLevelType w:val="hybridMultilevel"/>
    <w:tmpl w:val="45507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C1736"/>
    <w:multiLevelType w:val="hybridMultilevel"/>
    <w:tmpl w:val="748479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4E3579"/>
    <w:multiLevelType w:val="hybridMultilevel"/>
    <w:tmpl w:val="4F329EB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C41EB"/>
    <w:multiLevelType w:val="hybridMultilevel"/>
    <w:tmpl w:val="72CEA7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3529C"/>
    <w:multiLevelType w:val="hybridMultilevel"/>
    <w:tmpl w:val="EA3829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D3718"/>
    <w:multiLevelType w:val="hybridMultilevel"/>
    <w:tmpl w:val="72CEA7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85BC6"/>
    <w:multiLevelType w:val="hybridMultilevel"/>
    <w:tmpl w:val="F93AC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B6074"/>
    <w:multiLevelType w:val="hybridMultilevel"/>
    <w:tmpl w:val="84F663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8330D"/>
    <w:multiLevelType w:val="hybridMultilevel"/>
    <w:tmpl w:val="72CEA7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C6341"/>
    <w:multiLevelType w:val="hybridMultilevel"/>
    <w:tmpl w:val="1C28B4A4"/>
    <w:lvl w:ilvl="0" w:tplc="13CA9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A44A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32CD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47F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A43A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0EE4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AC4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409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827B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86330"/>
    <w:multiLevelType w:val="hybridMultilevel"/>
    <w:tmpl w:val="0B003A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5468B2"/>
    <w:multiLevelType w:val="hybridMultilevel"/>
    <w:tmpl w:val="884411EA"/>
    <w:lvl w:ilvl="0" w:tplc="8FBA5F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85744"/>
    <w:multiLevelType w:val="hybridMultilevel"/>
    <w:tmpl w:val="72CEA7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35C79"/>
    <w:multiLevelType w:val="hybridMultilevel"/>
    <w:tmpl w:val="957AE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F6A07"/>
    <w:multiLevelType w:val="hybridMultilevel"/>
    <w:tmpl w:val="E5AC8990"/>
    <w:lvl w:ilvl="0" w:tplc="6E343A66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A5606"/>
    <w:multiLevelType w:val="hybridMultilevel"/>
    <w:tmpl w:val="72CEA7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004F3"/>
    <w:multiLevelType w:val="hybridMultilevel"/>
    <w:tmpl w:val="72CEA7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61F01"/>
    <w:multiLevelType w:val="hybridMultilevel"/>
    <w:tmpl w:val="84C282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11"/>
  </w:num>
  <w:num w:numId="5">
    <w:abstractNumId w:val="17"/>
  </w:num>
  <w:num w:numId="6">
    <w:abstractNumId w:val="20"/>
  </w:num>
  <w:num w:numId="7">
    <w:abstractNumId w:val="21"/>
  </w:num>
  <w:num w:numId="8">
    <w:abstractNumId w:val="10"/>
  </w:num>
  <w:num w:numId="9">
    <w:abstractNumId w:val="4"/>
  </w:num>
  <w:num w:numId="10">
    <w:abstractNumId w:val="13"/>
  </w:num>
  <w:num w:numId="11">
    <w:abstractNumId w:val="8"/>
  </w:num>
  <w:num w:numId="12">
    <w:abstractNumId w:val="19"/>
  </w:num>
  <w:num w:numId="13">
    <w:abstractNumId w:val="18"/>
  </w:num>
  <w:num w:numId="14">
    <w:abstractNumId w:val="6"/>
  </w:num>
  <w:num w:numId="15">
    <w:abstractNumId w:val="1"/>
  </w:num>
  <w:num w:numId="16">
    <w:abstractNumId w:val="16"/>
  </w:num>
  <w:num w:numId="17">
    <w:abstractNumId w:val="12"/>
  </w:num>
  <w:num w:numId="18">
    <w:abstractNumId w:val="2"/>
  </w:num>
  <w:num w:numId="19">
    <w:abstractNumId w:val="9"/>
  </w:num>
  <w:num w:numId="20">
    <w:abstractNumId w:val="3"/>
  </w:num>
  <w:num w:numId="21">
    <w:abstractNumId w:val="7"/>
  </w:num>
  <w:num w:numId="22">
    <w:abstractNumId w:val="1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F44"/>
    <w:rsid w:val="00000B1E"/>
    <w:rsid w:val="0001068A"/>
    <w:rsid w:val="00014B21"/>
    <w:rsid w:val="0001734B"/>
    <w:rsid w:val="0002033F"/>
    <w:rsid w:val="00041F89"/>
    <w:rsid w:val="00045068"/>
    <w:rsid w:val="000450F3"/>
    <w:rsid w:val="00046183"/>
    <w:rsid w:val="00046D92"/>
    <w:rsid w:val="000650CF"/>
    <w:rsid w:val="000659A2"/>
    <w:rsid w:val="00070ACD"/>
    <w:rsid w:val="00071E93"/>
    <w:rsid w:val="000737A1"/>
    <w:rsid w:val="000746F0"/>
    <w:rsid w:val="0007589E"/>
    <w:rsid w:val="00075F65"/>
    <w:rsid w:val="00087D0D"/>
    <w:rsid w:val="00092982"/>
    <w:rsid w:val="00093289"/>
    <w:rsid w:val="00093C1C"/>
    <w:rsid w:val="000A2BA7"/>
    <w:rsid w:val="000A305E"/>
    <w:rsid w:val="000A5108"/>
    <w:rsid w:val="000B4D05"/>
    <w:rsid w:val="000B51B3"/>
    <w:rsid w:val="000B67BB"/>
    <w:rsid w:val="000C09FF"/>
    <w:rsid w:val="000C0E89"/>
    <w:rsid w:val="000C355C"/>
    <w:rsid w:val="000C3E71"/>
    <w:rsid w:val="000C4217"/>
    <w:rsid w:val="000C4AF5"/>
    <w:rsid w:val="000C4DF1"/>
    <w:rsid w:val="000C693A"/>
    <w:rsid w:val="000D106C"/>
    <w:rsid w:val="000D2FAB"/>
    <w:rsid w:val="000D54B6"/>
    <w:rsid w:val="000F2E5A"/>
    <w:rsid w:val="000F42EC"/>
    <w:rsid w:val="000F712E"/>
    <w:rsid w:val="000F7B8E"/>
    <w:rsid w:val="00105BD9"/>
    <w:rsid w:val="00105C77"/>
    <w:rsid w:val="00106B4B"/>
    <w:rsid w:val="00111655"/>
    <w:rsid w:val="0011288E"/>
    <w:rsid w:val="001135A9"/>
    <w:rsid w:val="00122679"/>
    <w:rsid w:val="00124F68"/>
    <w:rsid w:val="00130DE9"/>
    <w:rsid w:val="00136E89"/>
    <w:rsid w:val="00142D27"/>
    <w:rsid w:val="0014424C"/>
    <w:rsid w:val="00152AA4"/>
    <w:rsid w:val="0015389C"/>
    <w:rsid w:val="0016277E"/>
    <w:rsid w:val="001654C2"/>
    <w:rsid w:val="001663E1"/>
    <w:rsid w:val="00166C1B"/>
    <w:rsid w:val="00172EAC"/>
    <w:rsid w:val="00174030"/>
    <w:rsid w:val="00192A58"/>
    <w:rsid w:val="0019349D"/>
    <w:rsid w:val="00194970"/>
    <w:rsid w:val="00196907"/>
    <w:rsid w:val="001A4173"/>
    <w:rsid w:val="001A6582"/>
    <w:rsid w:val="001B1F90"/>
    <w:rsid w:val="001B7401"/>
    <w:rsid w:val="001C0700"/>
    <w:rsid w:val="001C376C"/>
    <w:rsid w:val="001C5467"/>
    <w:rsid w:val="001C6537"/>
    <w:rsid w:val="001D154D"/>
    <w:rsid w:val="001D387D"/>
    <w:rsid w:val="001D69F0"/>
    <w:rsid w:val="001D6A14"/>
    <w:rsid w:val="001E39C2"/>
    <w:rsid w:val="001E3DD7"/>
    <w:rsid w:val="001E6BC3"/>
    <w:rsid w:val="001F0362"/>
    <w:rsid w:val="001F09C5"/>
    <w:rsid w:val="001F0A16"/>
    <w:rsid w:val="001F2571"/>
    <w:rsid w:val="001F27B5"/>
    <w:rsid w:val="001F2D5D"/>
    <w:rsid w:val="001F39DF"/>
    <w:rsid w:val="001F4B07"/>
    <w:rsid w:val="001F6A23"/>
    <w:rsid w:val="00217865"/>
    <w:rsid w:val="002253B9"/>
    <w:rsid w:val="00225B2A"/>
    <w:rsid w:val="002278B4"/>
    <w:rsid w:val="00230451"/>
    <w:rsid w:val="00235316"/>
    <w:rsid w:val="00236D41"/>
    <w:rsid w:val="00237E7D"/>
    <w:rsid w:val="00240162"/>
    <w:rsid w:val="0024192C"/>
    <w:rsid w:val="00244153"/>
    <w:rsid w:val="002467D4"/>
    <w:rsid w:val="00247051"/>
    <w:rsid w:val="00253435"/>
    <w:rsid w:val="002572F1"/>
    <w:rsid w:val="002609E4"/>
    <w:rsid w:val="00261239"/>
    <w:rsid w:val="0026130C"/>
    <w:rsid w:val="00285AE5"/>
    <w:rsid w:val="002872E2"/>
    <w:rsid w:val="00290402"/>
    <w:rsid w:val="002942FD"/>
    <w:rsid w:val="002A063B"/>
    <w:rsid w:val="002B205E"/>
    <w:rsid w:val="002B4AC1"/>
    <w:rsid w:val="002C275C"/>
    <w:rsid w:val="002D2153"/>
    <w:rsid w:val="002D7DD1"/>
    <w:rsid w:val="002E1341"/>
    <w:rsid w:val="002E452F"/>
    <w:rsid w:val="002E4A27"/>
    <w:rsid w:val="002E6164"/>
    <w:rsid w:val="002E709A"/>
    <w:rsid w:val="002F18D4"/>
    <w:rsid w:val="002F2E11"/>
    <w:rsid w:val="00300468"/>
    <w:rsid w:val="003022C5"/>
    <w:rsid w:val="0030784F"/>
    <w:rsid w:val="0031009C"/>
    <w:rsid w:val="00310DD9"/>
    <w:rsid w:val="00313A76"/>
    <w:rsid w:val="0032147C"/>
    <w:rsid w:val="003222F7"/>
    <w:rsid w:val="00325A8D"/>
    <w:rsid w:val="0032692D"/>
    <w:rsid w:val="00333B5E"/>
    <w:rsid w:val="00333D77"/>
    <w:rsid w:val="0033635E"/>
    <w:rsid w:val="00336BDA"/>
    <w:rsid w:val="003473E5"/>
    <w:rsid w:val="0035304B"/>
    <w:rsid w:val="00354D3F"/>
    <w:rsid w:val="003567AF"/>
    <w:rsid w:val="00356EB2"/>
    <w:rsid w:val="00357D02"/>
    <w:rsid w:val="00361AA7"/>
    <w:rsid w:val="003620F7"/>
    <w:rsid w:val="0036721B"/>
    <w:rsid w:val="003704C0"/>
    <w:rsid w:val="00373324"/>
    <w:rsid w:val="00386CB6"/>
    <w:rsid w:val="003871A7"/>
    <w:rsid w:val="00390501"/>
    <w:rsid w:val="00390A6F"/>
    <w:rsid w:val="003A20F3"/>
    <w:rsid w:val="003B17A1"/>
    <w:rsid w:val="003B29B5"/>
    <w:rsid w:val="003B70E5"/>
    <w:rsid w:val="003C1F2C"/>
    <w:rsid w:val="003C5512"/>
    <w:rsid w:val="003C6968"/>
    <w:rsid w:val="003C7856"/>
    <w:rsid w:val="003D593C"/>
    <w:rsid w:val="003D667F"/>
    <w:rsid w:val="003E016D"/>
    <w:rsid w:val="003E1387"/>
    <w:rsid w:val="003E52E0"/>
    <w:rsid w:val="003F2344"/>
    <w:rsid w:val="003F6A2D"/>
    <w:rsid w:val="00402457"/>
    <w:rsid w:val="00402BBA"/>
    <w:rsid w:val="00404920"/>
    <w:rsid w:val="00404AAF"/>
    <w:rsid w:val="004102C1"/>
    <w:rsid w:val="00416E10"/>
    <w:rsid w:val="004211C1"/>
    <w:rsid w:val="00421743"/>
    <w:rsid w:val="00440ABE"/>
    <w:rsid w:val="0044456E"/>
    <w:rsid w:val="004446AD"/>
    <w:rsid w:val="0044593F"/>
    <w:rsid w:val="00445FB4"/>
    <w:rsid w:val="0044668F"/>
    <w:rsid w:val="004474DE"/>
    <w:rsid w:val="00447D20"/>
    <w:rsid w:val="0045257F"/>
    <w:rsid w:val="00452BAB"/>
    <w:rsid w:val="00453484"/>
    <w:rsid w:val="00454AE2"/>
    <w:rsid w:val="00460284"/>
    <w:rsid w:val="00463F8A"/>
    <w:rsid w:val="00464510"/>
    <w:rsid w:val="004677BC"/>
    <w:rsid w:val="00475B6C"/>
    <w:rsid w:val="0047637E"/>
    <w:rsid w:val="004801C1"/>
    <w:rsid w:val="00480E4C"/>
    <w:rsid w:val="00483E82"/>
    <w:rsid w:val="00484D48"/>
    <w:rsid w:val="00485567"/>
    <w:rsid w:val="00491028"/>
    <w:rsid w:val="0049664D"/>
    <w:rsid w:val="004A53A7"/>
    <w:rsid w:val="004A5AF6"/>
    <w:rsid w:val="004B09AD"/>
    <w:rsid w:val="004B0A3A"/>
    <w:rsid w:val="004B3234"/>
    <w:rsid w:val="004B70B9"/>
    <w:rsid w:val="004C0F1C"/>
    <w:rsid w:val="004C1BEA"/>
    <w:rsid w:val="004C1F85"/>
    <w:rsid w:val="004C21FD"/>
    <w:rsid w:val="004C2E77"/>
    <w:rsid w:val="004C429A"/>
    <w:rsid w:val="004C62D3"/>
    <w:rsid w:val="004D3322"/>
    <w:rsid w:val="004D7AB5"/>
    <w:rsid w:val="004E177E"/>
    <w:rsid w:val="004E4553"/>
    <w:rsid w:val="004E553E"/>
    <w:rsid w:val="004E6944"/>
    <w:rsid w:val="004E6B7D"/>
    <w:rsid w:val="004E715A"/>
    <w:rsid w:val="004F2566"/>
    <w:rsid w:val="004F4837"/>
    <w:rsid w:val="00503CF7"/>
    <w:rsid w:val="00506E65"/>
    <w:rsid w:val="0050794E"/>
    <w:rsid w:val="00511D8F"/>
    <w:rsid w:val="005147A8"/>
    <w:rsid w:val="00516439"/>
    <w:rsid w:val="0051682F"/>
    <w:rsid w:val="00517FA2"/>
    <w:rsid w:val="00520832"/>
    <w:rsid w:val="00520A6C"/>
    <w:rsid w:val="005219E3"/>
    <w:rsid w:val="00532DB1"/>
    <w:rsid w:val="005357B2"/>
    <w:rsid w:val="00541A4F"/>
    <w:rsid w:val="00550B6D"/>
    <w:rsid w:val="00553302"/>
    <w:rsid w:val="005622C8"/>
    <w:rsid w:val="005624B6"/>
    <w:rsid w:val="00562752"/>
    <w:rsid w:val="00564260"/>
    <w:rsid w:val="005667AD"/>
    <w:rsid w:val="005678BD"/>
    <w:rsid w:val="005700E5"/>
    <w:rsid w:val="005755FD"/>
    <w:rsid w:val="005855A5"/>
    <w:rsid w:val="005A24F9"/>
    <w:rsid w:val="005A3692"/>
    <w:rsid w:val="005A584E"/>
    <w:rsid w:val="005A6865"/>
    <w:rsid w:val="005B2803"/>
    <w:rsid w:val="005C01C6"/>
    <w:rsid w:val="005C177E"/>
    <w:rsid w:val="005C77F3"/>
    <w:rsid w:val="005D5408"/>
    <w:rsid w:val="005D7486"/>
    <w:rsid w:val="005E574D"/>
    <w:rsid w:val="005E58B1"/>
    <w:rsid w:val="005F7E8E"/>
    <w:rsid w:val="0060356A"/>
    <w:rsid w:val="00604BA8"/>
    <w:rsid w:val="00607AAF"/>
    <w:rsid w:val="00611D29"/>
    <w:rsid w:val="0061317E"/>
    <w:rsid w:val="00613F79"/>
    <w:rsid w:val="00613FA4"/>
    <w:rsid w:val="00615275"/>
    <w:rsid w:val="00620DF9"/>
    <w:rsid w:val="0062193D"/>
    <w:rsid w:val="0062593E"/>
    <w:rsid w:val="0063396E"/>
    <w:rsid w:val="00634C2A"/>
    <w:rsid w:val="00645BAB"/>
    <w:rsid w:val="006467F8"/>
    <w:rsid w:val="00646B64"/>
    <w:rsid w:val="00652CF7"/>
    <w:rsid w:val="00662716"/>
    <w:rsid w:val="006629EF"/>
    <w:rsid w:val="006641C2"/>
    <w:rsid w:val="00667041"/>
    <w:rsid w:val="00670F59"/>
    <w:rsid w:val="00672BCB"/>
    <w:rsid w:val="00674EB7"/>
    <w:rsid w:val="00676506"/>
    <w:rsid w:val="006774AD"/>
    <w:rsid w:val="00681B37"/>
    <w:rsid w:val="00682E93"/>
    <w:rsid w:val="00690C75"/>
    <w:rsid w:val="006960DA"/>
    <w:rsid w:val="006A0F3B"/>
    <w:rsid w:val="006A0F70"/>
    <w:rsid w:val="006A2BBC"/>
    <w:rsid w:val="006A5A4C"/>
    <w:rsid w:val="006A5B66"/>
    <w:rsid w:val="006A7D7F"/>
    <w:rsid w:val="006B209B"/>
    <w:rsid w:val="006B395A"/>
    <w:rsid w:val="006B53E5"/>
    <w:rsid w:val="006C0131"/>
    <w:rsid w:val="006C623F"/>
    <w:rsid w:val="006D08C2"/>
    <w:rsid w:val="006D615C"/>
    <w:rsid w:val="006E647A"/>
    <w:rsid w:val="006E6CB5"/>
    <w:rsid w:val="006E6E99"/>
    <w:rsid w:val="006F0CB6"/>
    <w:rsid w:val="006F1D37"/>
    <w:rsid w:val="006F5983"/>
    <w:rsid w:val="006F5DE9"/>
    <w:rsid w:val="0070631E"/>
    <w:rsid w:val="0071120D"/>
    <w:rsid w:val="007207D6"/>
    <w:rsid w:val="00721223"/>
    <w:rsid w:val="00733CAA"/>
    <w:rsid w:val="0073446A"/>
    <w:rsid w:val="00734F7A"/>
    <w:rsid w:val="00735614"/>
    <w:rsid w:val="0073726D"/>
    <w:rsid w:val="00740AC1"/>
    <w:rsid w:val="007419A6"/>
    <w:rsid w:val="00742F9D"/>
    <w:rsid w:val="00745789"/>
    <w:rsid w:val="007470FD"/>
    <w:rsid w:val="00750987"/>
    <w:rsid w:val="00753468"/>
    <w:rsid w:val="0076178E"/>
    <w:rsid w:val="00766530"/>
    <w:rsid w:val="007736EE"/>
    <w:rsid w:val="007763F4"/>
    <w:rsid w:val="00786D20"/>
    <w:rsid w:val="007913F1"/>
    <w:rsid w:val="0079247D"/>
    <w:rsid w:val="00793D70"/>
    <w:rsid w:val="007941E7"/>
    <w:rsid w:val="0079462A"/>
    <w:rsid w:val="007965C2"/>
    <w:rsid w:val="007B008B"/>
    <w:rsid w:val="007B3334"/>
    <w:rsid w:val="007B565C"/>
    <w:rsid w:val="007C05C2"/>
    <w:rsid w:val="007C0793"/>
    <w:rsid w:val="007C2A69"/>
    <w:rsid w:val="007C587F"/>
    <w:rsid w:val="007C7AEE"/>
    <w:rsid w:val="007D159E"/>
    <w:rsid w:val="007D268C"/>
    <w:rsid w:val="007D29CA"/>
    <w:rsid w:val="007E1310"/>
    <w:rsid w:val="007E22A3"/>
    <w:rsid w:val="007E2CA5"/>
    <w:rsid w:val="007E6A1F"/>
    <w:rsid w:val="007E7A0E"/>
    <w:rsid w:val="007F0661"/>
    <w:rsid w:val="00802441"/>
    <w:rsid w:val="008071D5"/>
    <w:rsid w:val="00807CF4"/>
    <w:rsid w:val="00810539"/>
    <w:rsid w:val="0081485B"/>
    <w:rsid w:val="00824F51"/>
    <w:rsid w:val="008319FF"/>
    <w:rsid w:val="00832DBF"/>
    <w:rsid w:val="00834244"/>
    <w:rsid w:val="008354E2"/>
    <w:rsid w:val="008362A5"/>
    <w:rsid w:val="00837246"/>
    <w:rsid w:val="008408E0"/>
    <w:rsid w:val="00844A0B"/>
    <w:rsid w:val="00851E3D"/>
    <w:rsid w:val="008558AB"/>
    <w:rsid w:val="0085621B"/>
    <w:rsid w:val="00857D9F"/>
    <w:rsid w:val="0086139B"/>
    <w:rsid w:val="00867A6A"/>
    <w:rsid w:val="00872409"/>
    <w:rsid w:val="00873232"/>
    <w:rsid w:val="00873FC5"/>
    <w:rsid w:val="008850E3"/>
    <w:rsid w:val="00887EA4"/>
    <w:rsid w:val="008924AA"/>
    <w:rsid w:val="00893FB8"/>
    <w:rsid w:val="00894A76"/>
    <w:rsid w:val="00894E07"/>
    <w:rsid w:val="008A47F2"/>
    <w:rsid w:val="008A77A2"/>
    <w:rsid w:val="008B4009"/>
    <w:rsid w:val="008C1EE0"/>
    <w:rsid w:val="008C25A1"/>
    <w:rsid w:val="008C5678"/>
    <w:rsid w:val="008D25DC"/>
    <w:rsid w:val="008D7829"/>
    <w:rsid w:val="008E11DF"/>
    <w:rsid w:val="008E7F0E"/>
    <w:rsid w:val="008F1FAC"/>
    <w:rsid w:val="008F4343"/>
    <w:rsid w:val="008F7EE4"/>
    <w:rsid w:val="009008B1"/>
    <w:rsid w:val="00902C0F"/>
    <w:rsid w:val="009030DE"/>
    <w:rsid w:val="00903D2C"/>
    <w:rsid w:val="009100AA"/>
    <w:rsid w:val="009149E4"/>
    <w:rsid w:val="009213D6"/>
    <w:rsid w:val="00926BE3"/>
    <w:rsid w:val="00927586"/>
    <w:rsid w:val="00927608"/>
    <w:rsid w:val="00930BB2"/>
    <w:rsid w:val="00931DC3"/>
    <w:rsid w:val="00947C4E"/>
    <w:rsid w:val="009527E1"/>
    <w:rsid w:val="00953BBF"/>
    <w:rsid w:val="0096036D"/>
    <w:rsid w:val="00961E6F"/>
    <w:rsid w:val="00965778"/>
    <w:rsid w:val="00970519"/>
    <w:rsid w:val="00974E92"/>
    <w:rsid w:val="00977F44"/>
    <w:rsid w:val="00981295"/>
    <w:rsid w:val="00985059"/>
    <w:rsid w:val="009862A2"/>
    <w:rsid w:val="00986737"/>
    <w:rsid w:val="00991621"/>
    <w:rsid w:val="009A07AA"/>
    <w:rsid w:val="009A3585"/>
    <w:rsid w:val="009A4AD3"/>
    <w:rsid w:val="009A74F6"/>
    <w:rsid w:val="009B7528"/>
    <w:rsid w:val="009B7637"/>
    <w:rsid w:val="009C5147"/>
    <w:rsid w:val="009C74F0"/>
    <w:rsid w:val="009D33CB"/>
    <w:rsid w:val="009D51B6"/>
    <w:rsid w:val="009D6E19"/>
    <w:rsid w:val="009D7B14"/>
    <w:rsid w:val="009D7F4D"/>
    <w:rsid w:val="009E1C87"/>
    <w:rsid w:val="009E36F7"/>
    <w:rsid w:val="009E4395"/>
    <w:rsid w:val="009E47A0"/>
    <w:rsid w:val="009E6E26"/>
    <w:rsid w:val="009E70D8"/>
    <w:rsid w:val="009F0EC0"/>
    <w:rsid w:val="009F2FA8"/>
    <w:rsid w:val="009F3CEE"/>
    <w:rsid w:val="009F44C0"/>
    <w:rsid w:val="009F6F5F"/>
    <w:rsid w:val="00A01AE4"/>
    <w:rsid w:val="00A11CA2"/>
    <w:rsid w:val="00A13565"/>
    <w:rsid w:val="00A24E95"/>
    <w:rsid w:val="00A26B46"/>
    <w:rsid w:val="00A3419D"/>
    <w:rsid w:val="00A55399"/>
    <w:rsid w:val="00A556AE"/>
    <w:rsid w:val="00A60139"/>
    <w:rsid w:val="00A60152"/>
    <w:rsid w:val="00A65245"/>
    <w:rsid w:val="00A70519"/>
    <w:rsid w:val="00A72CC5"/>
    <w:rsid w:val="00A741FD"/>
    <w:rsid w:val="00A7760F"/>
    <w:rsid w:val="00A8163D"/>
    <w:rsid w:val="00A8643E"/>
    <w:rsid w:val="00A87995"/>
    <w:rsid w:val="00A90E8B"/>
    <w:rsid w:val="00A94374"/>
    <w:rsid w:val="00A94C83"/>
    <w:rsid w:val="00A97C83"/>
    <w:rsid w:val="00AA42DF"/>
    <w:rsid w:val="00AB1497"/>
    <w:rsid w:val="00AB2177"/>
    <w:rsid w:val="00AB7E66"/>
    <w:rsid w:val="00AC2106"/>
    <w:rsid w:val="00AC32D7"/>
    <w:rsid w:val="00AC3571"/>
    <w:rsid w:val="00AC7C36"/>
    <w:rsid w:val="00AD6CED"/>
    <w:rsid w:val="00AE17E2"/>
    <w:rsid w:val="00AE1A13"/>
    <w:rsid w:val="00AE6860"/>
    <w:rsid w:val="00AF2279"/>
    <w:rsid w:val="00AF59BB"/>
    <w:rsid w:val="00B0161A"/>
    <w:rsid w:val="00B032C4"/>
    <w:rsid w:val="00B04956"/>
    <w:rsid w:val="00B06D03"/>
    <w:rsid w:val="00B106A2"/>
    <w:rsid w:val="00B13888"/>
    <w:rsid w:val="00B13B85"/>
    <w:rsid w:val="00B15B02"/>
    <w:rsid w:val="00B23FD5"/>
    <w:rsid w:val="00B3235E"/>
    <w:rsid w:val="00B3266D"/>
    <w:rsid w:val="00B32C1F"/>
    <w:rsid w:val="00B3521D"/>
    <w:rsid w:val="00B35F39"/>
    <w:rsid w:val="00B3680E"/>
    <w:rsid w:val="00B37E0C"/>
    <w:rsid w:val="00B420AC"/>
    <w:rsid w:val="00B460E4"/>
    <w:rsid w:val="00B50E75"/>
    <w:rsid w:val="00B51268"/>
    <w:rsid w:val="00B60F70"/>
    <w:rsid w:val="00B6324F"/>
    <w:rsid w:val="00B641E8"/>
    <w:rsid w:val="00B65D52"/>
    <w:rsid w:val="00B75B18"/>
    <w:rsid w:val="00B778B2"/>
    <w:rsid w:val="00B80C85"/>
    <w:rsid w:val="00B81FE1"/>
    <w:rsid w:val="00B8438B"/>
    <w:rsid w:val="00B85261"/>
    <w:rsid w:val="00B94854"/>
    <w:rsid w:val="00BA13EA"/>
    <w:rsid w:val="00BA2BEF"/>
    <w:rsid w:val="00BA434A"/>
    <w:rsid w:val="00BA46A1"/>
    <w:rsid w:val="00BA4735"/>
    <w:rsid w:val="00BA6FE6"/>
    <w:rsid w:val="00BB0B87"/>
    <w:rsid w:val="00BB271A"/>
    <w:rsid w:val="00BB2DFC"/>
    <w:rsid w:val="00BC0065"/>
    <w:rsid w:val="00BC04A8"/>
    <w:rsid w:val="00BC1D8F"/>
    <w:rsid w:val="00BC7B51"/>
    <w:rsid w:val="00BD0D81"/>
    <w:rsid w:val="00BD24ED"/>
    <w:rsid w:val="00BD4519"/>
    <w:rsid w:val="00BD4C57"/>
    <w:rsid w:val="00BD5D69"/>
    <w:rsid w:val="00BE016B"/>
    <w:rsid w:val="00BE0AD9"/>
    <w:rsid w:val="00BE39F3"/>
    <w:rsid w:val="00BE436E"/>
    <w:rsid w:val="00BE63B5"/>
    <w:rsid w:val="00BE7DC1"/>
    <w:rsid w:val="00C01A56"/>
    <w:rsid w:val="00C02638"/>
    <w:rsid w:val="00C06465"/>
    <w:rsid w:val="00C07291"/>
    <w:rsid w:val="00C10098"/>
    <w:rsid w:val="00C157F3"/>
    <w:rsid w:val="00C228DD"/>
    <w:rsid w:val="00C22D09"/>
    <w:rsid w:val="00C23050"/>
    <w:rsid w:val="00C30BBD"/>
    <w:rsid w:val="00C33B53"/>
    <w:rsid w:val="00C36E8F"/>
    <w:rsid w:val="00C41D2A"/>
    <w:rsid w:val="00C45D0C"/>
    <w:rsid w:val="00C45E67"/>
    <w:rsid w:val="00C5095C"/>
    <w:rsid w:val="00C50C52"/>
    <w:rsid w:val="00C56161"/>
    <w:rsid w:val="00C56B0E"/>
    <w:rsid w:val="00C608EA"/>
    <w:rsid w:val="00C6254A"/>
    <w:rsid w:val="00C62F4F"/>
    <w:rsid w:val="00C63C62"/>
    <w:rsid w:val="00C65174"/>
    <w:rsid w:val="00C65256"/>
    <w:rsid w:val="00C77758"/>
    <w:rsid w:val="00C81776"/>
    <w:rsid w:val="00C8248B"/>
    <w:rsid w:val="00C82AA2"/>
    <w:rsid w:val="00C82BCB"/>
    <w:rsid w:val="00C907EB"/>
    <w:rsid w:val="00C93170"/>
    <w:rsid w:val="00C93E2E"/>
    <w:rsid w:val="00C97C26"/>
    <w:rsid w:val="00CA0277"/>
    <w:rsid w:val="00CA20DA"/>
    <w:rsid w:val="00CA2913"/>
    <w:rsid w:val="00CA3061"/>
    <w:rsid w:val="00CA4516"/>
    <w:rsid w:val="00CB41F5"/>
    <w:rsid w:val="00CB7331"/>
    <w:rsid w:val="00CC0E4B"/>
    <w:rsid w:val="00CC1960"/>
    <w:rsid w:val="00CC5C6D"/>
    <w:rsid w:val="00CC5F44"/>
    <w:rsid w:val="00CC6C98"/>
    <w:rsid w:val="00CC76B2"/>
    <w:rsid w:val="00CD6768"/>
    <w:rsid w:val="00CE4706"/>
    <w:rsid w:val="00CF18BC"/>
    <w:rsid w:val="00CF359D"/>
    <w:rsid w:val="00CF4154"/>
    <w:rsid w:val="00CF49A9"/>
    <w:rsid w:val="00D07434"/>
    <w:rsid w:val="00D10E91"/>
    <w:rsid w:val="00D10EA1"/>
    <w:rsid w:val="00D11E5B"/>
    <w:rsid w:val="00D15873"/>
    <w:rsid w:val="00D16287"/>
    <w:rsid w:val="00D1779D"/>
    <w:rsid w:val="00D23A25"/>
    <w:rsid w:val="00D25FA1"/>
    <w:rsid w:val="00D308DF"/>
    <w:rsid w:val="00D40C52"/>
    <w:rsid w:val="00D4496D"/>
    <w:rsid w:val="00D4779B"/>
    <w:rsid w:val="00D50712"/>
    <w:rsid w:val="00D50B5B"/>
    <w:rsid w:val="00D54B47"/>
    <w:rsid w:val="00D56CC9"/>
    <w:rsid w:val="00D618DB"/>
    <w:rsid w:val="00D75097"/>
    <w:rsid w:val="00D80821"/>
    <w:rsid w:val="00D808D7"/>
    <w:rsid w:val="00D820FE"/>
    <w:rsid w:val="00D82C9B"/>
    <w:rsid w:val="00D90687"/>
    <w:rsid w:val="00D91833"/>
    <w:rsid w:val="00D91876"/>
    <w:rsid w:val="00D95115"/>
    <w:rsid w:val="00D963EE"/>
    <w:rsid w:val="00D96A91"/>
    <w:rsid w:val="00DA0EC6"/>
    <w:rsid w:val="00DA3B2E"/>
    <w:rsid w:val="00DA4E79"/>
    <w:rsid w:val="00DA6317"/>
    <w:rsid w:val="00DB02E1"/>
    <w:rsid w:val="00DB18A6"/>
    <w:rsid w:val="00DB3A35"/>
    <w:rsid w:val="00DB63C7"/>
    <w:rsid w:val="00DB6F58"/>
    <w:rsid w:val="00DB79AF"/>
    <w:rsid w:val="00DC24B4"/>
    <w:rsid w:val="00DC30D9"/>
    <w:rsid w:val="00DC5E4B"/>
    <w:rsid w:val="00DD59E2"/>
    <w:rsid w:val="00DE4655"/>
    <w:rsid w:val="00DE5A7F"/>
    <w:rsid w:val="00DF1095"/>
    <w:rsid w:val="00DF7154"/>
    <w:rsid w:val="00E04BC2"/>
    <w:rsid w:val="00E04F7A"/>
    <w:rsid w:val="00E0559D"/>
    <w:rsid w:val="00E0585A"/>
    <w:rsid w:val="00E066BB"/>
    <w:rsid w:val="00E07B82"/>
    <w:rsid w:val="00E21D93"/>
    <w:rsid w:val="00E25FD0"/>
    <w:rsid w:val="00E26264"/>
    <w:rsid w:val="00E328D8"/>
    <w:rsid w:val="00E34EA1"/>
    <w:rsid w:val="00E37B31"/>
    <w:rsid w:val="00E42868"/>
    <w:rsid w:val="00E42BDB"/>
    <w:rsid w:val="00E430D8"/>
    <w:rsid w:val="00E53082"/>
    <w:rsid w:val="00E54B54"/>
    <w:rsid w:val="00E561FA"/>
    <w:rsid w:val="00E616A0"/>
    <w:rsid w:val="00E63545"/>
    <w:rsid w:val="00E64D61"/>
    <w:rsid w:val="00E66F0C"/>
    <w:rsid w:val="00E70944"/>
    <w:rsid w:val="00E7327F"/>
    <w:rsid w:val="00E73433"/>
    <w:rsid w:val="00E753CD"/>
    <w:rsid w:val="00E90947"/>
    <w:rsid w:val="00E92468"/>
    <w:rsid w:val="00E94026"/>
    <w:rsid w:val="00E961F3"/>
    <w:rsid w:val="00EA1318"/>
    <w:rsid w:val="00EA1707"/>
    <w:rsid w:val="00EA267A"/>
    <w:rsid w:val="00EA6A82"/>
    <w:rsid w:val="00EB1DEA"/>
    <w:rsid w:val="00EB4FBB"/>
    <w:rsid w:val="00EB5D0C"/>
    <w:rsid w:val="00EC7C7F"/>
    <w:rsid w:val="00ED0C1F"/>
    <w:rsid w:val="00ED139C"/>
    <w:rsid w:val="00ED72C6"/>
    <w:rsid w:val="00EE0A6C"/>
    <w:rsid w:val="00EE32D7"/>
    <w:rsid w:val="00EF2BE0"/>
    <w:rsid w:val="00F010E0"/>
    <w:rsid w:val="00F04BAA"/>
    <w:rsid w:val="00F059F3"/>
    <w:rsid w:val="00F07750"/>
    <w:rsid w:val="00F1220F"/>
    <w:rsid w:val="00F12955"/>
    <w:rsid w:val="00F16184"/>
    <w:rsid w:val="00F163DF"/>
    <w:rsid w:val="00F20F62"/>
    <w:rsid w:val="00F234D3"/>
    <w:rsid w:val="00F31790"/>
    <w:rsid w:val="00F32FDC"/>
    <w:rsid w:val="00F3490F"/>
    <w:rsid w:val="00F362E2"/>
    <w:rsid w:val="00F37E0F"/>
    <w:rsid w:val="00F408F9"/>
    <w:rsid w:val="00F42A7E"/>
    <w:rsid w:val="00F452AD"/>
    <w:rsid w:val="00F47190"/>
    <w:rsid w:val="00F519A7"/>
    <w:rsid w:val="00F51A5E"/>
    <w:rsid w:val="00F52A30"/>
    <w:rsid w:val="00F61BC5"/>
    <w:rsid w:val="00F651F2"/>
    <w:rsid w:val="00F7499E"/>
    <w:rsid w:val="00F775C9"/>
    <w:rsid w:val="00F83693"/>
    <w:rsid w:val="00F83CB3"/>
    <w:rsid w:val="00F87D70"/>
    <w:rsid w:val="00F90DF1"/>
    <w:rsid w:val="00FA2E63"/>
    <w:rsid w:val="00FA6DE0"/>
    <w:rsid w:val="00FB1829"/>
    <w:rsid w:val="00FB2B87"/>
    <w:rsid w:val="00FB7A63"/>
    <w:rsid w:val="00FC01A4"/>
    <w:rsid w:val="00FC04E6"/>
    <w:rsid w:val="00FE01D8"/>
    <w:rsid w:val="00FF11DF"/>
    <w:rsid w:val="00FF12DA"/>
    <w:rsid w:val="00FF219D"/>
    <w:rsid w:val="00FF5F02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4C2DF"/>
  <w15:chartTrackingRefBased/>
  <w15:docId w15:val="{22BE5F37-9464-4264-8363-7D081782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DD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7F44"/>
    <w:pPr>
      <w:spacing w:after="0" w:line="240" w:lineRule="auto"/>
    </w:pPr>
  </w:style>
  <w:style w:type="table" w:styleId="TableGrid">
    <w:name w:val="Table Grid"/>
    <w:basedOn w:val="TableNormal"/>
    <w:uiPriority w:val="59"/>
    <w:rsid w:val="007E6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36BDA"/>
    <w:pPr>
      <w:ind w:left="720"/>
    </w:pPr>
    <w:rPr>
      <w:rFonts w:ascii="Times New Roman" w:eastAsia="Times New Roman" w:hAnsi="Times New Roman"/>
      <w:b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A25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A25"/>
    <w:rPr>
      <w:rFonts w:ascii="Times New Roman" w:eastAsia="Calibri" w:hAnsi="Times New Roman" w:cs="Times New Roman"/>
      <w:sz w:val="18"/>
      <w:szCs w:val="18"/>
    </w:rPr>
  </w:style>
  <w:style w:type="paragraph" w:customStyle="1" w:styleId="gmail-msonospacing">
    <w:name w:val="gmail-msonospacing"/>
    <w:basedOn w:val="Normal"/>
    <w:rsid w:val="00300468"/>
    <w:pPr>
      <w:spacing w:before="100" w:beforeAutospacing="1" w:after="100" w:afterAutospacing="1"/>
    </w:pPr>
    <w:rPr>
      <w:rFonts w:eastAsiaTheme="minorHAnsi" w:cs="Calibri"/>
      <w:lang w:eastAsia="en-GB"/>
    </w:rPr>
  </w:style>
  <w:style w:type="paragraph" w:customStyle="1" w:styleId="gmail-msonormal">
    <w:name w:val="gmail-msonormal"/>
    <w:basedOn w:val="Normal"/>
    <w:rsid w:val="00300468"/>
    <w:pPr>
      <w:spacing w:before="100" w:beforeAutospacing="1" w:after="100" w:afterAutospacing="1"/>
    </w:pPr>
    <w:rPr>
      <w:rFonts w:eastAsiaTheme="minorHAnsi" w:cs="Calibri"/>
      <w:lang w:eastAsia="en-GB"/>
    </w:rPr>
  </w:style>
  <w:style w:type="character" w:customStyle="1" w:styleId="hgkelc">
    <w:name w:val="hgkelc"/>
    <w:basedOn w:val="DefaultParagraphFont"/>
    <w:rsid w:val="00F51A5E"/>
  </w:style>
  <w:style w:type="paragraph" w:styleId="Header">
    <w:name w:val="header"/>
    <w:basedOn w:val="Normal"/>
    <w:link w:val="HeaderChar"/>
    <w:uiPriority w:val="99"/>
    <w:unhideWhenUsed/>
    <w:rsid w:val="006629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9E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629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9EF"/>
    <w:rPr>
      <w:rFonts w:ascii="Calibri" w:eastAsia="Calibri" w:hAnsi="Calibri" w:cs="Times New Roman"/>
    </w:rPr>
  </w:style>
  <w:style w:type="paragraph" w:customStyle="1" w:styleId="StyleGNormalArial">
    <w:name w:val="Style GNormal + Arial"/>
    <w:basedOn w:val="Normal"/>
    <w:link w:val="StyleGNormalArialChar"/>
    <w:rsid w:val="003C1F2C"/>
    <w:pPr>
      <w:jc w:val="both"/>
    </w:pPr>
    <w:rPr>
      <w:rFonts w:ascii="Arial" w:eastAsia="Times New Roman" w:hAnsi="Arial"/>
      <w:sz w:val="20"/>
      <w:szCs w:val="20"/>
    </w:rPr>
  </w:style>
  <w:style w:type="character" w:customStyle="1" w:styleId="StyleGNormalArialChar">
    <w:name w:val="Style GNormal + Arial Char"/>
    <w:link w:val="StyleGNormalArial"/>
    <w:rsid w:val="003C1F2C"/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B0161A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customStyle="1" w:styleId="Body">
    <w:name w:val="Body"/>
    <w:basedOn w:val="Normal"/>
    <w:link w:val="BodyChar"/>
    <w:autoRedefine/>
    <w:qFormat/>
    <w:rsid w:val="00550B6D"/>
    <w:pPr>
      <w:spacing w:before="120" w:after="12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BodyChar">
    <w:name w:val="Body Char"/>
    <w:basedOn w:val="DefaultParagraphFont"/>
    <w:link w:val="Body"/>
    <w:rsid w:val="00550B6D"/>
    <w:rPr>
      <w:rFonts w:ascii="Arial" w:eastAsia="Calibri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66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4F45C-9FBD-4CAC-BCE8-2917B420D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 Bassett</dc:creator>
  <cp:keywords/>
  <dc:description/>
  <cp:lastModifiedBy>John Kirk</cp:lastModifiedBy>
  <cp:revision>2</cp:revision>
  <dcterms:created xsi:type="dcterms:W3CDTF">2022-04-04T10:49:00Z</dcterms:created>
  <dcterms:modified xsi:type="dcterms:W3CDTF">2022-04-04T10:49:00Z</dcterms:modified>
</cp:coreProperties>
</file>