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A8312" w14:textId="77777777" w:rsidR="001E3DD7" w:rsidRPr="003475F7" w:rsidRDefault="001E3DD7" w:rsidP="001E3DD7">
      <w:pPr>
        <w:jc w:val="center"/>
        <w:rPr>
          <w:rFonts w:ascii="Verdana" w:hAnsi="Verdana"/>
          <w:b/>
        </w:rPr>
      </w:pPr>
      <w:r>
        <w:rPr>
          <w:rFonts w:ascii="Verdana" w:hAnsi="Verdana"/>
          <w:b/>
        </w:rPr>
        <w:t xml:space="preserve">CORPORATION OF </w:t>
      </w:r>
      <w:r w:rsidRPr="003475F7">
        <w:rPr>
          <w:rFonts w:ascii="Verdana" w:hAnsi="Verdana"/>
          <w:b/>
        </w:rPr>
        <w:t>SIR GEORGE MONOUX COLLEGE</w:t>
      </w:r>
    </w:p>
    <w:p w14:paraId="2C13002A" w14:textId="77777777" w:rsidR="001E3DD7" w:rsidRPr="003475F7" w:rsidRDefault="001E3DD7" w:rsidP="001E3DD7">
      <w:pPr>
        <w:jc w:val="center"/>
        <w:rPr>
          <w:rFonts w:ascii="Verdana" w:hAnsi="Verdana"/>
          <w:b/>
        </w:rPr>
      </w:pPr>
    </w:p>
    <w:p w14:paraId="49B6820F" w14:textId="2B0276C4" w:rsidR="00C82AA2" w:rsidRDefault="001E3DD7" w:rsidP="001E3DD7">
      <w:pPr>
        <w:jc w:val="center"/>
        <w:rPr>
          <w:rFonts w:ascii="Verdana" w:hAnsi="Verdana"/>
          <w:b/>
        </w:rPr>
      </w:pPr>
      <w:r w:rsidRPr="003475F7">
        <w:rPr>
          <w:rFonts w:ascii="Verdana" w:hAnsi="Verdana"/>
          <w:b/>
        </w:rPr>
        <w:t xml:space="preserve">Minutes of the Meeting of the </w:t>
      </w:r>
      <w:r>
        <w:rPr>
          <w:rFonts w:ascii="Verdana" w:hAnsi="Verdana"/>
          <w:b/>
        </w:rPr>
        <w:t>Audit</w:t>
      </w:r>
      <w:r w:rsidRPr="003475F7">
        <w:rPr>
          <w:rFonts w:ascii="Verdana" w:hAnsi="Verdana"/>
          <w:b/>
        </w:rPr>
        <w:t xml:space="preserve"> Committee</w:t>
      </w:r>
      <w:r w:rsidR="00C82AA2">
        <w:rPr>
          <w:rFonts w:ascii="Verdana" w:hAnsi="Verdana"/>
          <w:b/>
        </w:rPr>
        <w:t xml:space="preserve"> </w:t>
      </w:r>
      <w:r w:rsidRPr="003475F7">
        <w:rPr>
          <w:rFonts w:ascii="Verdana" w:hAnsi="Verdana"/>
          <w:b/>
        </w:rPr>
        <w:t xml:space="preserve"> </w:t>
      </w:r>
    </w:p>
    <w:p w14:paraId="6712886C" w14:textId="315EA2AD" w:rsidR="001E3DD7" w:rsidRDefault="001E3DD7" w:rsidP="00C82AA2">
      <w:pPr>
        <w:jc w:val="center"/>
        <w:rPr>
          <w:rFonts w:ascii="Verdana" w:hAnsi="Verdana"/>
          <w:b/>
        </w:rPr>
      </w:pPr>
      <w:r w:rsidRPr="003475F7">
        <w:rPr>
          <w:rFonts w:ascii="Verdana" w:hAnsi="Verdana"/>
          <w:b/>
        </w:rPr>
        <w:t xml:space="preserve">held on </w:t>
      </w:r>
      <w:r w:rsidR="00C014F2">
        <w:rPr>
          <w:rFonts w:ascii="Verdana" w:hAnsi="Verdana"/>
          <w:b/>
        </w:rPr>
        <w:t>15 June 2021</w:t>
      </w:r>
    </w:p>
    <w:p w14:paraId="4D087545" w14:textId="77777777" w:rsidR="001E3DD7" w:rsidRDefault="001E3DD7" w:rsidP="007840EE">
      <w:pPr>
        <w:rPr>
          <w:rFonts w:ascii="Verdana" w:hAnsi="Verdana"/>
          <w:b/>
        </w:rPr>
      </w:pPr>
    </w:p>
    <w:tbl>
      <w:tblPr>
        <w:tblW w:w="0" w:type="auto"/>
        <w:tblLook w:val="04A0" w:firstRow="1" w:lastRow="0" w:firstColumn="1" w:lastColumn="0" w:noHBand="0" w:noVBand="1"/>
      </w:tblPr>
      <w:tblGrid>
        <w:gridCol w:w="2348"/>
        <w:gridCol w:w="6668"/>
      </w:tblGrid>
      <w:tr w:rsidR="00FB7A63" w:rsidRPr="003D3002" w14:paraId="657F3A5A" w14:textId="77777777" w:rsidTr="00970693">
        <w:tc>
          <w:tcPr>
            <w:tcW w:w="2348" w:type="dxa"/>
          </w:tcPr>
          <w:p w14:paraId="5887B055" w14:textId="77777777" w:rsidR="001E3DD7" w:rsidRPr="003D3002" w:rsidRDefault="001E3DD7" w:rsidP="002D2153">
            <w:pPr>
              <w:rPr>
                <w:rFonts w:ascii="Verdana" w:hAnsi="Verdana"/>
                <w:b/>
              </w:rPr>
            </w:pPr>
            <w:r w:rsidRPr="003D3002">
              <w:rPr>
                <w:rFonts w:ascii="Verdana" w:hAnsi="Verdana"/>
                <w:b/>
              </w:rPr>
              <w:t>Present</w:t>
            </w:r>
          </w:p>
          <w:p w14:paraId="688485AB" w14:textId="77777777" w:rsidR="001E3DD7" w:rsidRPr="003D3002" w:rsidRDefault="001E3DD7" w:rsidP="002D2153">
            <w:pPr>
              <w:rPr>
                <w:rFonts w:ascii="Verdana" w:hAnsi="Verdana"/>
                <w:b/>
              </w:rPr>
            </w:pPr>
          </w:p>
        </w:tc>
        <w:tc>
          <w:tcPr>
            <w:tcW w:w="6668" w:type="dxa"/>
          </w:tcPr>
          <w:p w14:paraId="3F08D454" w14:textId="61D6EFA4" w:rsidR="001E3DD7" w:rsidRPr="003D3002" w:rsidRDefault="005667AD" w:rsidP="002D2153">
            <w:pPr>
              <w:rPr>
                <w:rFonts w:ascii="Verdana" w:hAnsi="Verdana"/>
              </w:rPr>
            </w:pPr>
            <w:r>
              <w:rPr>
                <w:rFonts w:ascii="Verdana" w:hAnsi="Verdana"/>
              </w:rPr>
              <w:t>Riddhi Bhalla</w:t>
            </w:r>
            <w:r w:rsidR="00B3680E">
              <w:rPr>
                <w:rFonts w:ascii="Verdana" w:hAnsi="Verdana"/>
              </w:rPr>
              <w:t xml:space="preserve"> (Chair), </w:t>
            </w:r>
            <w:r w:rsidR="004C1BEA">
              <w:rPr>
                <w:rFonts w:ascii="Verdana" w:hAnsi="Verdana"/>
              </w:rPr>
              <w:t xml:space="preserve">Adenike Betiku, </w:t>
            </w:r>
            <w:r w:rsidR="007840EE">
              <w:rPr>
                <w:rFonts w:ascii="Verdana" w:hAnsi="Verdana"/>
              </w:rPr>
              <w:t>Talia Chirou</w:t>
            </w:r>
            <w:r w:rsidR="0050652E">
              <w:rPr>
                <w:rFonts w:ascii="Verdana" w:hAnsi="Verdana"/>
              </w:rPr>
              <w:t>f</w:t>
            </w:r>
            <w:r w:rsidR="001E3DD7">
              <w:rPr>
                <w:rFonts w:ascii="Verdana" w:hAnsi="Verdana"/>
              </w:rPr>
              <w:t xml:space="preserve">. </w:t>
            </w:r>
            <w:r w:rsidR="00E561FA">
              <w:rPr>
                <w:rFonts w:ascii="Verdana" w:hAnsi="Verdana"/>
              </w:rPr>
              <w:t xml:space="preserve"> </w:t>
            </w:r>
          </w:p>
          <w:p w14:paraId="50C660DF" w14:textId="77777777" w:rsidR="001E3DD7" w:rsidRPr="003D3002" w:rsidRDefault="001E3DD7" w:rsidP="002D2153">
            <w:pPr>
              <w:rPr>
                <w:rFonts w:ascii="Verdana" w:hAnsi="Verdana"/>
              </w:rPr>
            </w:pPr>
          </w:p>
        </w:tc>
      </w:tr>
      <w:tr w:rsidR="00FB7A63" w:rsidRPr="003D3002" w14:paraId="0B868D94" w14:textId="77777777" w:rsidTr="00970693">
        <w:tc>
          <w:tcPr>
            <w:tcW w:w="2348" w:type="dxa"/>
          </w:tcPr>
          <w:p w14:paraId="5CEE8BC0" w14:textId="408C3BF3" w:rsidR="001E3DD7" w:rsidRDefault="00F20F62" w:rsidP="002D2153">
            <w:pPr>
              <w:rPr>
                <w:rFonts w:ascii="Verdana" w:hAnsi="Verdana"/>
                <w:b/>
              </w:rPr>
            </w:pPr>
            <w:r>
              <w:rPr>
                <w:rFonts w:ascii="Verdana" w:hAnsi="Verdana"/>
                <w:b/>
              </w:rPr>
              <w:t>In Attendance</w:t>
            </w:r>
          </w:p>
          <w:p w14:paraId="467424A8" w14:textId="77777777" w:rsidR="001E3DD7" w:rsidRPr="003D3002" w:rsidRDefault="001E3DD7" w:rsidP="002D2153">
            <w:pPr>
              <w:rPr>
                <w:rFonts w:ascii="Verdana" w:hAnsi="Verdana"/>
                <w:b/>
              </w:rPr>
            </w:pPr>
          </w:p>
        </w:tc>
        <w:tc>
          <w:tcPr>
            <w:tcW w:w="6668" w:type="dxa"/>
          </w:tcPr>
          <w:p w14:paraId="70AF2E0D" w14:textId="388F66B4" w:rsidR="001E3DD7" w:rsidRPr="003D3002" w:rsidRDefault="00F20F62" w:rsidP="002D2153">
            <w:pPr>
              <w:rPr>
                <w:rFonts w:ascii="Verdana" w:hAnsi="Verdana"/>
              </w:rPr>
            </w:pPr>
            <w:r>
              <w:rPr>
                <w:rFonts w:ascii="Verdana" w:hAnsi="Verdana"/>
              </w:rPr>
              <w:t>David Ball</w:t>
            </w:r>
            <w:r w:rsidR="00416E10">
              <w:rPr>
                <w:rFonts w:ascii="Verdana" w:hAnsi="Verdana"/>
              </w:rPr>
              <w:t xml:space="preserve"> (</w:t>
            </w:r>
            <w:r w:rsidR="00014DE5">
              <w:rPr>
                <w:rFonts w:ascii="Verdana" w:hAnsi="Verdana"/>
              </w:rPr>
              <w:t>Senior Director of Finance &amp; Resources)</w:t>
            </w:r>
            <w:r w:rsidR="00416E10">
              <w:rPr>
                <w:rFonts w:ascii="Verdana" w:hAnsi="Verdana"/>
              </w:rPr>
              <w:t xml:space="preserve">, </w:t>
            </w:r>
            <w:r w:rsidR="0050652E">
              <w:rPr>
                <w:rFonts w:ascii="Verdana" w:hAnsi="Verdana"/>
              </w:rPr>
              <w:t>Carl Bullen</w:t>
            </w:r>
            <w:r w:rsidR="007840EE">
              <w:rPr>
                <w:rFonts w:ascii="Verdana" w:hAnsi="Verdana"/>
              </w:rPr>
              <w:t xml:space="preserve"> (</w:t>
            </w:r>
            <w:proofErr w:type="spellStart"/>
            <w:r w:rsidR="007840EE">
              <w:rPr>
                <w:rFonts w:ascii="Verdana" w:hAnsi="Verdana"/>
              </w:rPr>
              <w:t>Scrutton</w:t>
            </w:r>
            <w:proofErr w:type="spellEnd"/>
            <w:r w:rsidR="007840EE">
              <w:rPr>
                <w:rFonts w:ascii="Verdana" w:hAnsi="Verdana"/>
              </w:rPr>
              <w:t xml:space="preserve"> Bland: Internal Audit Service)</w:t>
            </w:r>
            <w:r w:rsidR="00D10E91">
              <w:rPr>
                <w:rFonts w:ascii="Verdana" w:hAnsi="Verdana"/>
              </w:rPr>
              <w:t>,</w:t>
            </w:r>
            <w:r w:rsidR="00A90E8B">
              <w:rPr>
                <w:rFonts w:ascii="Verdana" w:hAnsi="Verdana"/>
              </w:rPr>
              <w:t xml:space="preserve"> </w:t>
            </w:r>
            <w:r w:rsidR="004D696D">
              <w:rPr>
                <w:rFonts w:ascii="Verdana" w:hAnsi="Verdana"/>
              </w:rPr>
              <w:t>Sudh</w:t>
            </w:r>
            <w:r w:rsidR="00E93DF3">
              <w:rPr>
                <w:rFonts w:ascii="Verdana" w:hAnsi="Verdana"/>
              </w:rPr>
              <w:t>i</w:t>
            </w:r>
            <w:r w:rsidR="004D696D">
              <w:rPr>
                <w:rFonts w:ascii="Verdana" w:hAnsi="Verdana"/>
              </w:rPr>
              <w:t xml:space="preserve">r Singh (External Auditor), </w:t>
            </w:r>
            <w:r w:rsidR="00014B21">
              <w:rPr>
                <w:rFonts w:ascii="Verdana" w:hAnsi="Verdana"/>
              </w:rPr>
              <w:t>Robert Smith (Clerk to the Corporation)</w:t>
            </w:r>
            <w:r w:rsidR="00E93DF3">
              <w:rPr>
                <w:rFonts w:ascii="Verdana" w:hAnsi="Verdana"/>
              </w:rPr>
              <w:t>.</w:t>
            </w:r>
          </w:p>
        </w:tc>
      </w:tr>
    </w:tbl>
    <w:p w14:paraId="16A121E9" w14:textId="77777777" w:rsidR="001E3DD7" w:rsidRDefault="001E3DD7" w:rsidP="001E3DD7">
      <w:pPr>
        <w:rPr>
          <w:rFonts w:ascii="Verdana" w:hAnsi="Verdana"/>
          <w:b/>
        </w:rPr>
      </w:pPr>
    </w:p>
    <w:tbl>
      <w:tblPr>
        <w:tblW w:w="0" w:type="auto"/>
        <w:tblLook w:val="04A0" w:firstRow="1" w:lastRow="0" w:firstColumn="1" w:lastColumn="0" w:noHBand="0" w:noVBand="1"/>
      </w:tblPr>
      <w:tblGrid>
        <w:gridCol w:w="529"/>
        <w:gridCol w:w="8487"/>
      </w:tblGrid>
      <w:tr w:rsidR="001E3DD7" w:rsidRPr="003D3002" w14:paraId="04713CC2" w14:textId="77777777" w:rsidTr="00970693">
        <w:tc>
          <w:tcPr>
            <w:tcW w:w="529" w:type="dxa"/>
          </w:tcPr>
          <w:p w14:paraId="3E9EAE4D" w14:textId="77777777" w:rsidR="001E3DD7" w:rsidRPr="00A85237" w:rsidRDefault="001E3DD7" w:rsidP="002D2153">
            <w:pPr>
              <w:pStyle w:val="NoSpacing"/>
              <w:rPr>
                <w:rFonts w:ascii="Verdana" w:hAnsi="Verdana"/>
                <w:b/>
              </w:rPr>
            </w:pPr>
            <w:r w:rsidRPr="00A85237">
              <w:rPr>
                <w:rFonts w:ascii="Verdana" w:hAnsi="Verdana"/>
                <w:b/>
              </w:rPr>
              <w:t>1</w:t>
            </w:r>
          </w:p>
        </w:tc>
        <w:tc>
          <w:tcPr>
            <w:tcW w:w="8487" w:type="dxa"/>
          </w:tcPr>
          <w:p w14:paraId="6891A4D3" w14:textId="27A8FAF1" w:rsidR="001E3DD7" w:rsidRPr="00A85237" w:rsidRDefault="001E3DD7" w:rsidP="002D2153">
            <w:pPr>
              <w:pStyle w:val="NoSpacing"/>
              <w:rPr>
                <w:rFonts w:ascii="Verdana" w:hAnsi="Verdana"/>
                <w:b/>
              </w:rPr>
            </w:pPr>
            <w:r w:rsidRPr="00A85237">
              <w:rPr>
                <w:rFonts w:ascii="Verdana" w:hAnsi="Verdana"/>
                <w:b/>
              </w:rPr>
              <w:t>Apologies for Absence</w:t>
            </w:r>
            <w:r>
              <w:rPr>
                <w:rFonts w:ascii="Verdana" w:hAnsi="Verdana"/>
                <w:b/>
              </w:rPr>
              <w:t xml:space="preserve"> and Quoracy</w:t>
            </w:r>
          </w:p>
          <w:p w14:paraId="366D1F39" w14:textId="5630E6A1" w:rsidR="001E3DD7" w:rsidRDefault="001E3DD7" w:rsidP="002D2153">
            <w:pPr>
              <w:pStyle w:val="NoSpacing"/>
              <w:rPr>
                <w:rFonts w:ascii="Verdana" w:hAnsi="Verdana"/>
              </w:rPr>
            </w:pPr>
          </w:p>
          <w:p w14:paraId="0D0EC78A" w14:textId="4F21938F" w:rsidR="008924AA" w:rsidRDefault="0044247E" w:rsidP="002D2153">
            <w:pPr>
              <w:pStyle w:val="NoSpacing"/>
              <w:rPr>
                <w:rFonts w:ascii="Verdana" w:hAnsi="Verdana"/>
              </w:rPr>
            </w:pPr>
            <w:r>
              <w:rPr>
                <w:rFonts w:ascii="Verdana" w:hAnsi="Verdana"/>
              </w:rPr>
              <w:t xml:space="preserve">No apologies had been received.  </w:t>
            </w:r>
            <w:r w:rsidR="008924AA">
              <w:rPr>
                <w:rFonts w:ascii="Verdana" w:hAnsi="Verdana"/>
              </w:rPr>
              <w:t>The meeting was quorate.</w:t>
            </w:r>
          </w:p>
          <w:p w14:paraId="0C71CA79" w14:textId="77777777" w:rsidR="001E3DD7" w:rsidRPr="00A85237" w:rsidRDefault="001E3DD7" w:rsidP="005667AD">
            <w:pPr>
              <w:pStyle w:val="NoSpacing"/>
              <w:rPr>
                <w:rFonts w:ascii="Verdana" w:hAnsi="Verdana"/>
              </w:rPr>
            </w:pPr>
          </w:p>
        </w:tc>
      </w:tr>
      <w:tr w:rsidR="001E3DD7" w:rsidRPr="00EA6008" w14:paraId="7B57ED0C" w14:textId="77777777" w:rsidTr="00970693">
        <w:tc>
          <w:tcPr>
            <w:tcW w:w="529" w:type="dxa"/>
          </w:tcPr>
          <w:p w14:paraId="073485D1" w14:textId="77777777" w:rsidR="001E3DD7" w:rsidRPr="008D40C1" w:rsidRDefault="001E3DD7" w:rsidP="002D2153">
            <w:pPr>
              <w:pStyle w:val="NoSpacing"/>
              <w:rPr>
                <w:rFonts w:ascii="Verdana" w:hAnsi="Verdana"/>
                <w:b/>
              </w:rPr>
            </w:pPr>
            <w:r w:rsidRPr="008D40C1">
              <w:rPr>
                <w:rFonts w:ascii="Verdana" w:hAnsi="Verdana"/>
                <w:b/>
              </w:rPr>
              <w:t>2</w:t>
            </w:r>
          </w:p>
        </w:tc>
        <w:tc>
          <w:tcPr>
            <w:tcW w:w="8487" w:type="dxa"/>
          </w:tcPr>
          <w:p w14:paraId="04FE6444" w14:textId="77777777" w:rsidR="001E3DD7" w:rsidRPr="008D40C1" w:rsidRDefault="001E3DD7" w:rsidP="002D2153">
            <w:pPr>
              <w:pStyle w:val="NoSpacing"/>
              <w:rPr>
                <w:rFonts w:ascii="Verdana" w:hAnsi="Verdana"/>
                <w:b/>
              </w:rPr>
            </w:pPr>
            <w:r w:rsidRPr="008D40C1">
              <w:rPr>
                <w:rFonts w:ascii="Verdana" w:hAnsi="Verdana"/>
                <w:b/>
              </w:rPr>
              <w:t>Declarations of Interest</w:t>
            </w:r>
          </w:p>
          <w:p w14:paraId="2E59472A" w14:textId="77777777" w:rsidR="001E3DD7" w:rsidRPr="008D40C1" w:rsidRDefault="001E3DD7" w:rsidP="002D2153">
            <w:pPr>
              <w:pStyle w:val="NoSpacing"/>
              <w:rPr>
                <w:rFonts w:ascii="Verdana" w:hAnsi="Verdana"/>
                <w:b/>
              </w:rPr>
            </w:pPr>
          </w:p>
          <w:p w14:paraId="320BF485" w14:textId="77777777" w:rsidR="001E3DD7" w:rsidRPr="008D40C1" w:rsidRDefault="001E3DD7" w:rsidP="002D2153">
            <w:pPr>
              <w:pStyle w:val="NoSpacing"/>
              <w:rPr>
                <w:rFonts w:ascii="Verdana" w:hAnsi="Verdana"/>
              </w:rPr>
            </w:pPr>
            <w:r w:rsidRPr="008D40C1">
              <w:rPr>
                <w:rFonts w:ascii="Verdana" w:hAnsi="Verdana"/>
              </w:rPr>
              <w:t>None.</w:t>
            </w:r>
          </w:p>
          <w:p w14:paraId="0FB05920" w14:textId="77777777" w:rsidR="001E3DD7" w:rsidRPr="008D40C1" w:rsidRDefault="001E3DD7" w:rsidP="002D2153">
            <w:pPr>
              <w:pStyle w:val="NoSpacing"/>
              <w:rPr>
                <w:rFonts w:ascii="Verdana" w:hAnsi="Verdana"/>
                <w:b/>
              </w:rPr>
            </w:pPr>
          </w:p>
        </w:tc>
      </w:tr>
      <w:tr w:rsidR="001E3DD7" w:rsidRPr="00A85237" w14:paraId="2128F9CB" w14:textId="77777777" w:rsidTr="00970693">
        <w:tc>
          <w:tcPr>
            <w:tcW w:w="529" w:type="dxa"/>
          </w:tcPr>
          <w:p w14:paraId="772DF00C" w14:textId="77777777" w:rsidR="001E3DD7" w:rsidRPr="008D40C1" w:rsidRDefault="001E3DD7" w:rsidP="002D2153">
            <w:pPr>
              <w:pStyle w:val="NoSpacing"/>
              <w:rPr>
                <w:rFonts w:ascii="Verdana" w:hAnsi="Verdana"/>
                <w:b/>
              </w:rPr>
            </w:pPr>
            <w:r>
              <w:rPr>
                <w:rFonts w:ascii="Verdana" w:hAnsi="Verdana"/>
                <w:b/>
              </w:rPr>
              <w:t>3</w:t>
            </w:r>
          </w:p>
        </w:tc>
        <w:tc>
          <w:tcPr>
            <w:tcW w:w="8487" w:type="dxa"/>
          </w:tcPr>
          <w:p w14:paraId="304DE393" w14:textId="1B3A24F0" w:rsidR="001E3DD7" w:rsidRDefault="001E3DD7" w:rsidP="002D2153">
            <w:pPr>
              <w:pStyle w:val="NoSpacing"/>
              <w:rPr>
                <w:rFonts w:ascii="Verdana" w:hAnsi="Verdana"/>
                <w:b/>
              </w:rPr>
            </w:pPr>
            <w:r w:rsidRPr="008D40C1">
              <w:rPr>
                <w:rFonts w:ascii="Verdana" w:hAnsi="Verdana"/>
                <w:b/>
              </w:rPr>
              <w:t>Min</w:t>
            </w:r>
            <w:r>
              <w:rPr>
                <w:rFonts w:ascii="Verdana" w:hAnsi="Verdana"/>
                <w:b/>
              </w:rPr>
              <w:t>utes of th</w:t>
            </w:r>
            <w:r w:rsidR="00B3680E">
              <w:rPr>
                <w:rFonts w:ascii="Verdana" w:hAnsi="Verdana"/>
                <w:b/>
              </w:rPr>
              <w:t>e Previous Meeting</w:t>
            </w:r>
            <w:r w:rsidR="00BE1319">
              <w:rPr>
                <w:rFonts w:ascii="Verdana" w:hAnsi="Verdana"/>
                <w:b/>
              </w:rPr>
              <w:t xml:space="preserve">: </w:t>
            </w:r>
            <w:r w:rsidR="00C014F2">
              <w:rPr>
                <w:rFonts w:ascii="Verdana" w:hAnsi="Verdana"/>
                <w:b/>
              </w:rPr>
              <w:t>26 January 2021</w:t>
            </w:r>
          </w:p>
          <w:p w14:paraId="20A7BD77" w14:textId="77777777" w:rsidR="00C014F2" w:rsidRPr="008D40C1" w:rsidRDefault="00C014F2" w:rsidP="002D2153">
            <w:pPr>
              <w:pStyle w:val="NoSpacing"/>
              <w:rPr>
                <w:rFonts w:ascii="Verdana" w:hAnsi="Verdana"/>
                <w:b/>
              </w:rPr>
            </w:pPr>
          </w:p>
          <w:p w14:paraId="0FE54857" w14:textId="77777777" w:rsidR="007E6A1F" w:rsidRPr="00CA1B35" w:rsidRDefault="007E6A1F" w:rsidP="007E6A1F">
            <w:pPr>
              <w:rPr>
                <w:rFonts w:ascii="Verdana" w:hAnsi="Verdana"/>
              </w:rPr>
            </w:pPr>
            <w:r>
              <w:rPr>
                <w:rFonts w:ascii="Verdana" w:hAnsi="Verdana"/>
              </w:rPr>
              <w:t>It was</w:t>
            </w:r>
            <w:r w:rsidRPr="00CA1B35">
              <w:rPr>
                <w:rFonts w:ascii="Verdana" w:hAnsi="Verdana"/>
              </w:rPr>
              <w:t xml:space="preserve"> note</w:t>
            </w:r>
            <w:r>
              <w:rPr>
                <w:rFonts w:ascii="Verdana" w:hAnsi="Verdana"/>
              </w:rPr>
              <w:t>d that the draft minutes had been approved</w:t>
            </w:r>
            <w:r w:rsidRPr="00CA1B35">
              <w:rPr>
                <w:rFonts w:ascii="Verdana" w:hAnsi="Verdana"/>
              </w:rPr>
              <w:t xml:space="preserve"> by the Chair of the Co</w:t>
            </w:r>
            <w:r>
              <w:rPr>
                <w:rFonts w:ascii="Verdana" w:hAnsi="Verdana"/>
              </w:rPr>
              <w:t>mmittee</w:t>
            </w:r>
            <w:r w:rsidRPr="00CA1B35">
              <w:rPr>
                <w:rFonts w:ascii="Verdana" w:hAnsi="Verdana"/>
              </w:rPr>
              <w:t xml:space="preserve"> for circulation.</w:t>
            </w:r>
          </w:p>
          <w:p w14:paraId="3ECB5A6E" w14:textId="77777777" w:rsidR="007E6A1F" w:rsidRDefault="007E6A1F" w:rsidP="002D2153">
            <w:pPr>
              <w:pStyle w:val="NoSpacing"/>
              <w:rPr>
                <w:rFonts w:ascii="Verdana" w:hAnsi="Verdana"/>
              </w:rPr>
            </w:pPr>
          </w:p>
          <w:p w14:paraId="37205D90" w14:textId="1C473623" w:rsidR="001E3DD7" w:rsidRDefault="001E3DD7" w:rsidP="002D2153">
            <w:pPr>
              <w:pStyle w:val="NoSpacing"/>
              <w:rPr>
                <w:rFonts w:ascii="Verdana" w:hAnsi="Verdana"/>
              </w:rPr>
            </w:pPr>
            <w:r w:rsidRPr="008D40C1">
              <w:rPr>
                <w:rFonts w:ascii="Verdana" w:hAnsi="Verdana"/>
              </w:rPr>
              <w:t xml:space="preserve">The minutes were approved as a correct record of the business transacted, and </w:t>
            </w:r>
            <w:r w:rsidRPr="00B152B1">
              <w:rPr>
                <w:rFonts w:ascii="Verdana" w:hAnsi="Verdana"/>
                <w:i/>
              </w:rPr>
              <w:t>prima facie</w:t>
            </w:r>
            <w:r w:rsidRPr="008D40C1">
              <w:rPr>
                <w:rFonts w:ascii="Verdana" w:hAnsi="Verdana"/>
              </w:rPr>
              <w:t xml:space="preserve"> evidence of the proceedings to which they relate.</w:t>
            </w:r>
          </w:p>
          <w:p w14:paraId="6FB22B03" w14:textId="1416DD72" w:rsidR="000C355C" w:rsidRPr="008D40C1" w:rsidRDefault="000C355C" w:rsidP="002D2153">
            <w:pPr>
              <w:pStyle w:val="NoSpacing"/>
              <w:rPr>
                <w:rFonts w:ascii="Verdana" w:hAnsi="Verdana"/>
                <w:b/>
              </w:rPr>
            </w:pPr>
          </w:p>
        </w:tc>
      </w:tr>
      <w:tr w:rsidR="001E3DD7" w:rsidRPr="00E874B5" w14:paraId="437198D3" w14:textId="77777777" w:rsidTr="00970693">
        <w:tc>
          <w:tcPr>
            <w:tcW w:w="529" w:type="dxa"/>
          </w:tcPr>
          <w:p w14:paraId="3C03A335" w14:textId="77777777" w:rsidR="001E3DD7" w:rsidRPr="008D40C1" w:rsidRDefault="001E3DD7" w:rsidP="002D2153">
            <w:pPr>
              <w:pStyle w:val="NoSpacing"/>
              <w:rPr>
                <w:rFonts w:ascii="Verdana" w:hAnsi="Verdana"/>
                <w:b/>
              </w:rPr>
            </w:pPr>
            <w:r>
              <w:rPr>
                <w:rFonts w:ascii="Verdana" w:hAnsi="Verdana"/>
                <w:b/>
              </w:rPr>
              <w:t>4</w:t>
            </w:r>
          </w:p>
        </w:tc>
        <w:tc>
          <w:tcPr>
            <w:tcW w:w="8487" w:type="dxa"/>
          </w:tcPr>
          <w:p w14:paraId="72990683" w14:textId="03D421F7" w:rsidR="001E3DD7" w:rsidRPr="008D40C1" w:rsidRDefault="001E3DD7" w:rsidP="002D2153">
            <w:pPr>
              <w:pStyle w:val="NoSpacing"/>
              <w:rPr>
                <w:rFonts w:ascii="Verdana" w:hAnsi="Verdana"/>
                <w:b/>
              </w:rPr>
            </w:pPr>
            <w:r w:rsidRPr="008D40C1">
              <w:rPr>
                <w:rFonts w:ascii="Verdana" w:hAnsi="Verdana"/>
                <w:b/>
              </w:rPr>
              <w:t>Matters Arising from the Minutes</w:t>
            </w:r>
            <w:r w:rsidR="00BE1319">
              <w:rPr>
                <w:rFonts w:ascii="Verdana" w:hAnsi="Verdana"/>
                <w:b/>
              </w:rPr>
              <w:t xml:space="preserve">: </w:t>
            </w:r>
            <w:r w:rsidR="00C014F2">
              <w:rPr>
                <w:rFonts w:ascii="Verdana" w:hAnsi="Verdana"/>
                <w:b/>
              </w:rPr>
              <w:t>26 January 2021</w:t>
            </w:r>
          </w:p>
          <w:p w14:paraId="50A9B4DC" w14:textId="2CD6089E" w:rsidR="00FA6DE0" w:rsidRDefault="00FA6DE0" w:rsidP="002D2153">
            <w:pPr>
              <w:pStyle w:val="NoSpacing"/>
              <w:rPr>
                <w:rFonts w:ascii="Verdana" w:hAnsi="Verdana"/>
              </w:rPr>
            </w:pPr>
          </w:p>
          <w:p w14:paraId="67169857" w14:textId="3F998996" w:rsidR="004D696D" w:rsidRPr="001C5CEE" w:rsidRDefault="001C5CEE" w:rsidP="001C5CEE">
            <w:pPr>
              <w:rPr>
                <w:rFonts w:ascii="Verdana" w:hAnsi="Verdana"/>
              </w:rPr>
            </w:pPr>
            <w:r w:rsidRPr="001C5CEE">
              <w:rPr>
                <w:rFonts w:ascii="Verdana" w:hAnsi="Verdana"/>
              </w:rPr>
              <w:t>In</w:t>
            </w:r>
            <w:r w:rsidR="00BE1319" w:rsidRPr="001C5CEE">
              <w:rPr>
                <w:rFonts w:ascii="Verdana" w:hAnsi="Verdana"/>
              </w:rPr>
              <w:t xml:space="preserve"> relation to</w:t>
            </w:r>
            <w:r w:rsidRPr="001C5CEE">
              <w:rPr>
                <w:rFonts w:ascii="Verdana" w:hAnsi="Verdana"/>
              </w:rPr>
              <w:t xml:space="preserve"> </w:t>
            </w:r>
            <w:r w:rsidR="004D696D" w:rsidRPr="001C5CEE">
              <w:rPr>
                <w:rFonts w:ascii="Verdana" w:hAnsi="Verdana"/>
              </w:rPr>
              <w:t>Minute 5</w:t>
            </w:r>
            <w:r w:rsidRPr="001C5CEE">
              <w:rPr>
                <w:rFonts w:ascii="Verdana" w:hAnsi="Verdana"/>
              </w:rPr>
              <w:t>,</w:t>
            </w:r>
            <w:r w:rsidR="004D696D" w:rsidRPr="001C5CEE">
              <w:rPr>
                <w:rFonts w:ascii="Verdana" w:hAnsi="Verdana"/>
              </w:rPr>
              <w:t xml:space="preserve"> it was reported that the internal audit plan 2020-21, revised as per the referenced minute, had been circulated to members.</w:t>
            </w:r>
          </w:p>
          <w:p w14:paraId="33382B4C" w14:textId="77777777" w:rsidR="00BE1319" w:rsidRPr="00BE1319" w:rsidRDefault="00BE1319" w:rsidP="004C1BEA">
            <w:pPr>
              <w:rPr>
                <w:rFonts w:ascii="Verdana" w:hAnsi="Verdana"/>
                <w:bCs/>
              </w:rPr>
            </w:pPr>
          </w:p>
          <w:p w14:paraId="5A03E2A3" w14:textId="19BDCC74" w:rsidR="004C1BEA" w:rsidRDefault="004C1BEA" w:rsidP="004C1BEA">
            <w:pPr>
              <w:rPr>
                <w:rFonts w:ascii="Verdana" w:hAnsi="Verdana"/>
              </w:rPr>
            </w:pPr>
            <w:r>
              <w:rPr>
                <w:rFonts w:ascii="Verdana" w:hAnsi="Verdana"/>
              </w:rPr>
              <w:t>There were no other matters arising except those dealt with elsewhere on the agenda.</w:t>
            </w:r>
          </w:p>
          <w:p w14:paraId="392E61FA" w14:textId="37308CFE" w:rsidR="00CB7331" w:rsidRPr="00DA094C" w:rsidRDefault="00CB7331" w:rsidP="002D2153">
            <w:pPr>
              <w:pStyle w:val="NoSpacing"/>
              <w:rPr>
                <w:rFonts w:ascii="Verdana" w:hAnsi="Verdana"/>
              </w:rPr>
            </w:pPr>
          </w:p>
        </w:tc>
      </w:tr>
      <w:tr w:rsidR="004C1BEA" w:rsidRPr="00BD3944" w14:paraId="6EDF02CF" w14:textId="77777777" w:rsidTr="00970693">
        <w:tc>
          <w:tcPr>
            <w:tcW w:w="529" w:type="dxa"/>
          </w:tcPr>
          <w:p w14:paraId="6CFDE6B0" w14:textId="7C7BA998" w:rsidR="004C1BEA" w:rsidRPr="00BD3944" w:rsidRDefault="004C1BEA" w:rsidP="002D2153">
            <w:pPr>
              <w:pStyle w:val="NoSpacing"/>
              <w:rPr>
                <w:rFonts w:ascii="Verdana" w:hAnsi="Verdana"/>
                <w:b/>
              </w:rPr>
            </w:pPr>
            <w:r w:rsidRPr="00BD3944">
              <w:rPr>
                <w:rFonts w:ascii="Verdana" w:hAnsi="Verdana"/>
                <w:b/>
              </w:rPr>
              <w:t>5</w:t>
            </w:r>
          </w:p>
        </w:tc>
        <w:tc>
          <w:tcPr>
            <w:tcW w:w="8487" w:type="dxa"/>
          </w:tcPr>
          <w:p w14:paraId="7D52DC4C" w14:textId="77777777" w:rsidR="004D696D" w:rsidRPr="00BD3944" w:rsidRDefault="004D696D" w:rsidP="004D696D">
            <w:pPr>
              <w:pStyle w:val="NoSpacing"/>
              <w:rPr>
                <w:rFonts w:ascii="Verdana" w:hAnsi="Verdana"/>
                <w:b/>
              </w:rPr>
            </w:pPr>
            <w:r w:rsidRPr="00BD3944">
              <w:rPr>
                <w:rFonts w:ascii="Verdana" w:hAnsi="Verdana"/>
                <w:b/>
              </w:rPr>
              <w:t>Risk Management Report: Summer Term 2020-21</w:t>
            </w:r>
          </w:p>
          <w:p w14:paraId="7558E59A" w14:textId="77777777" w:rsidR="004C1BEA" w:rsidRPr="00BD3944" w:rsidRDefault="004C1BEA" w:rsidP="002D2153">
            <w:pPr>
              <w:pStyle w:val="NoSpacing"/>
              <w:rPr>
                <w:rFonts w:ascii="Verdana" w:hAnsi="Verdana"/>
                <w:b/>
              </w:rPr>
            </w:pPr>
          </w:p>
          <w:p w14:paraId="60A370D5" w14:textId="426234D5" w:rsidR="00BD3944" w:rsidRDefault="00BD3944" w:rsidP="001D154D">
            <w:pPr>
              <w:pStyle w:val="NoSpacing"/>
              <w:tabs>
                <w:tab w:val="left" w:pos="2895"/>
              </w:tabs>
              <w:rPr>
                <w:rFonts w:ascii="Verdana" w:hAnsi="Verdana"/>
                <w:bCs/>
              </w:rPr>
            </w:pPr>
            <w:r>
              <w:rPr>
                <w:rFonts w:ascii="Verdana" w:hAnsi="Verdana"/>
                <w:bCs/>
              </w:rPr>
              <w:t>A report prepared by the Senior Director of Finance and Resources, together with the risk assessment (Covid-19) 2020-21 revised May 2021, was received and considered.</w:t>
            </w:r>
          </w:p>
          <w:p w14:paraId="3C8AD522" w14:textId="77777777" w:rsidR="00BD3944" w:rsidRDefault="00BD3944" w:rsidP="001D154D">
            <w:pPr>
              <w:pStyle w:val="NoSpacing"/>
              <w:tabs>
                <w:tab w:val="left" w:pos="2895"/>
              </w:tabs>
              <w:rPr>
                <w:rFonts w:ascii="Verdana" w:hAnsi="Verdana"/>
                <w:bCs/>
              </w:rPr>
            </w:pPr>
          </w:p>
          <w:p w14:paraId="10926536" w14:textId="4A93E408" w:rsidR="00BD3944" w:rsidRDefault="004D696D" w:rsidP="001D154D">
            <w:pPr>
              <w:pStyle w:val="NoSpacing"/>
              <w:tabs>
                <w:tab w:val="left" w:pos="2895"/>
              </w:tabs>
              <w:rPr>
                <w:rFonts w:ascii="Verdana" w:hAnsi="Verdana"/>
                <w:bCs/>
              </w:rPr>
            </w:pPr>
            <w:r w:rsidRPr="00BD3944">
              <w:rPr>
                <w:rFonts w:ascii="Verdana" w:hAnsi="Verdana"/>
                <w:bCs/>
              </w:rPr>
              <w:t>It was reported that the</w:t>
            </w:r>
            <w:r w:rsidR="00BD3944" w:rsidRPr="00BD3944">
              <w:rPr>
                <w:rFonts w:ascii="Verdana" w:hAnsi="Verdana"/>
                <w:bCs/>
              </w:rPr>
              <w:t xml:space="preserve"> schedule of</w:t>
            </w:r>
            <w:r w:rsidRPr="00BD3944">
              <w:rPr>
                <w:rFonts w:ascii="Verdana" w:hAnsi="Verdana"/>
                <w:bCs/>
              </w:rPr>
              <w:t xml:space="preserve"> top</w:t>
            </w:r>
            <w:r w:rsidR="00BD3944">
              <w:rPr>
                <w:rFonts w:ascii="Verdana" w:hAnsi="Verdana"/>
                <w:bCs/>
              </w:rPr>
              <w:t>-</w:t>
            </w:r>
            <w:r w:rsidRPr="00BD3944">
              <w:rPr>
                <w:rFonts w:ascii="Verdana" w:hAnsi="Verdana"/>
                <w:bCs/>
              </w:rPr>
              <w:t>level risks</w:t>
            </w:r>
            <w:r w:rsidR="00BD3944" w:rsidRPr="00BD3944">
              <w:rPr>
                <w:rFonts w:ascii="Verdana" w:hAnsi="Verdana"/>
                <w:bCs/>
              </w:rPr>
              <w:t xml:space="preserve"> had been reviewed twice since the Audit Committee meeting held in November 2020</w:t>
            </w:r>
            <w:r w:rsidR="00BD3944">
              <w:rPr>
                <w:rFonts w:ascii="Verdana" w:hAnsi="Verdana"/>
                <w:bCs/>
              </w:rPr>
              <w:t xml:space="preserve">, as a result of which </w:t>
            </w:r>
            <w:r w:rsidR="005C118F">
              <w:rPr>
                <w:rFonts w:ascii="Verdana" w:hAnsi="Verdana"/>
                <w:bCs/>
              </w:rPr>
              <w:t xml:space="preserve">three </w:t>
            </w:r>
            <w:r w:rsidR="005C118F" w:rsidRPr="00BD3944">
              <w:rPr>
                <w:rFonts w:ascii="Verdana" w:hAnsi="Verdana"/>
                <w:bCs/>
              </w:rPr>
              <w:t>risk</w:t>
            </w:r>
            <w:r w:rsidR="005C118F">
              <w:rPr>
                <w:rFonts w:ascii="Verdana" w:hAnsi="Verdana"/>
                <w:bCs/>
              </w:rPr>
              <w:t xml:space="preserve"> areas remain at the Board level</w:t>
            </w:r>
            <w:r w:rsidR="005C118F" w:rsidRPr="00BD3944">
              <w:rPr>
                <w:rFonts w:ascii="Verdana" w:hAnsi="Verdana"/>
                <w:bCs/>
              </w:rPr>
              <w:t>:</w:t>
            </w:r>
          </w:p>
          <w:p w14:paraId="269FF0DB" w14:textId="77777777" w:rsidR="005C118F" w:rsidRPr="00BD3944" w:rsidRDefault="005C118F" w:rsidP="001D154D">
            <w:pPr>
              <w:pStyle w:val="NoSpacing"/>
              <w:tabs>
                <w:tab w:val="left" w:pos="2895"/>
              </w:tabs>
              <w:rPr>
                <w:rFonts w:ascii="Verdana" w:hAnsi="Verdana"/>
                <w:bCs/>
              </w:rPr>
            </w:pPr>
          </w:p>
          <w:p w14:paraId="4184E0E9" w14:textId="77777777" w:rsidR="005C118F" w:rsidRPr="00BD3944" w:rsidRDefault="005C118F" w:rsidP="005C118F">
            <w:pPr>
              <w:pStyle w:val="NoSpacing"/>
              <w:numPr>
                <w:ilvl w:val="0"/>
                <w:numId w:val="24"/>
              </w:numPr>
              <w:tabs>
                <w:tab w:val="left" w:pos="2895"/>
              </w:tabs>
              <w:rPr>
                <w:rFonts w:ascii="Verdana" w:hAnsi="Verdana" w:cstheme="minorHAnsi"/>
                <w:bCs/>
                <w:i/>
                <w:iCs/>
              </w:rPr>
            </w:pPr>
            <w:r w:rsidRPr="00BD3944">
              <w:rPr>
                <w:rFonts w:ascii="Verdana" w:hAnsi="Verdana" w:cstheme="minorHAnsi"/>
                <w:bCs/>
                <w:i/>
                <w:iCs/>
              </w:rPr>
              <w:t>inadequate management of the impact on the financial health of the College of recruiting insufficient student numbers;</w:t>
            </w:r>
          </w:p>
          <w:p w14:paraId="21B5302D" w14:textId="77777777" w:rsidR="005C118F" w:rsidRPr="00BD3944" w:rsidRDefault="005C118F" w:rsidP="005C118F">
            <w:pPr>
              <w:pStyle w:val="NoSpacing"/>
              <w:tabs>
                <w:tab w:val="left" w:pos="2895"/>
              </w:tabs>
              <w:rPr>
                <w:rFonts w:ascii="Verdana" w:hAnsi="Verdana"/>
                <w:bCs/>
                <w:i/>
                <w:iCs/>
              </w:rPr>
            </w:pPr>
          </w:p>
          <w:p w14:paraId="3F05E68B" w14:textId="77777777" w:rsidR="005C118F" w:rsidRPr="00BD3944" w:rsidRDefault="005C118F" w:rsidP="005C118F">
            <w:pPr>
              <w:pStyle w:val="NoSpacing"/>
              <w:numPr>
                <w:ilvl w:val="0"/>
                <w:numId w:val="24"/>
              </w:numPr>
              <w:tabs>
                <w:tab w:val="left" w:pos="2895"/>
              </w:tabs>
              <w:rPr>
                <w:rFonts w:ascii="Verdana" w:hAnsi="Verdana" w:cstheme="minorHAnsi"/>
                <w:bCs/>
                <w:i/>
                <w:iCs/>
              </w:rPr>
            </w:pPr>
            <w:r w:rsidRPr="00BD3944">
              <w:rPr>
                <w:rFonts w:ascii="Verdana" w:hAnsi="Verdana" w:cstheme="minorHAnsi"/>
                <w:bCs/>
                <w:i/>
                <w:iCs/>
              </w:rPr>
              <w:lastRenderedPageBreak/>
              <w:t xml:space="preserve">use of performance data is insufficient to manage curriculum risks; </w:t>
            </w:r>
            <w:r w:rsidRPr="00BD3944">
              <w:rPr>
                <w:rFonts w:ascii="Verdana" w:hAnsi="Verdana" w:cstheme="minorHAnsi"/>
                <w:bCs/>
              </w:rPr>
              <w:t>and</w:t>
            </w:r>
          </w:p>
          <w:p w14:paraId="606A452D" w14:textId="77777777" w:rsidR="005C118F" w:rsidRPr="00BD3944" w:rsidRDefault="005C118F" w:rsidP="005C118F">
            <w:pPr>
              <w:pStyle w:val="NoSpacing"/>
              <w:tabs>
                <w:tab w:val="left" w:pos="2895"/>
              </w:tabs>
              <w:rPr>
                <w:rFonts w:ascii="Verdana" w:hAnsi="Verdana"/>
                <w:bCs/>
                <w:i/>
                <w:iCs/>
              </w:rPr>
            </w:pPr>
          </w:p>
          <w:p w14:paraId="67ECB1A7" w14:textId="77777777" w:rsidR="005C118F" w:rsidRPr="00BD3944" w:rsidRDefault="005C118F" w:rsidP="005C118F">
            <w:pPr>
              <w:pStyle w:val="NoSpacing"/>
              <w:numPr>
                <w:ilvl w:val="0"/>
                <w:numId w:val="24"/>
              </w:numPr>
              <w:tabs>
                <w:tab w:val="left" w:pos="2895"/>
              </w:tabs>
              <w:rPr>
                <w:rFonts w:ascii="Verdana" w:hAnsi="Verdana" w:cstheme="minorHAnsi"/>
                <w:bCs/>
                <w:i/>
                <w:iCs/>
              </w:rPr>
            </w:pPr>
            <w:r w:rsidRPr="00BD3944">
              <w:rPr>
                <w:rFonts w:ascii="Verdana" w:hAnsi="Verdana" w:cstheme="minorHAnsi"/>
                <w:bCs/>
                <w:i/>
                <w:iCs/>
              </w:rPr>
              <w:t>failure to ensure financial viability because of weak relationships with schools and prospective learners.</w:t>
            </w:r>
          </w:p>
          <w:p w14:paraId="3A0DB453" w14:textId="3ACBB81B" w:rsidR="00BD3944" w:rsidRPr="00BD3944" w:rsidRDefault="00BD3944" w:rsidP="001D154D">
            <w:pPr>
              <w:pStyle w:val="NoSpacing"/>
              <w:tabs>
                <w:tab w:val="left" w:pos="2895"/>
              </w:tabs>
              <w:rPr>
                <w:rFonts w:ascii="Verdana" w:hAnsi="Verdana"/>
                <w:bCs/>
                <w:i/>
                <w:iCs/>
              </w:rPr>
            </w:pPr>
          </w:p>
          <w:p w14:paraId="21301FE2" w14:textId="3F2C4802" w:rsidR="00BD3944" w:rsidRPr="00BD3944" w:rsidRDefault="00BD3944" w:rsidP="00BD3944">
            <w:pPr>
              <w:jc w:val="both"/>
              <w:rPr>
                <w:rFonts w:ascii="Verdana" w:hAnsi="Verdana" w:cstheme="minorHAnsi"/>
                <w:bCs/>
              </w:rPr>
            </w:pPr>
            <w:r w:rsidRPr="00BD3944">
              <w:rPr>
                <w:rFonts w:ascii="Verdana" w:hAnsi="Verdana" w:cstheme="minorHAnsi"/>
                <w:bCs/>
              </w:rPr>
              <w:t>Four risks had been reduced to below board level risk status from the previous report but will continue to be monitored (including by relevant committees of the Corporation), namely:</w:t>
            </w:r>
          </w:p>
          <w:p w14:paraId="3462C97D" w14:textId="0F4F62AF" w:rsidR="00BD3944" w:rsidRPr="00BD3944" w:rsidRDefault="00BD3944" w:rsidP="001D154D">
            <w:pPr>
              <w:pStyle w:val="NoSpacing"/>
              <w:tabs>
                <w:tab w:val="left" w:pos="2895"/>
              </w:tabs>
              <w:rPr>
                <w:rFonts w:ascii="Verdana" w:hAnsi="Verdana"/>
                <w:bCs/>
              </w:rPr>
            </w:pPr>
          </w:p>
          <w:p w14:paraId="73898D1E" w14:textId="7719BBD2" w:rsidR="00BD3944" w:rsidRPr="00BD3944" w:rsidRDefault="00BD3944" w:rsidP="001D154D">
            <w:pPr>
              <w:pStyle w:val="NoSpacing"/>
              <w:tabs>
                <w:tab w:val="left" w:pos="2895"/>
              </w:tabs>
              <w:rPr>
                <w:rFonts w:ascii="Verdana" w:hAnsi="Verdana" w:cstheme="minorHAnsi"/>
                <w:bCs/>
                <w:i/>
                <w:iCs/>
              </w:rPr>
            </w:pPr>
            <w:r w:rsidRPr="00BD3944">
              <w:rPr>
                <w:rFonts w:ascii="Verdana" w:hAnsi="Verdana" w:cstheme="minorHAnsi"/>
                <w:bCs/>
                <w:i/>
                <w:iCs/>
              </w:rPr>
              <w:t>implementation of the College Improvement Plan</w:t>
            </w:r>
            <w:r w:rsidR="00AC55DF">
              <w:rPr>
                <w:rFonts w:ascii="Verdana" w:hAnsi="Verdana" w:cstheme="minorHAnsi"/>
                <w:bCs/>
                <w:i/>
                <w:iCs/>
              </w:rPr>
              <w:t xml:space="preserve"> (monitored by the Quality &amp; Performance Committee)</w:t>
            </w:r>
            <w:r w:rsidRPr="00BD3944">
              <w:rPr>
                <w:rFonts w:ascii="Verdana" w:hAnsi="Verdana" w:cstheme="minorHAnsi"/>
                <w:bCs/>
                <w:i/>
                <w:iCs/>
              </w:rPr>
              <w:t>;</w:t>
            </w:r>
          </w:p>
          <w:p w14:paraId="0856710E" w14:textId="773BE506" w:rsidR="00BD3944" w:rsidRPr="00BD3944" w:rsidRDefault="00BD3944" w:rsidP="001D154D">
            <w:pPr>
              <w:pStyle w:val="NoSpacing"/>
              <w:tabs>
                <w:tab w:val="left" w:pos="2895"/>
              </w:tabs>
              <w:rPr>
                <w:rFonts w:ascii="Verdana" w:hAnsi="Verdana"/>
                <w:bCs/>
                <w:i/>
                <w:iCs/>
              </w:rPr>
            </w:pPr>
          </w:p>
          <w:p w14:paraId="4FCE0732" w14:textId="635D368F" w:rsidR="00BD3944" w:rsidRPr="00BD3944" w:rsidRDefault="00BD3944" w:rsidP="001D154D">
            <w:pPr>
              <w:pStyle w:val="NoSpacing"/>
              <w:tabs>
                <w:tab w:val="left" w:pos="2895"/>
              </w:tabs>
              <w:rPr>
                <w:rFonts w:ascii="Verdana" w:hAnsi="Verdana" w:cstheme="minorHAnsi"/>
                <w:bCs/>
                <w:i/>
                <w:iCs/>
              </w:rPr>
            </w:pPr>
            <w:r w:rsidRPr="00BD3944">
              <w:rPr>
                <w:rFonts w:ascii="Verdana" w:hAnsi="Verdana" w:cstheme="minorHAnsi"/>
                <w:bCs/>
                <w:i/>
                <w:iCs/>
              </w:rPr>
              <w:t>work experience and employer engagement is weakened as fewer companies agree to take placements due to Covid-19 and work experience moving online due to Covid-19</w:t>
            </w:r>
            <w:r w:rsidR="00AC55DF" w:rsidRPr="00BD3944">
              <w:rPr>
                <w:rFonts w:ascii="Verdana" w:hAnsi="Verdana" w:cstheme="minorHAnsi"/>
                <w:bCs/>
                <w:i/>
                <w:iCs/>
              </w:rPr>
              <w:t xml:space="preserve"> Plan</w:t>
            </w:r>
            <w:r w:rsidR="00AC55DF">
              <w:rPr>
                <w:rFonts w:ascii="Verdana" w:hAnsi="Verdana" w:cstheme="minorHAnsi"/>
                <w:bCs/>
                <w:i/>
                <w:iCs/>
              </w:rPr>
              <w:t xml:space="preserve"> (monitored by </w:t>
            </w:r>
            <w:proofErr w:type="gramStart"/>
            <w:r w:rsidR="00AC55DF">
              <w:rPr>
                <w:rFonts w:ascii="Verdana" w:hAnsi="Verdana" w:cstheme="minorHAnsi"/>
                <w:bCs/>
                <w:i/>
                <w:iCs/>
              </w:rPr>
              <w:t>the  External</w:t>
            </w:r>
            <w:proofErr w:type="gramEnd"/>
            <w:r w:rsidR="00AC55DF">
              <w:rPr>
                <w:rFonts w:ascii="Verdana" w:hAnsi="Verdana" w:cstheme="minorHAnsi"/>
                <w:bCs/>
                <w:i/>
                <w:iCs/>
              </w:rPr>
              <w:t xml:space="preserve"> Relations Committee)</w:t>
            </w:r>
            <w:r w:rsidRPr="00BD3944">
              <w:rPr>
                <w:rFonts w:ascii="Verdana" w:hAnsi="Verdana" w:cstheme="minorHAnsi"/>
                <w:bCs/>
                <w:i/>
                <w:iCs/>
              </w:rPr>
              <w:t>;</w:t>
            </w:r>
          </w:p>
          <w:p w14:paraId="60B36DCC" w14:textId="5E881894" w:rsidR="00BD3944" w:rsidRPr="00BD3944" w:rsidRDefault="00BD3944" w:rsidP="001D154D">
            <w:pPr>
              <w:pStyle w:val="NoSpacing"/>
              <w:tabs>
                <w:tab w:val="left" w:pos="2895"/>
              </w:tabs>
              <w:rPr>
                <w:rFonts w:ascii="Verdana" w:hAnsi="Verdana"/>
                <w:bCs/>
                <w:i/>
                <w:iCs/>
              </w:rPr>
            </w:pPr>
          </w:p>
          <w:p w14:paraId="2623CE11" w14:textId="0E4C9135" w:rsidR="00BD3944" w:rsidRPr="00BD3944" w:rsidRDefault="00BD3944" w:rsidP="001D154D">
            <w:pPr>
              <w:pStyle w:val="NoSpacing"/>
              <w:tabs>
                <w:tab w:val="left" w:pos="2895"/>
              </w:tabs>
              <w:rPr>
                <w:rFonts w:ascii="Verdana" w:hAnsi="Verdana" w:cstheme="minorHAnsi"/>
                <w:bCs/>
              </w:rPr>
            </w:pPr>
            <w:r w:rsidRPr="00BD3944">
              <w:rPr>
                <w:rFonts w:ascii="Verdana" w:hAnsi="Verdana" w:cstheme="minorHAnsi"/>
                <w:bCs/>
                <w:i/>
                <w:iCs/>
              </w:rPr>
              <w:t>COVID-19: continuing students will have missed a large period of education, which will make it hard for them to achieve well and take forward the full benefit of learning the whole curriculum</w:t>
            </w:r>
            <w:r w:rsidR="00AC55DF" w:rsidRPr="00BD3944">
              <w:rPr>
                <w:rFonts w:ascii="Verdana" w:hAnsi="Verdana" w:cstheme="minorHAnsi"/>
                <w:bCs/>
                <w:i/>
                <w:iCs/>
              </w:rPr>
              <w:t xml:space="preserve"> Plan</w:t>
            </w:r>
            <w:r w:rsidR="00AC55DF">
              <w:rPr>
                <w:rFonts w:ascii="Verdana" w:hAnsi="Verdana" w:cstheme="minorHAnsi"/>
                <w:bCs/>
                <w:i/>
                <w:iCs/>
              </w:rPr>
              <w:t xml:space="preserve"> (monitored by the Quality &amp; Performance Committee)</w:t>
            </w:r>
            <w:r w:rsidRPr="00BD3944">
              <w:rPr>
                <w:rFonts w:ascii="Verdana" w:hAnsi="Verdana" w:cstheme="minorHAnsi"/>
                <w:bCs/>
                <w:i/>
                <w:iCs/>
              </w:rPr>
              <w:t>;</w:t>
            </w:r>
            <w:r>
              <w:rPr>
                <w:rFonts w:ascii="Verdana" w:hAnsi="Verdana" w:cstheme="minorHAnsi"/>
                <w:bCs/>
              </w:rPr>
              <w:t xml:space="preserve"> and</w:t>
            </w:r>
          </w:p>
          <w:p w14:paraId="6DAFE2B3" w14:textId="0F98E01F" w:rsidR="00BD3944" w:rsidRPr="00BD3944" w:rsidRDefault="00BD3944" w:rsidP="001D154D">
            <w:pPr>
              <w:pStyle w:val="NoSpacing"/>
              <w:tabs>
                <w:tab w:val="left" w:pos="2895"/>
              </w:tabs>
              <w:rPr>
                <w:rFonts w:ascii="Verdana" w:hAnsi="Verdana"/>
                <w:bCs/>
                <w:i/>
                <w:iCs/>
              </w:rPr>
            </w:pPr>
          </w:p>
          <w:p w14:paraId="28933F09" w14:textId="2DF24B38" w:rsidR="00BD3944" w:rsidRPr="00BD3944" w:rsidRDefault="00BD3944" w:rsidP="00BD3944">
            <w:pPr>
              <w:contextualSpacing/>
              <w:jc w:val="both"/>
              <w:rPr>
                <w:rFonts w:ascii="Verdana" w:hAnsi="Verdana" w:cstheme="minorHAnsi"/>
                <w:bCs/>
                <w:i/>
                <w:iCs/>
              </w:rPr>
            </w:pPr>
            <w:r w:rsidRPr="00BD3944">
              <w:rPr>
                <w:rFonts w:ascii="Verdana" w:hAnsi="Verdana" w:cstheme="minorHAnsi"/>
                <w:bCs/>
                <w:i/>
                <w:iCs/>
              </w:rPr>
              <w:t>COVID-19 challenges to running the College</w:t>
            </w:r>
            <w:r w:rsidR="00AC55DF" w:rsidRPr="00BD3944">
              <w:rPr>
                <w:rFonts w:ascii="Verdana" w:hAnsi="Verdana" w:cstheme="minorHAnsi"/>
                <w:bCs/>
                <w:i/>
                <w:iCs/>
              </w:rPr>
              <w:t xml:space="preserve"> Plan</w:t>
            </w:r>
            <w:r w:rsidR="00AC55DF">
              <w:rPr>
                <w:rFonts w:ascii="Verdana" w:hAnsi="Verdana" w:cstheme="minorHAnsi"/>
                <w:bCs/>
                <w:i/>
                <w:iCs/>
              </w:rPr>
              <w:t xml:space="preserve"> (monitored by the Audit Committee)</w:t>
            </w:r>
            <w:r w:rsidRPr="00BD3944">
              <w:rPr>
                <w:rFonts w:ascii="Verdana" w:hAnsi="Verdana" w:cstheme="minorHAnsi"/>
                <w:bCs/>
                <w:i/>
                <w:iCs/>
              </w:rPr>
              <w:t>.</w:t>
            </w:r>
          </w:p>
          <w:p w14:paraId="76DAB8BC" w14:textId="77777777" w:rsidR="00BD3944" w:rsidRPr="00BD3944" w:rsidRDefault="00BD3944" w:rsidP="001D154D">
            <w:pPr>
              <w:pStyle w:val="NoSpacing"/>
              <w:tabs>
                <w:tab w:val="left" w:pos="2895"/>
              </w:tabs>
              <w:rPr>
                <w:rFonts w:ascii="Verdana" w:hAnsi="Verdana"/>
                <w:bCs/>
              </w:rPr>
            </w:pPr>
          </w:p>
          <w:p w14:paraId="61952FCF" w14:textId="53519157" w:rsidR="0044247E" w:rsidRDefault="00491FC5" w:rsidP="001D154D">
            <w:pPr>
              <w:pStyle w:val="NoSpacing"/>
              <w:tabs>
                <w:tab w:val="left" w:pos="2895"/>
              </w:tabs>
              <w:rPr>
                <w:rFonts w:ascii="Verdana" w:hAnsi="Verdana"/>
                <w:bCs/>
              </w:rPr>
            </w:pPr>
            <w:r>
              <w:rPr>
                <w:rFonts w:ascii="Verdana" w:hAnsi="Verdana"/>
                <w:bCs/>
              </w:rPr>
              <w:t>It was commented that</w:t>
            </w:r>
            <w:r w:rsidR="0050652E">
              <w:rPr>
                <w:rFonts w:ascii="Verdana" w:hAnsi="Verdana"/>
                <w:bCs/>
              </w:rPr>
              <w:t xml:space="preserve"> the College had reduced the rating of risks attending the public health emergency </w:t>
            </w:r>
            <w:r w:rsidR="001C5CEE">
              <w:rPr>
                <w:rFonts w:ascii="Verdana" w:hAnsi="Verdana"/>
                <w:bCs/>
              </w:rPr>
              <w:t>owing to</w:t>
            </w:r>
            <w:r w:rsidR="0050652E">
              <w:rPr>
                <w:rFonts w:ascii="Verdana" w:hAnsi="Verdana"/>
                <w:bCs/>
              </w:rPr>
              <w:t xml:space="preserve"> increased confidence that mitigation measures are working well, with no evidence of lower than anticipated achievement and progression by students, nor any disruption to attendance consequent on remote learning.  Enrolments are on course for meeting the target set for 2021.  There had been only a minimal level of</w:t>
            </w:r>
            <w:r w:rsidR="001C5CEE">
              <w:rPr>
                <w:rFonts w:ascii="Verdana" w:hAnsi="Verdana"/>
                <w:bCs/>
              </w:rPr>
              <w:t xml:space="preserve"> Covid-19</w:t>
            </w:r>
            <w:r w:rsidR="0050652E">
              <w:rPr>
                <w:rFonts w:ascii="Verdana" w:hAnsi="Verdana"/>
                <w:bCs/>
              </w:rPr>
              <w:t xml:space="preserve"> infection among the staff and student body.</w:t>
            </w:r>
          </w:p>
          <w:p w14:paraId="286B36B4" w14:textId="341E5A74" w:rsidR="0050652E" w:rsidRDefault="0050652E" w:rsidP="001D154D">
            <w:pPr>
              <w:pStyle w:val="NoSpacing"/>
              <w:tabs>
                <w:tab w:val="left" w:pos="2895"/>
              </w:tabs>
              <w:rPr>
                <w:rFonts w:ascii="Verdana" w:hAnsi="Verdana"/>
                <w:bCs/>
              </w:rPr>
            </w:pPr>
          </w:p>
          <w:p w14:paraId="0B80DD6D" w14:textId="399FACD4" w:rsidR="0050652E" w:rsidRDefault="0050652E" w:rsidP="001D154D">
            <w:pPr>
              <w:pStyle w:val="NoSpacing"/>
              <w:tabs>
                <w:tab w:val="left" w:pos="2895"/>
              </w:tabs>
              <w:rPr>
                <w:rFonts w:ascii="Verdana" w:hAnsi="Verdana"/>
                <w:bCs/>
              </w:rPr>
            </w:pPr>
            <w:r>
              <w:rPr>
                <w:rFonts w:ascii="Verdana" w:hAnsi="Verdana"/>
                <w:bCs/>
              </w:rPr>
              <w:t xml:space="preserve">It was agreed that the potential impacts of the public health emergency are captured adequately in the three risks proposed as Board Level Risks.  However, it was also agreed that the challenge offered by the phasing out of AGQs and their replacement by T levels should be added to the schedule of Board Level Risks, although they are not </w:t>
            </w:r>
            <w:r w:rsidR="001C5CEE">
              <w:rPr>
                <w:rFonts w:ascii="Verdana" w:hAnsi="Verdana"/>
                <w:bCs/>
              </w:rPr>
              <w:t>an</w:t>
            </w:r>
            <w:r>
              <w:rPr>
                <w:rFonts w:ascii="Verdana" w:hAnsi="Verdana"/>
                <w:bCs/>
              </w:rPr>
              <w:t xml:space="preserve"> occasion for major concern at this stage.</w:t>
            </w:r>
          </w:p>
          <w:p w14:paraId="1C1CCFD7" w14:textId="185E3E6E" w:rsidR="0050652E" w:rsidRDefault="0050652E" w:rsidP="001D154D">
            <w:pPr>
              <w:pStyle w:val="NoSpacing"/>
              <w:tabs>
                <w:tab w:val="left" w:pos="2895"/>
              </w:tabs>
              <w:rPr>
                <w:rFonts w:ascii="Verdana" w:hAnsi="Verdana"/>
                <w:bCs/>
              </w:rPr>
            </w:pPr>
          </w:p>
          <w:p w14:paraId="728DB4D6" w14:textId="36E89864" w:rsidR="0050652E" w:rsidRDefault="0050652E" w:rsidP="001D154D">
            <w:pPr>
              <w:pStyle w:val="NoSpacing"/>
              <w:tabs>
                <w:tab w:val="left" w:pos="2895"/>
              </w:tabs>
              <w:rPr>
                <w:rFonts w:ascii="Verdana" w:hAnsi="Verdana"/>
                <w:bCs/>
              </w:rPr>
            </w:pPr>
            <w:r>
              <w:rPr>
                <w:rFonts w:ascii="Verdana" w:hAnsi="Verdana"/>
                <w:bCs/>
              </w:rPr>
              <w:t>It was further agreed that the risk attending the introduction of T levels be monitored by the Quality &amp; Performance</w:t>
            </w:r>
            <w:r w:rsidR="005C118F">
              <w:rPr>
                <w:rFonts w:ascii="Verdana" w:hAnsi="Verdana"/>
                <w:bCs/>
              </w:rPr>
              <w:t xml:space="preserve"> Committee</w:t>
            </w:r>
            <w:r>
              <w:rPr>
                <w:rFonts w:ascii="Verdana" w:hAnsi="Verdana"/>
                <w:bCs/>
              </w:rPr>
              <w:t xml:space="preserve">, and that the outcome of </w:t>
            </w:r>
            <w:r w:rsidR="005C118F">
              <w:rPr>
                <w:rFonts w:ascii="Verdana" w:hAnsi="Verdana"/>
                <w:bCs/>
              </w:rPr>
              <w:t>its</w:t>
            </w:r>
            <w:r>
              <w:rPr>
                <w:rFonts w:ascii="Verdana" w:hAnsi="Verdana"/>
                <w:bCs/>
              </w:rPr>
              <w:t xml:space="preserve"> deliberations be reported to the Audit Committee</w:t>
            </w:r>
            <w:r w:rsidR="001C5CEE">
              <w:rPr>
                <w:rFonts w:ascii="Verdana" w:hAnsi="Verdana"/>
                <w:bCs/>
              </w:rPr>
              <w:t xml:space="preserve"> via the committee</w:t>
            </w:r>
            <w:r w:rsidR="005C118F">
              <w:rPr>
                <w:rFonts w:ascii="Verdana" w:hAnsi="Verdana"/>
                <w:bCs/>
              </w:rPr>
              <w:t>’s</w:t>
            </w:r>
            <w:r w:rsidR="001C5CEE">
              <w:rPr>
                <w:rFonts w:ascii="Verdana" w:hAnsi="Verdana"/>
                <w:bCs/>
              </w:rPr>
              <w:t xml:space="preserve"> minutes</w:t>
            </w:r>
            <w:r>
              <w:rPr>
                <w:rFonts w:ascii="Verdana" w:hAnsi="Verdana"/>
                <w:bCs/>
              </w:rPr>
              <w:t>.</w:t>
            </w:r>
            <w:r w:rsidR="001C5CEE">
              <w:rPr>
                <w:rFonts w:ascii="Verdana" w:hAnsi="Verdana"/>
                <w:bCs/>
              </w:rPr>
              <w:t xml:space="preserve"> </w:t>
            </w:r>
          </w:p>
          <w:p w14:paraId="716CF919" w14:textId="7C9D399A" w:rsidR="0050652E" w:rsidRDefault="0050652E" w:rsidP="001D154D">
            <w:pPr>
              <w:pStyle w:val="NoSpacing"/>
              <w:tabs>
                <w:tab w:val="left" w:pos="2895"/>
              </w:tabs>
              <w:rPr>
                <w:rFonts w:ascii="Verdana" w:hAnsi="Verdana"/>
                <w:bCs/>
              </w:rPr>
            </w:pPr>
          </w:p>
          <w:p w14:paraId="36B7BD29" w14:textId="7EF3BA6F" w:rsidR="0050652E" w:rsidRDefault="0050652E" w:rsidP="001D154D">
            <w:pPr>
              <w:pStyle w:val="NoSpacing"/>
              <w:tabs>
                <w:tab w:val="left" w:pos="2895"/>
              </w:tabs>
              <w:rPr>
                <w:rFonts w:ascii="Verdana" w:hAnsi="Verdana"/>
                <w:bCs/>
              </w:rPr>
            </w:pPr>
            <w:r>
              <w:rPr>
                <w:rFonts w:ascii="Verdana" w:hAnsi="Verdana"/>
                <w:bCs/>
              </w:rPr>
              <w:t xml:space="preserve">The Committee also wishes to continue to be </w:t>
            </w:r>
            <w:r w:rsidR="001C5CEE">
              <w:rPr>
                <w:rFonts w:ascii="Verdana" w:hAnsi="Verdana"/>
                <w:bCs/>
              </w:rPr>
              <w:t xml:space="preserve">closely </w:t>
            </w:r>
            <w:r>
              <w:rPr>
                <w:rFonts w:ascii="Verdana" w:hAnsi="Verdana"/>
                <w:bCs/>
              </w:rPr>
              <w:t xml:space="preserve">advised of the External Relations Committee’s </w:t>
            </w:r>
            <w:r w:rsidR="001C5CEE">
              <w:rPr>
                <w:rFonts w:ascii="Verdana" w:hAnsi="Verdana"/>
                <w:bCs/>
              </w:rPr>
              <w:t>oversight of</w:t>
            </w:r>
            <w:r>
              <w:rPr>
                <w:rFonts w:ascii="Verdana" w:hAnsi="Verdana"/>
                <w:bCs/>
              </w:rPr>
              <w:t xml:space="preserve"> work experience placements following a return to normal operations after the public health emergency.</w:t>
            </w:r>
          </w:p>
          <w:p w14:paraId="17891551" w14:textId="77777777" w:rsidR="005C118F" w:rsidRDefault="005C118F" w:rsidP="005C118F">
            <w:pPr>
              <w:pStyle w:val="NoSpacing"/>
              <w:tabs>
                <w:tab w:val="left" w:pos="2895"/>
              </w:tabs>
              <w:rPr>
                <w:rFonts w:ascii="Verdana" w:hAnsi="Verdana"/>
                <w:bCs/>
              </w:rPr>
            </w:pPr>
            <w:r>
              <w:rPr>
                <w:rFonts w:ascii="Verdana" w:hAnsi="Verdana"/>
                <w:bCs/>
              </w:rPr>
              <w:t>The importance of this area is also likely to be elevated under the roll-out of T-Levels which will be vocational and expected to require work placement provision as an integral part of the curriculum.</w:t>
            </w:r>
          </w:p>
          <w:p w14:paraId="5B49C2F5" w14:textId="37C90F31" w:rsidR="009D3E38" w:rsidRDefault="009D3E38" w:rsidP="001D154D">
            <w:pPr>
              <w:pStyle w:val="NoSpacing"/>
              <w:tabs>
                <w:tab w:val="left" w:pos="2895"/>
              </w:tabs>
              <w:rPr>
                <w:rFonts w:ascii="Verdana" w:hAnsi="Verdana"/>
                <w:bCs/>
              </w:rPr>
            </w:pPr>
          </w:p>
          <w:p w14:paraId="78E0DE76" w14:textId="2E604E9A" w:rsidR="005C118F" w:rsidRDefault="009D3E38" w:rsidP="005C118F">
            <w:pPr>
              <w:pStyle w:val="NoSpacing"/>
              <w:tabs>
                <w:tab w:val="left" w:pos="2895"/>
              </w:tabs>
              <w:rPr>
                <w:rFonts w:ascii="Verdana" w:hAnsi="Verdana"/>
                <w:bCs/>
              </w:rPr>
            </w:pPr>
            <w:r>
              <w:rPr>
                <w:rFonts w:ascii="Verdana" w:hAnsi="Verdana"/>
                <w:bCs/>
              </w:rPr>
              <w:t xml:space="preserve">It was reported that the risk concerning financial viability had been maintained as a Board Level Risk because at the time </w:t>
            </w:r>
            <w:r w:rsidR="001C5CEE">
              <w:rPr>
                <w:rFonts w:ascii="Verdana" w:hAnsi="Verdana"/>
                <w:bCs/>
              </w:rPr>
              <w:t xml:space="preserve">of </w:t>
            </w:r>
            <w:r>
              <w:rPr>
                <w:rFonts w:ascii="Verdana" w:hAnsi="Verdana"/>
                <w:bCs/>
              </w:rPr>
              <w:t>its review by the College Risk Committee, progress on student enrolments for 2021 had been more uncertain than currently pertains.</w:t>
            </w:r>
            <w:r w:rsidR="005C118F">
              <w:rPr>
                <w:rFonts w:ascii="Verdana" w:hAnsi="Verdana"/>
                <w:bCs/>
              </w:rPr>
              <w:t xml:space="preserve">  Although it was acknowledged that the College is in a strong position today, there was a discussion around the ability to truly manage this risk.  It was further acknowledged that financial viability is the consequence of other board level risks, namely performance and enrolment. </w:t>
            </w:r>
          </w:p>
          <w:p w14:paraId="6387E166" w14:textId="712989B7" w:rsidR="00491FC5" w:rsidRPr="00491FC5" w:rsidRDefault="00491FC5" w:rsidP="001D154D">
            <w:pPr>
              <w:pStyle w:val="NoSpacing"/>
              <w:tabs>
                <w:tab w:val="left" w:pos="2895"/>
              </w:tabs>
              <w:rPr>
                <w:rFonts w:ascii="Verdana" w:hAnsi="Verdana"/>
                <w:bCs/>
              </w:rPr>
            </w:pPr>
          </w:p>
        </w:tc>
      </w:tr>
      <w:tr w:rsidR="00491FC5" w:rsidRPr="00BD3944" w14:paraId="3ECD9DBF" w14:textId="77777777" w:rsidTr="00970693">
        <w:tc>
          <w:tcPr>
            <w:tcW w:w="529" w:type="dxa"/>
          </w:tcPr>
          <w:p w14:paraId="0096EA84" w14:textId="3357FBA1" w:rsidR="00491FC5" w:rsidRPr="00BD3944" w:rsidRDefault="00491FC5" w:rsidP="002D2153">
            <w:pPr>
              <w:pStyle w:val="NoSpacing"/>
              <w:rPr>
                <w:rFonts w:ascii="Verdana" w:hAnsi="Verdana"/>
                <w:b/>
              </w:rPr>
            </w:pPr>
            <w:r>
              <w:rPr>
                <w:rFonts w:ascii="Verdana" w:hAnsi="Verdana"/>
                <w:b/>
              </w:rPr>
              <w:lastRenderedPageBreak/>
              <w:t>6</w:t>
            </w:r>
          </w:p>
        </w:tc>
        <w:tc>
          <w:tcPr>
            <w:tcW w:w="8487" w:type="dxa"/>
          </w:tcPr>
          <w:p w14:paraId="7E3DEABA" w14:textId="77777777" w:rsidR="00491FC5" w:rsidRDefault="00491FC5" w:rsidP="00491FC5">
            <w:pPr>
              <w:pStyle w:val="NoSpacing"/>
              <w:rPr>
                <w:rFonts w:ascii="Verdana" w:hAnsi="Verdana"/>
                <w:b/>
                <w:bCs/>
              </w:rPr>
            </w:pPr>
            <w:r w:rsidRPr="00217AD9">
              <w:rPr>
                <w:rFonts w:ascii="Verdana" w:hAnsi="Verdana"/>
                <w:b/>
                <w:bCs/>
              </w:rPr>
              <w:t xml:space="preserve">Reports from </w:t>
            </w:r>
            <w:r>
              <w:rPr>
                <w:rFonts w:ascii="Verdana" w:hAnsi="Verdana"/>
                <w:b/>
                <w:bCs/>
              </w:rPr>
              <w:t xml:space="preserve">Other </w:t>
            </w:r>
            <w:r w:rsidRPr="00217AD9">
              <w:rPr>
                <w:rFonts w:ascii="Verdana" w:hAnsi="Verdana"/>
                <w:b/>
                <w:bCs/>
              </w:rPr>
              <w:t>Committees on the Monitoring of Risk</w:t>
            </w:r>
          </w:p>
          <w:p w14:paraId="65A3DF24" w14:textId="77777777" w:rsidR="00491FC5" w:rsidRDefault="00491FC5" w:rsidP="004D696D">
            <w:pPr>
              <w:pStyle w:val="NoSpacing"/>
              <w:rPr>
                <w:rFonts w:ascii="Verdana" w:hAnsi="Verdana"/>
                <w:b/>
              </w:rPr>
            </w:pPr>
          </w:p>
          <w:p w14:paraId="6F364D12" w14:textId="77777777" w:rsidR="00491FC5" w:rsidRDefault="00491FC5" w:rsidP="004D696D">
            <w:pPr>
              <w:pStyle w:val="NoSpacing"/>
              <w:rPr>
                <w:rFonts w:ascii="Verdana" w:hAnsi="Verdana"/>
                <w:bCs/>
              </w:rPr>
            </w:pPr>
            <w:r w:rsidRPr="00491FC5">
              <w:rPr>
                <w:rFonts w:ascii="Verdana" w:hAnsi="Verdana"/>
                <w:bCs/>
              </w:rPr>
              <w:t>A report prepared by the Clerk to the Corporation was received and noted.</w:t>
            </w:r>
          </w:p>
          <w:p w14:paraId="38AF794F" w14:textId="509B41C0" w:rsidR="00491FC5" w:rsidRPr="00491FC5" w:rsidRDefault="00491FC5" w:rsidP="004D696D">
            <w:pPr>
              <w:pStyle w:val="NoSpacing"/>
              <w:rPr>
                <w:rFonts w:ascii="Verdana" w:hAnsi="Verdana"/>
                <w:bCs/>
              </w:rPr>
            </w:pPr>
          </w:p>
        </w:tc>
      </w:tr>
      <w:tr w:rsidR="00491FC5" w:rsidRPr="00BD3944" w14:paraId="6B2D109E" w14:textId="77777777" w:rsidTr="00970693">
        <w:tc>
          <w:tcPr>
            <w:tcW w:w="529" w:type="dxa"/>
          </w:tcPr>
          <w:p w14:paraId="3BA20EE6" w14:textId="3AE373B6" w:rsidR="00491FC5" w:rsidRDefault="00491FC5" w:rsidP="002D2153">
            <w:pPr>
              <w:pStyle w:val="NoSpacing"/>
              <w:rPr>
                <w:rFonts w:ascii="Verdana" w:hAnsi="Verdana"/>
                <w:b/>
              </w:rPr>
            </w:pPr>
            <w:r>
              <w:rPr>
                <w:rFonts w:ascii="Verdana" w:hAnsi="Verdana"/>
                <w:b/>
              </w:rPr>
              <w:t>7</w:t>
            </w:r>
          </w:p>
        </w:tc>
        <w:tc>
          <w:tcPr>
            <w:tcW w:w="8487" w:type="dxa"/>
          </w:tcPr>
          <w:p w14:paraId="2A34DC39" w14:textId="77777777" w:rsidR="00491FC5" w:rsidRDefault="00491FC5" w:rsidP="00491FC5">
            <w:pPr>
              <w:pStyle w:val="NoSpacing"/>
              <w:rPr>
                <w:rFonts w:ascii="Verdana" w:hAnsi="Verdana"/>
                <w:b/>
                <w:bCs/>
              </w:rPr>
            </w:pPr>
            <w:r>
              <w:rPr>
                <w:rFonts w:ascii="Verdana" w:hAnsi="Verdana"/>
                <w:b/>
                <w:bCs/>
              </w:rPr>
              <w:t>Schedule of Outstanding Audit Recommendations</w:t>
            </w:r>
          </w:p>
          <w:p w14:paraId="67AF95F3" w14:textId="77777777" w:rsidR="00491FC5" w:rsidRDefault="00491FC5" w:rsidP="00491FC5">
            <w:pPr>
              <w:pStyle w:val="NoSpacing"/>
              <w:rPr>
                <w:rFonts w:ascii="Verdana" w:hAnsi="Verdana"/>
                <w:b/>
                <w:bCs/>
              </w:rPr>
            </w:pPr>
          </w:p>
          <w:p w14:paraId="610DD54E" w14:textId="77777777" w:rsidR="00491FC5" w:rsidRDefault="00491FC5" w:rsidP="00491FC5">
            <w:pPr>
              <w:pStyle w:val="NoSpacing"/>
              <w:rPr>
                <w:rFonts w:ascii="Verdana" w:hAnsi="Verdana"/>
                <w:bCs/>
              </w:rPr>
            </w:pPr>
            <w:r w:rsidRPr="00491FC5">
              <w:rPr>
                <w:rFonts w:ascii="Verdana" w:hAnsi="Verdana"/>
                <w:bCs/>
              </w:rPr>
              <w:t xml:space="preserve">A report prepared by the </w:t>
            </w:r>
            <w:r>
              <w:rPr>
                <w:rFonts w:ascii="Verdana" w:hAnsi="Verdana"/>
                <w:bCs/>
              </w:rPr>
              <w:t>Senior Director of Finance and Resources</w:t>
            </w:r>
            <w:r w:rsidRPr="00491FC5">
              <w:rPr>
                <w:rFonts w:ascii="Verdana" w:hAnsi="Verdana"/>
                <w:bCs/>
              </w:rPr>
              <w:t xml:space="preserve"> was received </w:t>
            </w:r>
            <w:r>
              <w:rPr>
                <w:rFonts w:ascii="Verdana" w:hAnsi="Verdana"/>
                <w:bCs/>
              </w:rPr>
              <w:t>for information</w:t>
            </w:r>
            <w:r w:rsidRPr="00491FC5">
              <w:rPr>
                <w:rFonts w:ascii="Verdana" w:hAnsi="Verdana"/>
                <w:bCs/>
              </w:rPr>
              <w:t>.</w:t>
            </w:r>
          </w:p>
          <w:p w14:paraId="71203AC5" w14:textId="77777777" w:rsidR="00491FC5" w:rsidRDefault="00491FC5" w:rsidP="00491FC5">
            <w:pPr>
              <w:pStyle w:val="NoSpacing"/>
              <w:rPr>
                <w:rFonts w:ascii="Verdana" w:hAnsi="Verdana"/>
                <w:bCs/>
              </w:rPr>
            </w:pPr>
          </w:p>
          <w:p w14:paraId="6D2465BA" w14:textId="3ED3ABDA" w:rsidR="00491FC5" w:rsidRPr="00491FC5" w:rsidRDefault="00491FC5" w:rsidP="00491FC5">
            <w:pPr>
              <w:pStyle w:val="NoSpacing"/>
              <w:rPr>
                <w:rFonts w:ascii="Verdana" w:hAnsi="Verdana" w:cs="Arial"/>
              </w:rPr>
            </w:pPr>
            <w:r w:rsidRPr="00491FC5">
              <w:rPr>
                <w:rFonts w:ascii="Verdana" w:hAnsi="Verdana"/>
                <w:bCs/>
              </w:rPr>
              <w:t>It was noted that a</w:t>
            </w:r>
            <w:r w:rsidRPr="00491FC5">
              <w:rPr>
                <w:rFonts w:ascii="Verdana" w:hAnsi="Verdana" w:cs="Arial"/>
              </w:rPr>
              <w:t xml:space="preserve"> risk appetite statement will be </w:t>
            </w:r>
            <w:r w:rsidR="00DC0CEC">
              <w:rPr>
                <w:rFonts w:ascii="Verdana" w:hAnsi="Verdana" w:cs="Arial"/>
              </w:rPr>
              <w:t>prepared by the Senior Director: Finance &amp; Resources, and submitted</w:t>
            </w:r>
            <w:r w:rsidR="00AC55DF">
              <w:rPr>
                <w:rFonts w:ascii="Verdana" w:hAnsi="Verdana" w:cs="Arial"/>
              </w:rPr>
              <w:t xml:space="preserve"> to </w:t>
            </w:r>
            <w:r w:rsidRPr="00491FC5">
              <w:rPr>
                <w:rFonts w:ascii="Verdana" w:hAnsi="Verdana" w:cs="Arial"/>
              </w:rPr>
              <w:t>the Corporation</w:t>
            </w:r>
            <w:r w:rsidR="00DC0CEC">
              <w:rPr>
                <w:rFonts w:ascii="Verdana" w:hAnsi="Verdana" w:cs="Arial"/>
              </w:rPr>
              <w:t xml:space="preserve"> for approval </w:t>
            </w:r>
            <w:r w:rsidRPr="00491FC5">
              <w:rPr>
                <w:rFonts w:ascii="Verdana" w:hAnsi="Verdana" w:cs="Arial"/>
              </w:rPr>
              <w:t>in the Autumn Term 2021-22.</w:t>
            </w:r>
          </w:p>
          <w:p w14:paraId="71F1D3C0" w14:textId="77777777" w:rsidR="00491FC5" w:rsidRDefault="00491FC5" w:rsidP="00491FC5">
            <w:pPr>
              <w:pStyle w:val="NoSpacing"/>
              <w:rPr>
                <w:rFonts w:ascii="Verdana" w:hAnsi="Verdana"/>
                <w:bCs/>
              </w:rPr>
            </w:pPr>
          </w:p>
          <w:p w14:paraId="5B4A7C5E" w14:textId="6F588FE6" w:rsidR="00491FC5" w:rsidRDefault="00491FC5" w:rsidP="00491FC5">
            <w:pPr>
              <w:pStyle w:val="NoSpacing"/>
              <w:rPr>
                <w:rFonts w:ascii="Verdana" w:hAnsi="Verdana" w:cs="Arial"/>
              </w:rPr>
            </w:pPr>
            <w:r w:rsidRPr="00491FC5">
              <w:rPr>
                <w:rFonts w:ascii="Verdana" w:hAnsi="Verdana"/>
                <w:bCs/>
              </w:rPr>
              <w:t xml:space="preserve">It was also noted that measures </w:t>
            </w:r>
            <w:r w:rsidRPr="00491FC5">
              <w:rPr>
                <w:rFonts w:ascii="Verdana" w:hAnsi="Verdana" w:cs="Arial"/>
              </w:rPr>
              <w:t xml:space="preserve">to assess value for money on </w:t>
            </w:r>
            <w:r w:rsidR="00AC55DF">
              <w:rPr>
                <w:rFonts w:ascii="Verdana" w:hAnsi="Verdana" w:cs="Arial"/>
              </w:rPr>
              <w:t xml:space="preserve">the College’s </w:t>
            </w:r>
            <w:r w:rsidRPr="00491FC5">
              <w:rPr>
                <w:rFonts w:ascii="Verdana" w:hAnsi="Verdana" w:cs="Arial"/>
              </w:rPr>
              <w:t>marketing activities will be implemented and reported to the External Relations Committee</w:t>
            </w:r>
            <w:r>
              <w:rPr>
                <w:rFonts w:ascii="Verdana" w:hAnsi="Verdana" w:cs="Arial"/>
              </w:rPr>
              <w:t xml:space="preserve"> </w:t>
            </w:r>
            <w:r w:rsidR="009D3E38">
              <w:rPr>
                <w:rFonts w:ascii="Verdana" w:hAnsi="Verdana" w:cs="Arial"/>
              </w:rPr>
              <w:t>at its meeting on 22 June 2021.</w:t>
            </w:r>
          </w:p>
          <w:p w14:paraId="24659499" w14:textId="77777777" w:rsidR="00491FC5" w:rsidRDefault="00491FC5" w:rsidP="00491FC5">
            <w:pPr>
              <w:pStyle w:val="NoSpacing"/>
              <w:rPr>
                <w:rFonts w:ascii="Verdana" w:hAnsi="Verdana"/>
                <w:bCs/>
              </w:rPr>
            </w:pPr>
          </w:p>
          <w:p w14:paraId="7E3EA5B5" w14:textId="61830F00" w:rsidR="00491FC5" w:rsidRDefault="00491FC5" w:rsidP="00491FC5">
            <w:pPr>
              <w:pStyle w:val="NoSpacing"/>
              <w:rPr>
                <w:rFonts w:ascii="Verdana" w:hAnsi="Verdana"/>
                <w:bCs/>
              </w:rPr>
            </w:pPr>
            <w:r>
              <w:rPr>
                <w:rFonts w:ascii="Verdana" w:hAnsi="Verdana"/>
                <w:bCs/>
              </w:rPr>
              <w:t>Other recommendations were reported as having been acted on.</w:t>
            </w:r>
          </w:p>
          <w:p w14:paraId="53226FEF" w14:textId="6BF3369F" w:rsidR="00AC55DF" w:rsidRPr="00491FC5" w:rsidRDefault="00AC55DF" w:rsidP="00491FC5">
            <w:pPr>
              <w:pStyle w:val="NoSpacing"/>
              <w:rPr>
                <w:rFonts w:ascii="Verdana" w:hAnsi="Verdana"/>
                <w:bCs/>
              </w:rPr>
            </w:pPr>
          </w:p>
        </w:tc>
      </w:tr>
      <w:tr w:rsidR="00491FC5" w:rsidRPr="00364C92" w14:paraId="1731D1E7" w14:textId="77777777" w:rsidTr="00970693">
        <w:tc>
          <w:tcPr>
            <w:tcW w:w="529" w:type="dxa"/>
          </w:tcPr>
          <w:p w14:paraId="57D2A5D0" w14:textId="6D4E3F97" w:rsidR="00491FC5" w:rsidRPr="00364C92" w:rsidRDefault="00491FC5" w:rsidP="002D2153">
            <w:pPr>
              <w:pStyle w:val="NoSpacing"/>
              <w:rPr>
                <w:rFonts w:ascii="Verdana" w:hAnsi="Verdana"/>
                <w:b/>
              </w:rPr>
            </w:pPr>
            <w:r w:rsidRPr="00364C92">
              <w:rPr>
                <w:rFonts w:ascii="Verdana" w:hAnsi="Verdana"/>
                <w:b/>
              </w:rPr>
              <w:t>8</w:t>
            </w:r>
          </w:p>
        </w:tc>
        <w:tc>
          <w:tcPr>
            <w:tcW w:w="8487" w:type="dxa"/>
          </w:tcPr>
          <w:p w14:paraId="57E0A0B9" w14:textId="77777777" w:rsidR="00DE5F4A" w:rsidRPr="00364C92" w:rsidRDefault="00DE5F4A" w:rsidP="00DE5F4A">
            <w:pPr>
              <w:pStyle w:val="NoSpacing"/>
              <w:rPr>
                <w:rFonts w:ascii="Verdana" w:hAnsi="Verdana"/>
                <w:b/>
                <w:bCs/>
              </w:rPr>
            </w:pPr>
            <w:r w:rsidRPr="00364C92">
              <w:rPr>
                <w:rFonts w:ascii="Verdana" w:hAnsi="Verdana"/>
                <w:b/>
                <w:bCs/>
              </w:rPr>
              <w:t>Internal Audit Reports 2020-21</w:t>
            </w:r>
          </w:p>
          <w:p w14:paraId="119A9524" w14:textId="77777777" w:rsidR="00491FC5" w:rsidRPr="00364C92" w:rsidRDefault="00491FC5" w:rsidP="00491FC5">
            <w:pPr>
              <w:pStyle w:val="NoSpacing"/>
              <w:rPr>
                <w:rFonts w:ascii="Verdana" w:hAnsi="Verdana"/>
                <w:b/>
                <w:bCs/>
              </w:rPr>
            </w:pPr>
          </w:p>
          <w:p w14:paraId="0B97F31B" w14:textId="77777777" w:rsidR="00DE5F4A" w:rsidRPr="00364C92" w:rsidRDefault="00364C92" w:rsidP="00491FC5">
            <w:pPr>
              <w:pStyle w:val="NoSpacing"/>
              <w:rPr>
                <w:rFonts w:ascii="Verdana" w:hAnsi="Verdana"/>
              </w:rPr>
            </w:pPr>
            <w:r w:rsidRPr="00364C92">
              <w:rPr>
                <w:rFonts w:ascii="Verdana" w:hAnsi="Verdana"/>
              </w:rPr>
              <w:t>The following reports, prepared by the Internal Audit Service were received and considered:</w:t>
            </w:r>
          </w:p>
          <w:p w14:paraId="013EFB94" w14:textId="77777777" w:rsidR="00364C92" w:rsidRPr="00364C92" w:rsidRDefault="00364C92" w:rsidP="00491FC5">
            <w:pPr>
              <w:pStyle w:val="NoSpacing"/>
              <w:rPr>
                <w:rFonts w:ascii="Verdana" w:hAnsi="Verdana"/>
                <w:b/>
                <w:bCs/>
              </w:rPr>
            </w:pPr>
          </w:p>
          <w:p w14:paraId="5FB3D12F" w14:textId="3CAE755C" w:rsidR="00364C92" w:rsidRPr="00364C92" w:rsidRDefault="00364C92" w:rsidP="00364C92">
            <w:pPr>
              <w:contextualSpacing/>
              <w:jc w:val="both"/>
              <w:rPr>
                <w:rFonts w:ascii="Verdana" w:hAnsi="Verdana" w:cstheme="minorHAnsi"/>
                <w:bCs/>
                <w:i/>
                <w:iCs/>
              </w:rPr>
            </w:pPr>
            <w:r w:rsidRPr="00364C92">
              <w:rPr>
                <w:rFonts w:ascii="Verdana" w:hAnsi="Verdana" w:cstheme="minorHAnsi"/>
                <w:bCs/>
                <w:i/>
                <w:iCs/>
              </w:rPr>
              <w:t>Student Recruitment;</w:t>
            </w:r>
          </w:p>
          <w:p w14:paraId="5DC87551" w14:textId="6E499617" w:rsidR="00364C92" w:rsidRPr="00364C92" w:rsidRDefault="00364C92" w:rsidP="00364C92">
            <w:pPr>
              <w:contextualSpacing/>
              <w:jc w:val="both"/>
              <w:rPr>
                <w:rFonts w:ascii="Verdana" w:hAnsi="Verdana" w:cstheme="minorHAnsi"/>
                <w:bCs/>
                <w:i/>
                <w:iCs/>
              </w:rPr>
            </w:pPr>
          </w:p>
          <w:p w14:paraId="43197368" w14:textId="201AFDB5" w:rsidR="00364C92" w:rsidRPr="00364C92" w:rsidRDefault="00364C92" w:rsidP="00364C92">
            <w:pPr>
              <w:contextualSpacing/>
              <w:jc w:val="both"/>
              <w:rPr>
                <w:rFonts w:ascii="Verdana" w:hAnsi="Verdana" w:cstheme="minorHAnsi"/>
                <w:bCs/>
              </w:rPr>
            </w:pPr>
            <w:r w:rsidRPr="00364C92">
              <w:rPr>
                <w:rFonts w:ascii="Verdana" w:hAnsi="Verdana" w:cstheme="minorHAnsi"/>
                <w:bCs/>
                <w:i/>
                <w:iCs/>
              </w:rPr>
              <w:t xml:space="preserve">Student Participation, progress and retention; </w:t>
            </w:r>
            <w:r>
              <w:rPr>
                <w:rFonts w:ascii="Verdana" w:hAnsi="Verdana" w:cstheme="minorHAnsi"/>
                <w:bCs/>
              </w:rPr>
              <w:t>and</w:t>
            </w:r>
          </w:p>
          <w:p w14:paraId="638067A2" w14:textId="5014ABE9" w:rsidR="00364C92" w:rsidRPr="00364C92" w:rsidRDefault="00364C92" w:rsidP="00364C92">
            <w:pPr>
              <w:contextualSpacing/>
              <w:jc w:val="both"/>
              <w:rPr>
                <w:rFonts w:ascii="Verdana" w:hAnsi="Verdana" w:cstheme="minorHAnsi"/>
                <w:bCs/>
                <w:i/>
                <w:iCs/>
              </w:rPr>
            </w:pPr>
          </w:p>
          <w:p w14:paraId="6CC7F53F" w14:textId="268F4CC0" w:rsidR="00364C92" w:rsidRPr="00364C92" w:rsidRDefault="00364C92" w:rsidP="00364C92">
            <w:pPr>
              <w:contextualSpacing/>
              <w:jc w:val="both"/>
              <w:rPr>
                <w:rFonts w:ascii="Verdana" w:hAnsi="Verdana" w:cstheme="minorHAnsi"/>
                <w:bCs/>
                <w:i/>
                <w:iCs/>
              </w:rPr>
            </w:pPr>
            <w:r w:rsidRPr="00364C92">
              <w:rPr>
                <w:rFonts w:ascii="Verdana" w:hAnsi="Verdana" w:cstheme="minorHAnsi"/>
                <w:bCs/>
                <w:i/>
                <w:iCs/>
              </w:rPr>
              <w:t>Governance – recruitment and succession planning.</w:t>
            </w:r>
          </w:p>
          <w:p w14:paraId="4413DF5D" w14:textId="77777777" w:rsidR="00364C92" w:rsidRPr="00364C92" w:rsidRDefault="00364C92" w:rsidP="00364C92">
            <w:pPr>
              <w:contextualSpacing/>
              <w:jc w:val="both"/>
              <w:rPr>
                <w:rFonts w:ascii="Verdana" w:hAnsi="Verdana" w:cstheme="minorHAnsi"/>
                <w:bCs/>
              </w:rPr>
            </w:pPr>
          </w:p>
          <w:p w14:paraId="7AB41BC3" w14:textId="7386393C" w:rsidR="00364C92" w:rsidRDefault="00364C92" w:rsidP="00364C92">
            <w:pPr>
              <w:jc w:val="both"/>
              <w:rPr>
                <w:rFonts w:ascii="Verdana" w:hAnsi="Verdana" w:cstheme="minorHAnsi"/>
                <w:bCs/>
              </w:rPr>
            </w:pPr>
            <w:r w:rsidRPr="00364C92">
              <w:rPr>
                <w:rFonts w:ascii="Verdana" w:hAnsi="Verdana" w:cstheme="minorHAnsi"/>
                <w:bCs/>
              </w:rPr>
              <w:t>It was noted that, because of the public health emergency and other operational issues, the audits of Human Resources – Safer Recruitment and Cyber Security/IT Infrastructure will be completed in July and August for report in the Autumn Term</w:t>
            </w:r>
            <w:r>
              <w:rPr>
                <w:rFonts w:ascii="Verdana" w:hAnsi="Verdana" w:cstheme="minorHAnsi"/>
                <w:bCs/>
              </w:rPr>
              <w:t xml:space="preserve"> as part of the service’s annual report</w:t>
            </w:r>
            <w:r w:rsidRPr="00364C92">
              <w:rPr>
                <w:rFonts w:ascii="Verdana" w:hAnsi="Verdana" w:cstheme="minorHAnsi"/>
                <w:bCs/>
              </w:rPr>
              <w:t>.</w:t>
            </w:r>
            <w:r>
              <w:rPr>
                <w:rFonts w:ascii="Verdana" w:hAnsi="Verdana" w:cstheme="minorHAnsi"/>
                <w:bCs/>
              </w:rPr>
              <w:t xml:space="preserve">  In the meantime, the reports will be circulated to committee members as soon as they become available.  An additional meeting of the Committee will be convened if there are matters warranting it</w:t>
            </w:r>
            <w:r w:rsidR="00F76A8F">
              <w:rPr>
                <w:rFonts w:ascii="Verdana" w:hAnsi="Verdana" w:cstheme="minorHAnsi"/>
                <w:bCs/>
              </w:rPr>
              <w:t xml:space="preserve"> arising from these reports</w:t>
            </w:r>
            <w:r>
              <w:rPr>
                <w:rFonts w:ascii="Verdana" w:hAnsi="Verdana" w:cstheme="minorHAnsi"/>
                <w:bCs/>
              </w:rPr>
              <w:t>.</w:t>
            </w:r>
          </w:p>
          <w:p w14:paraId="5A7D5338" w14:textId="14EE639D" w:rsidR="00364C92" w:rsidRDefault="00364C92" w:rsidP="00364C92">
            <w:pPr>
              <w:jc w:val="both"/>
              <w:rPr>
                <w:rFonts w:ascii="Verdana" w:hAnsi="Verdana" w:cstheme="minorHAnsi"/>
                <w:bCs/>
              </w:rPr>
            </w:pPr>
          </w:p>
          <w:p w14:paraId="17D47971" w14:textId="77777777" w:rsidR="005C118F" w:rsidRPr="00F70205" w:rsidRDefault="005C118F" w:rsidP="005C118F">
            <w:pPr>
              <w:jc w:val="both"/>
              <w:rPr>
                <w:rFonts w:ascii="Verdana" w:hAnsi="Verdana" w:cstheme="minorHAnsi"/>
                <w:bCs/>
              </w:rPr>
            </w:pPr>
            <w:r>
              <w:rPr>
                <w:rFonts w:ascii="Verdana" w:hAnsi="Verdana" w:cstheme="minorHAnsi"/>
                <w:bCs/>
              </w:rPr>
              <w:t xml:space="preserve">It was noted in relation to the report on student recruitment that significant assurance (the second category out of five) had been given, and that two low-level recommendations had been made, both of which had been agreed </w:t>
            </w:r>
            <w:r>
              <w:rPr>
                <w:rFonts w:ascii="Verdana" w:hAnsi="Verdana" w:cstheme="minorHAnsi"/>
                <w:bCs/>
              </w:rPr>
              <w:lastRenderedPageBreak/>
              <w:t xml:space="preserve">for appropriate implementation by the College.  An added value point was </w:t>
            </w:r>
            <w:r w:rsidRPr="00F70205">
              <w:rPr>
                <w:rFonts w:ascii="Verdana" w:hAnsi="Verdana" w:cstheme="minorHAnsi"/>
                <w:bCs/>
              </w:rPr>
              <w:t>also noted.</w:t>
            </w:r>
          </w:p>
          <w:p w14:paraId="1271A61D" w14:textId="2CFE640E" w:rsidR="00F70205" w:rsidRPr="00F70205" w:rsidRDefault="00F70205" w:rsidP="00364C92">
            <w:pPr>
              <w:jc w:val="both"/>
              <w:rPr>
                <w:rFonts w:ascii="Verdana" w:hAnsi="Verdana" w:cstheme="minorHAnsi"/>
                <w:bCs/>
              </w:rPr>
            </w:pPr>
          </w:p>
          <w:p w14:paraId="3651256F" w14:textId="486CA24B" w:rsidR="00F70205" w:rsidRDefault="00F70205" w:rsidP="00364C92">
            <w:pPr>
              <w:jc w:val="both"/>
              <w:rPr>
                <w:rFonts w:ascii="Verdana" w:hAnsi="Verdana" w:cstheme="minorHAnsi"/>
                <w:bCs/>
              </w:rPr>
            </w:pPr>
            <w:r w:rsidRPr="00F70205">
              <w:rPr>
                <w:rFonts w:ascii="Verdana" w:hAnsi="Verdana" w:cstheme="minorHAnsi"/>
                <w:bCs/>
              </w:rPr>
              <w:t>It was also noted that the more benchmarking is “fine-tuned” to permit comparison only with other sixth form colleges, the less useful it would be owing to the small numbers involved.</w:t>
            </w:r>
            <w:r>
              <w:rPr>
                <w:rFonts w:ascii="Verdana" w:hAnsi="Verdana" w:cstheme="minorHAnsi"/>
                <w:bCs/>
              </w:rPr>
              <w:t xml:space="preserve"> </w:t>
            </w:r>
            <w:r w:rsidR="00B50B48">
              <w:rPr>
                <w:rFonts w:ascii="Verdana" w:hAnsi="Verdana" w:cstheme="minorHAnsi"/>
                <w:bCs/>
              </w:rPr>
              <w:t>To assist their understanding</w:t>
            </w:r>
            <w:r>
              <w:rPr>
                <w:rFonts w:ascii="Verdana" w:hAnsi="Verdana" w:cstheme="minorHAnsi"/>
                <w:bCs/>
              </w:rPr>
              <w:t>, members asked that the number of colleges from which such data is derived be disclosed in future reports.</w:t>
            </w:r>
          </w:p>
          <w:p w14:paraId="0A9AEC25" w14:textId="7461F332" w:rsidR="00F130D7" w:rsidRDefault="00F130D7" w:rsidP="00364C92">
            <w:pPr>
              <w:jc w:val="both"/>
              <w:rPr>
                <w:rFonts w:ascii="Verdana" w:hAnsi="Verdana" w:cstheme="minorHAnsi"/>
                <w:bCs/>
              </w:rPr>
            </w:pPr>
          </w:p>
          <w:p w14:paraId="6CBBC85C" w14:textId="2B9DE838" w:rsidR="00F130D7" w:rsidRPr="00F70205" w:rsidRDefault="00F130D7" w:rsidP="00364C92">
            <w:pPr>
              <w:jc w:val="both"/>
              <w:rPr>
                <w:rFonts w:ascii="Verdana" w:hAnsi="Verdana" w:cstheme="minorHAnsi"/>
                <w:bCs/>
              </w:rPr>
            </w:pPr>
            <w:r>
              <w:rPr>
                <w:rFonts w:ascii="Verdana" w:hAnsi="Verdana" w:cstheme="minorHAnsi"/>
                <w:bCs/>
              </w:rPr>
              <w:t>The report will be made available to the External Relations Committee at its next meeting.</w:t>
            </w:r>
          </w:p>
          <w:p w14:paraId="4DD9F04C" w14:textId="3CE465F5" w:rsidR="00364C92" w:rsidRPr="00F70205" w:rsidRDefault="00364C92" w:rsidP="00364C92">
            <w:pPr>
              <w:jc w:val="both"/>
              <w:rPr>
                <w:rFonts w:ascii="Verdana" w:hAnsi="Verdana" w:cstheme="minorHAnsi"/>
                <w:bCs/>
              </w:rPr>
            </w:pPr>
          </w:p>
          <w:p w14:paraId="257D9FCE" w14:textId="54DF86F8" w:rsidR="00AC4B1B" w:rsidRDefault="00364C92" w:rsidP="00364C92">
            <w:pPr>
              <w:jc w:val="both"/>
              <w:rPr>
                <w:rFonts w:ascii="Verdana" w:hAnsi="Verdana" w:cstheme="minorHAnsi"/>
                <w:bCs/>
              </w:rPr>
            </w:pPr>
            <w:r w:rsidRPr="00F70205">
              <w:rPr>
                <w:rFonts w:ascii="Verdana" w:hAnsi="Verdana" w:cstheme="minorHAnsi"/>
                <w:bCs/>
              </w:rPr>
              <w:t xml:space="preserve">It was noted in relation to the report on student </w:t>
            </w:r>
            <w:r w:rsidR="00AC4B1B" w:rsidRPr="00F70205">
              <w:rPr>
                <w:rFonts w:ascii="Verdana" w:hAnsi="Verdana" w:cstheme="minorHAnsi"/>
                <w:bCs/>
              </w:rPr>
              <w:t>participation, progress and retention that</w:t>
            </w:r>
            <w:r w:rsidR="00F76A8F" w:rsidRPr="00F70205">
              <w:rPr>
                <w:rFonts w:ascii="Verdana" w:hAnsi="Verdana" w:cstheme="minorHAnsi"/>
                <w:bCs/>
              </w:rPr>
              <w:t xml:space="preserve"> </w:t>
            </w:r>
            <w:r w:rsidR="00AC4B1B" w:rsidRPr="00F70205">
              <w:rPr>
                <w:rFonts w:ascii="Verdana" w:hAnsi="Verdana" w:cstheme="minorHAnsi"/>
                <w:bCs/>
              </w:rPr>
              <w:t>strong assurance (the first category out of</w:t>
            </w:r>
            <w:r w:rsidR="00AC4B1B">
              <w:rPr>
                <w:rFonts w:ascii="Verdana" w:hAnsi="Verdana" w:cstheme="minorHAnsi"/>
                <w:bCs/>
              </w:rPr>
              <w:t xml:space="preserve"> five) had been given, and that no recommendations had been made.</w:t>
            </w:r>
          </w:p>
          <w:p w14:paraId="1E49C963" w14:textId="0FBFA705" w:rsidR="00F70205" w:rsidRDefault="00F70205" w:rsidP="00364C92">
            <w:pPr>
              <w:jc w:val="both"/>
              <w:rPr>
                <w:rFonts w:ascii="Verdana" w:hAnsi="Verdana" w:cstheme="minorHAnsi"/>
                <w:bCs/>
              </w:rPr>
            </w:pPr>
          </w:p>
          <w:p w14:paraId="46772C4E" w14:textId="1E7BF882" w:rsidR="00F70205" w:rsidRDefault="00F70205" w:rsidP="00364C92">
            <w:pPr>
              <w:jc w:val="both"/>
              <w:rPr>
                <w:rFonts w:ascii="Verdana" w:hAnsi="Verdana" w:cstheme="minorHAnsi"/>
                <w:bCs/>
              </w:rPr>
            </w:pPr>
            <w:r>
              <w:rPr>
                <w:rFonts w:ascii="Verdana" w:hAnsi="Verdana" w:cstheme="minorHAnsi"/>
                <w:bCs/>
              </w:rPr>
              <w:t>It was also noted that response times had not always met declared targets owing to operating difficulties consequent upon the public health emergency, but are now being achieved.</w:t>
            </w:r>
          </w:p>
          <w:p w14:paraId="42471C98" w14:textId="77777777" w:rsidR="00AC4B1B" w:rsidRDefault="00AC4B1B" w:rsidP="00364C92">
            <w:pPr>
              <w:jc w:val="both"/>
              <w:rPr>
                <w:rFonts w:ascii="Verdana" w:hAnsi="Verdana" w:cstheme="minorHAnsi"/>
                <w:bCs/>
              </w:rPr>
            </w:pPr>
          </w:p>
          <w:p w14:paraId="33119B29" w14:textId="7B8A1881" w:rsidR="00364C92" w:rsidRDefault="00AC4B1B" w:rsidP="00364C92">
            <w:pPr>
              <w:jc w:val="both"/>
              <w:rPr>
                <w:rStyle w:val="markedcontent"/>
                <w:rFonts w:cs="Arial"/>
              </w:rPr>
            </w:pPr>
            <w:r w:rsidRPr="00AC4B1B">
              <w:rPr>
                <w:rFonts w:ascii="Verdana" w:hAnsi="Verdana" w:cstheme="minorHAnsi"/>
                <w:bCs/>
              </w:rPr>
              <w:t xml:space="preserve">It </w:t>
            </w:r>
            <w:r w:rsidRPr="00F70205">
              <w:rPr>
                <w:rFonts w:ascii="Verdana" w:hAnsi="Verdana" w:cstheme="minorHAnsi"/>
                <w:bCs/>
              </w:rPr>
              <w:t>was noted in relation to the report on governance</w:t>
            </w:r>
            <w:r w:rsidR="00D6662E">
              <w:rPr>
                <w:rFonts w:ascii="Verdana" w:hAnsi="Verdana" w:cstheme="minorHAnsi"/>
                <w:bCs/>
              </w:rPr>
              <w:t xml:space="preserve"> (</w:t>
            </w:r>
            <w:r w:rsidRPr="00F70205">
              <w:rPr>
                <w:rFonts w:ascii="Verdana" w:hAnsi="Verdana" w:cstheme="minorHAnsi"/>
                <w:bCs/>
              </w:rPr>
              <w:t>recruitment and succession planning</w:t>
            </w:r>
            <w:r w:rsidR="00D6662E">
              <w:rPr>
                <w:rFonts w:ascii="Verdana" w:hAnsi="Verdana" w:cstheme="minorHAnsi"/>
                <w:bCs/>
              </w:rPr>
              <w:t>)</w:t>
            </w:r>
            <w:r w:rsidRPr="00F70205">
              <w:rPr>
                <w:rFonts w:ascii="Verdana" w:hAnsi="Verdana" w:cstheme="minorHAnsi"/>
                <w:bCs/>
              </w:rPr>
              <w:t>, that the r</w:t>
            </w:r>
            <w:r w:rsidRPr="00F70205">
              <w:rPr>
                <w:rStyle w:val="markedcontent"/>
                <w:rFonts w:ascii="Verdana" w:hAnsi="Verdana" w:cs="Arial"/>
              </w:rPr>
              <w:t>eport had been prepared by exception, reporting only on those areas where the auditor believes improvements m</w:t>
            </w:r>
            <w:r w:rsidR="00D6662E">
              <w:rPr>
                <w:rStyle w:val="markedcontent"/>
                <w:rFonts w:ascii="Verdana" w:hAnsi="Verdana" w:cs="Arial"/>
              </w:rPr>
              <w:t>ight</w:t>
            </w:r>
            <w:r w:rsidRPr="00F70205">
              <w:rPr>
                <w:rStyle w:val="markedcontent"/>
                <w:rFonts w:ascii="Verdana" w:hAnsi="Verdana" w:cs="Arial"/>
              </w:rPr>
              <w:t xml:space="preserve"> be made.</w:t>
            </w:r>
            <w:r w:rsidR="001D5792" w:rsidRPr="00F70205">
              <w:rPr>
                <w:rStyle w:val="markedcontent"/>
                <w:rFonts w:ascii="Verdana" w:hAnsi="Verdana" w:cs="Arial"/>
              </w:rPr>
              <w:t xml:space="preserve">  It was further noted that the value</w:t>
            </w:r>
            <w:r w:rsidR="00F76A8F" w:rsidRPr="00F70205">
              <w:rPr>
                <w:rStyle w:val="markedcontent"/>
                <w:rFonts w:ascii="Verdana" w:hAnsi="Verdana" w:cs="Arial"/>
              </w:rPr>
              <w:t>-</w:t>
            </w:r>
            <w:r w:rsidR="001D5792" w:rsidRPr="00F70205">
              <w:rPr>
                <w:rStyle w:val="markedcontent"/>
                <w:rFonts w:ascii="Verdana" w:hAnsi="Verdana" w:cs="Arial"/>
              </w:rPr>
              <w:t>added points thereby arising will be considered by the Governance and Nominations Committee in the context of the review of governor recruitment currently being undertaken.</w:t>
            </w:r>
            <w:r w:rsidR="00F70205" w:rsidRPr="00F70205">
              <w:rPr>
                <w:rStyle w:val="markedcontent"/>
                <w:rFonts w:ascii="Verdana" w:hAnsi="Verdana" w:cs="Arial"/>
              </w:rPr>
              <w:t xml:space="preserve">  No assurance level had for this reason been given</w:t>
            </w:r>
            <w:r w:rsidR="00F70205">
              <w:rPr>
                <w:rStyle w:val="markedcontent"/>
                <w:rFonts w:ascii="Verdana" w:hAnsi="Verdana" w:cs="Arial"/>
              </w:rPr>
              <w:t>.</w:t>
            </w:r>
          </w:p>
          <w:p w14:paraId="41E1A446" w14:textId="0867E461" w:rsidR="00F70205" w:rsidRDefault="00F70205" w:rsidP="00364C92">
            <w:pPr>
              <w:jc w:val="both"/>
              <w:rPr>
                <w:rStyle w:val="markedcontent"/>
                <w:rFonts w:cs="Arial"/>
              </w:rPr>
            </w:pPr>
          </w:p>
          <w:p w14:paraId="3010995D" w14:textId="5652FF86" w:rsidR="005C118F" w:rsidRPr="001D5792" w:rsidRDefault="00F70205" w:rsidP="005C118F">
            <w:pPr>
              <w:jc w:val="both"/>
              <w:rPr>
                <w:rFonts w:ascii="Verdana" w:hAnsi="Verdana" w:cstheme="minorHAnsi"/>
                <w:bCs/>
              </w:rPr>
            </w:pPr>
            <w:r w:rsidRPr="00E13C30">
              <w:rPr>
                <w:rStyle w:val="markedcontent"/>
                <w:rFonts w:ascii="Verdana" w:hAnsi="Verdana" w:cs="Arial"/>
              </w:rPr>
              <w:t xml:space="preserve">It was also noted that the </w:t>
            </w:r>
            <w:r w:rsidR="00E13C30" w:rsidRPr="00E13C30">
              <w:rPr>
                <w:rStyle w:val="markedcontent"/>
                <w:rFonts w:ascii="Verdana" w:hAnsi="Verdana" w:cs="Arial"/>
              </w:rPr>
              <w:t>re</w:t>
            </w:r>
            <w:r w:rsidRPr="00E13C30">
              <w:rPr>
                <w:rStyle w:val="markedcontent"/>
                <w:rFonts w:ascii="Verdana" w:hAnsi="Verdana" w:cs="Arial"/>
              </w:rPr>
              <w:t xml:space="preserve">port would be made available to the </w:t>
            </w:r>
            <w:r w:rsidR="00E13C30" w:rsidRPr="00E13C30">
              <w:rPr>
                <w:rStyle w:val="markedcontent"/>
                <w:rFonts w:ascii="Verdana" w:hAnsi="Verdana" w:cs="Arial"/>
              </w:rPr>
              <w:t>Governance &amp; Nominations Committee to form part of its review of governor recruitment.</w:t>
            </w:r>
            <w:r w:rsidR="005C118F">
              <w:rPr>
                <w:rStyle w:val="markedcontent"/>
                <w:rFonts w:ascii="Verdana" w:hAnsi="Verdana" w:cs="Arial"/>
              </w:rPr>
              <w:t xml:space="preserve"> </w:t>
            </w:r>
            <w:r w:rsidR="005C118F" w:rsidRPr="001D5792">
              <w:rPr>
                <w:rFonts w:ascii="Verdana" w:hAnsi="Verdana" w:cstheme="minorHAnsi"/>
                <w:bCs/>
              </w:rPr>
              <w:t>Members commented that</w:t>
            </w:r>
            <w:r w:rsidR="005C118F">
              <w:rPr>
                <w:rFonts w:ascii="Verdana" w:hAnsi="Verdana" w:cstheme="minorHAnsi"/>
                <w:bCs/>
              </w:rPr>
              <w:t xml:space="preserve"> the value-added suggestions were on the whole sensible and practical.  They will be referred to the Governance &amp; Nominations Committee to consider their implementation. </w:t>
            </w:r>
          </w:p>
          <w:p w14:paraId="472FFE0B" w14:textId="5F55FFB0" w:rsidR="00364C92" w:rsidRPr="00364C92" w:rsidRDefault="00364C92" w:rsidP="005C118F">
            <w:pPr>
              <w:jc w:val="both"/>
              <w:rPr>
                <w:rFonts w:ascii="Verdana" w:hAnsi="Verdana"/>
                <w:b/>
                <w:bCs/>
              </w:rPr>
            </w:pPr>
          </w:p>
        </w:tc>
      </w:tr>
      <w:tr w:rsidR="001D5792" w:rsidRPr="00364C92" w14:paraId="18918D8C" w14:textId="77777777" w:rsidTr="00970693">
        <w:tc>
          <w:tcPr>
            <w:tcW w:w="529" w:type="dxa"/>
          </w:tcPr>
          <w:p w14:paraId="3C092122" w14:textId="22EFEDC8" w:rsidR="001D5792" w:rsidRPr="00364C92" w:rsidRDefault="001D5792" w:rsidP="002D2153">
            <w:pPr>
              <w:pStyle w:val="NoSpacing"/>
              <w:rPr>
                <w:rFonts w:ascii="Verdana" w:hAnsi="Verdana"/>
                <w:b/>
              </w:rPr>
            </w:pPr>
            <w:r>
              <w:rPr>
                <w:rFonts w:ascii="Verdana" w:hAnsi="Verdana"/>
                <w:b/>
              </w:rPr>
              <w:lastRenderedPageBreak/>
              <w:t>9</w:t>
            </w:r>
          </w:p>
        </w:tc>
        <w:tc>
          <w:tcPr>
            <w:tcW w:w="8487" w:type="dxa"/>
          </w:tcPr>
          <w:p w14:paraId="411CE1B8" w14:textId="77777777" w:rsidR="001D5792" w:rsidRDefault="001D5792" w:rsidP="001D5792">
            <w:pPr>
              <w:pStyle w:val="NoSpacing"/>
              <w:rPr>
                <w:rFonts w:ascii="Verdana" w:hAnsi="Verdana"/>
                <w:b/>
                <w:bCs/>
              </w:rPr>
            </w:pPr>
            <w:r>
              <w:rPr>
                <w:rFonts w:ascii="Verdana" w:hAnsi="Verdana"/>
                <w:b/>
                <w:bCs/>
              </w:rPr>
              <w:t>Internal Audit Plan 2021-22</w:t>
            </w:r>
          </w:p>
          <w:p w14:paraId="6845C8D8" w14:textId="77777777" w:rsidR="001D5792" w:rsidRDefault="001D5792" w:rsidP="00DE5F4A">
            <w:pPr>
              <w:pStyle w:val="NoSpacing"/>
              <w:rPr>
                <w:rFonts w:ascii="Verdana" w:hAnsi="Verdana"/>
                <w:b/>
                <w:bCs/>
              </w:rPr>
            </w:pPr>
          </w:p>
          <w:p w14:paraId="10BA9EFD" w14:textId="7330ADE8" w:rsidR="001D5792" w:rsidRPr="004A7D2D" w:rsidRDefault="004A7D2D" w:rsidP="00DE5F4A">
            <w:pPr>
              <w:pStyle w:val="NoSpacing"/>
              <w:rPr>
                <w:rFonts w:ascii="Verdana" w:hAnsi="Verdana"/>
              </w:rPr>
            </w:pPr>
            <w:r w:rsidRPr="004A7D2D">
              <w:rPr>
                <w:rFonts w:ascii="Verdana" w:hAnsi="Verdana"/>
              </w:rPr>
              <w:t>A draft plan prepared by the internal audit service was received and considered.</w:t>
            </w:r>
          </w:p>
          <w:p w14:paraId="4D34C4E6" w14:textId="2D8C95B1" w:rsidR="004A7D2D" w:rsidRDefault="004A7D2D" w:rsidP="00DE5F4A">
            <w:pPr>
              <w:pStyle w:val="NoSpacing"/>
              <w:rPr>
                <w:rFonts w:ascii="Verdana" w:hAnsi="Verdana"/>
                <w:b/>
                <w:bCs/>
              </w:rPr>
            </w:pPr>
          </w:p>
          <w:p w14:paraId="7DB6C085" w14:textId="0002F569" w:rsidR="004A7D2D" w:rsidRPr="004A7D2D" w:rsidRDefault="004A7D2D" w:rsidP="004A7D2D">
            <w:pPr>
              <w:jc w:val="both"/>
              <w:rPr>
                <w:rFonts w:ascii="Verdana" w:hAnsi="Verdana" w:cstheme="minorHAnsi"/>
                <w:bCs/>
              </w:rPr>
            </w:pPr>
            <w:r w:rsidRPr="004A7D2D">
              <w:rPr>
                <w:rFonts w:ascii="Verdana" w:hAnsi="Verdana" w:cstheme="minorHAnsi"/>
                <w:bCs/>
              </w:rPr>
              <w:t>The Internal Audit Plan 2021-22 had been provisionally agreed at the special meeting in January.  It provides for the following reviews:</w:t>
            </w:r>
          </w:p>
          <w:p w14:paraId="0C8D648F" w14:textId="27578A42" w:rsidR="004A7D2D" w:rsidRPr="004A7D2D" w:rsidRDefault="004A7D2D" w:rsidP="004A7D2D">
            <w:pPr>
              <w:jc w:val="both"/>
              <w:rPr>
                <w:rFonts w:ascii="Verdana" w:hAnsi="Verdana" w:cstheme="minorHAnsi"/>
                <w:bCs/>
              </w:rPr>
            </w:pPr>
          </w:p>
          <w:p w14:paraId="086F853E" w14:textId="259EBDB3" w:rsidR="004A7D2D" w:rsidRPr="004A7D2D" w:rsidRDefault="004A7D2D" w:rsidP="004A7D2D">
            <w:pPr>
              <w:contextualSpacing/>
              <w:jc w:val="both"/>
              <w:rPr>
                <w:rFonts w:ascii="Verdana" w:hAnsi="Verdana" w:cstheme="minorHAnsi"/>
                <w:bCs/>
                <w:i/>
                <w:iCs/>
              </w:rPr>
            </w:pPr>
            <w:r w:rsidRPr="004A7D2D">
              <w:rPr>
                <w:rFonts w:ascii="Verdana" w:hAnsi="Verdana" w:cstheme="minorHAnsi"/>
                <w:bCs/>
                <w:i/>
                <w:iCs/>
              </w:rPr>
              <w:t>Work Placements;</w:t>
            </w:r>
          </w:p>
          <w:p w14:paraId="7803AF9F" w14:textId="55E03E90" w:rsidR="004A7D2D" w:rsidRPr="004A7D2D" w:rsidRDefault="004A7D2D" w:rsidP="004A7D2D">
            <w:pPr>
              <w:contextualSpacing/>
              <w:jc w:val="both"/>
              <w:rPr>
                <w:rFonts w:ascii="Verdana" w:hAnsi="Verdana" w:cstheme="minorHAnsi"/>
                <w:bCs/>
                <w:i/>
                <w:iCs/>
              </w:rPr>
            </w:pPr>
            <w:r w:rsidRPr="004A7D2D">
              <w:rPr>
                <w:rFonts w:ascii="Verdana" w:hAnsi="Verdana" w:cstheme="minorHAnsi"/>
                <w:bCs/>
                <w:i/>
                <w:iCs/>
              </w:rPr>
              <w:t>Risk Management and Governance;</w:t>
            </w:r>
          </w:p>
          <w:p w14:paraId="0F204FF4" w14:textId="16CCFF8B" w:rsidR="004A7D2D" w:rsidRPr="004A7D2D" w:rsidRDefault="004A7D2D" w:rsidP="004A7D2D">
            <w:pPr>
              <w:contextualSpacing/>
              <w:jc w:val="both"/>
              <w:rPr>
                <w:rFonts w:ascii="Verdana" w:hAnsi="Verdana" w:cstheme="minorHAnsi"/>
                <w:bCs/>
                <w:i/>
                <w:iCs/>
              </w:rPr>
            </w:pPr>
            <w:r w:rsidRPr="004A7D2D">
              <w:rPr>
                <w:rFonts w:ascii="Verdana" w:hAnsi="Verdana" w:cstheme="minorHAnsi"/>
                <w:bCs/>
                <w:i/>
                <w:iCs/>
              </w:rPr>
              <w:t>Property Management and Energy Efficiency;</w:t>
            </w:r>
          </w:p>
          <w:p w14:paraId="71CB312F" w14:textId="2CC73368" w:rsidR="004A7D2D" w:rsidRPr="004A7D2D" w:rsidRDefault="004A7D2D" w:rsidP="004A7D2D">
            <w:pPr>
              <w:contextualSpacing/>
              <w:jc w:val="both"/>
              <w:rPr>
                <w:rFonts w:ascii="Verdana" w:hAnsi="Verdana" w:cstheme="minorHAnsi"/>
                <w:bCs/>
                <w:i/>
                <w:iCs/>
              </w:rPr>
            </w:pPr>
            <w:r w:rsidRPr="004A7D2D">
              <w:rPr>
                <w:rFonts w:ascii="Verdana" w:hAnsi="Verdana" w:cstheme="minorHAnsi"/>
                <w:bCs/>
                <w:i/>
                <w:iCs/>
              </w:rPr>
              <w:t xml:space="preserve">Health and </w:t>
            </w:r>
            <w:r w:rsidR="00F76A8F">
              <w:rPr>
                <w:rFonts w:ascii="Verdana" w:hAnsi="Verdana" w:cstheme="minorHAnsi"/>
                <w:bCs/>
                <w:i/>
                <w:iCs/>
              </w:rPr>
              <w:t>S</w:t>
            </w:r>
            <w:r w:rsidRPr="004A7D2D">
              <w:rPr>
                <w:rFonts w:ascii="Verdana" w:hAnsi="Verdana" w:cstheme="minorHAnsi"/>
                <w:bCs/>
                <w:i/>
                <w:iCs/>
              </w:rPr>
              <w:t>afety;</w:t>
            </w:r>
          </w:p>
          <w:p w14:paraId="1B2AC745" w14:textId="77777777" w:rsidR="004A7D2D" w:rsidRPr="004A7D2D" w:rsidRDefault="004A7D2D" w:rsidP="004A7D2D">
            <w:pPr>
              <w:contextualSpacing/>
              <w:jc w:val="both"/>
              <w:rPr>
                <w:rFonts w:ascii="Verdana" w:hAnsi="Verdana" w:cstheme="minorHAnsi"/>
                <w:bCs/>
                <w:i/>
                <w:iCs/>
              </w:rPr>
            </w:pPr>
            <w:r w:rsidRPr="004A7D2D">
              <w:rPr>
                <w:rFonts w:ascii="Verdana" w:hAnsi="Verdana" w:cstheme="minorHAnsi"/>
                <w:bCs/>
                <w:i/>
                <w:iCs/>
              </w:rPr>
              <w:t>Key Financial Controls - Payroll</w:t>
            </w:r>
          </w:p>
          <w:p w14:paraId="645FD226" w14:textId="77777777" w:rsidR="004A7D2D" w:rsidRPr="004A7D2D" w:rsidRDefault="004A7D2D" w:rsidP="004A7D2D">
            <w:pPr>
              <w:jc w:val="both"/>
              <w:rPr>
                <w:rFonts w:ascii="Verdana" w:hAnsi="Verdana" w:cstheme="minorHAnsi"/>
              </w:rPr>
            </w:pPr>
          </w:p>
          <w:p w14:paraId="4EE06CAC" w14:textId="1666A69D" w:rsidR="005C118F" w:rsidRPr="005C118F" w:rsidRDefault="005C118F" w:rsidP="005C118F">
            <w:pPr>
              <w:pStyle w:val="NoSpacing"/>
              <w:rPr>
                <w:rFonts w:ascii="Verdana" w:hAnsi="Verdana"/>
              </w:rPr>
            </w:pPr>
            <w:r w:rsidRPr="005C118F">
              <w:rPr>
                <w:rFonts w:ascii="Verdana" w:hAnsi="Verdana"/>
              </w:rPr>
              <w:t xml:space="preserve">The Plan was approved on behalf of the Corporation. It was agreed that, in light of the recent public health emergency, the priorities for the next </w:t>
            </w:r>
            <w:r w:rsidRPr="005C118F">
              <w:rPr>
                <w:rFonts w:ascii="Verdana" w:hAnsi="Verdana"/>
              </w:rPr>
              <w:lastRenderedPageBreak/>
              <w:t xml:space="preserve">audit do not need to be changed, and that these areas continue to be the key areas of focus that should be examined. </w:t>
            </w:r>
          </w:p>
          <w:p w14:paraId="4548E54D" w14:textId="0AA47667" w:rsidR="004A7D2D" w:rsidRPr="004A7D2D" w:rsidRDefault="004A7D2D" w:rsidP="00DE5F4A">
            <w:pPr>
              <w:pStyle w:val="NoSpacing"/>
              <w:rPr>
                <w:rFonts w:ascii="Verdana" w:hAnsi="Verdana"/>
              </w:rPr>
            </w:pPr>
          </w:p>
        </w:tc>
      </w:tr>
      <w:tr w:rsidR="004A7D2D" w:rsidRPr="00E16B63" w14:paraId="16EC8484" w14:textId="77777777" w:rsidTr="00970693">
        <w:tc>
          <w:tcPr>
            <w:tcW w:w="529" w:type="dxa"/>
          </w:tcPr>
          <w:p w14:paraId="589D5A95" w14:textId="34D47B9B" w:rsidR="004A7D2D" w:rsidRPr="00E16B63" w:rsidRDefault="004A7D2D" w:rsidP="002D2153">
            <w:pPr>
              <w:pStyle w:val="NoSpacing"/>
              <w:rPr>
                <w:rFonts w:ascii="Verdana" w:hAnsi="Verdana"/>
                <w:b/>
              </w:rPr>
            </w:pPr>
            <w:r w:rsidRPr="00E16B63">
              <w:rPr>
                <w:rFonts w:ascii="Verdana" w:hAnsi="Verdana"/>
                <w:b/>
              </w:rPr>
              <w:lastRenderedPageBreak/>
              <w:t>10</w:t>
            </w:r>
          </w:p>
        </w:tc>
        <w:tc>
          <w:tcPr>
            <w:tcW w:w="8487" w:type="dxa"/>
          </w:tcPr>
          <w:p w14:paraId="71591402" w14:textId="2114913B" w:rsidR="004A7D2D" w:rsidRPr="00F76A8F" w:rsidRDefault="004A7D2D" w:rsidP="004A7D2D">
            <w:pPr>
              <w:pStyle w:val="NoSpacing"/>
              <w:rPr>
                <w:rFonts w:ascii="Verdana" w:hAnsi="Verdana"/>
                <w:b/>
                <w:bCs/>
              </w:rPr>
            </w:pPr>
            <w:r w:rsidRPr="00F76A8F">
              <w:rPr>
                <w:rFonts w:ascii="Verdana" w:hAnsi="Verdana"/>
                <w:b/>
                <w:bCs/>
              </w:rPr>
              <w:t xml:space="preserve">Financial Statements’ </w:t>
            </w:r>
            <w:r w:rsidR="00F76A8F" w:rsidRPr="00F76A8F">
              <w:rPr>
                <w:rFonts w:ascii="Verdana" w:hAnsi="Verdana"/>
                <w:b/>
                <w:bCs/>
              </w:rPr>
              <w:t xml:space="preserve">(External) </w:t>
            </w:r>
            <w:r w:rsidRPr="00F76A8F">
              <w:rPr>
                <w:rFonts w:ascii="Verdana" w:hAnsi="Verdana"/>
                <w:b/>
                <w:bCs/>
              </w:rPr>
              <w:t>Audit Plan 2020-21</w:t>
            </w:r>
          </w:p>
          <w:p w14:paraId="1A520DE7" w14:textId="19CCE885" w:rsidR="004A7D2D" w:rsidRPr="00E16B63" w:rsidRDefault="004A7D2D" w:rsidP="001D5792">
            <w:pPr>
              <w:pStyle w:val="NoSpacing"/>
              <w:rPr>
                <w:rFonts w:ascii="Verdana" w:hAnsi="Verdana"/>
                <w:b/>
                <w:bCs/>
              </w:rPr>
            </w:pPr>
          </w:p>
          <w:p w14:paraId="71889D3A" w14:textId="451EBCF8" w:rsidR="00526892" w:rsidRDefault="00526892" w:rsidP="00526892">
            <w:pPr>
              <w:pStyle w:val="NoSpacing"/>
              <w:rPr>
                <w:rFonts w:ascii="Verdana" w:hAnsi="Verdana"/>
              </w:rPr>
            </w:pPr>
            <w:r w:rsidRPr="00E16B63">
              <w:rPr>
                <w:rFonts w:ascii="Verdana" w:hAnsi="Verdana"/>
              </w:rPr>
              <w:t xml:space="preserve">A draft plan </w:t>
            </w:r>
            <w:r w:rsidRPr="00947E04">
              <w:rPr>
                <w:rFonts w:ascii="Verdana" w:hAnsi="Verdana"/>
              </w:rPr>
              <w:t xml:space="preserve">prepared by the </w:t>
            </w:r>
            <w:r w:rsidR="00947E04" w:rsidRPr="00947E04">
              <w:rPr>
                <w:rFonts w:ascii="Verdana" w:hAnsi="Verdana"/>
              </w:rPr>
              <w:t>financial statements</w:t>
            </w:r>
            <w:r w:rsidR="00947E04">
              <w:rPr>
                <w:rFonts w:ascii="Verdana" w:hAnsi="Verdana"/>
              </w:rPr>
              <w:t>’</w:t>
            </w:r>
            <w:r w:rsidR="00947E04" w:rsidRPr="00947E04">
              <w:rPr>
                <w:rFonts w:ascii="Verdana" w:hAnsi="Verdana"/>
              </w:rPr>
              <w:t xml:space="preserve"> (</w:t>
            </w:r>
            <w:r w:rsidRPr="00947E04">
              <w:rPr>
                <w:rFonts w:ascii="Verdana" w:hAnsi="Verdana"/>
              </w:rPr>
              <w:t>external</w:t>
            </w:r>
            <w:r w:rsidR="00947E04" w:rsidRPr="00947E04">
              <w:rPr>
                <w:rFonts w:ascii="Verdana" w:hAnsi="Verdana"/>
              </w:rPr>
              <w:t>)</w:t>
            </w:r>
            <w:r w:rsidRPr="00947E04">
              <w:rPr>
                <w:rFonts w:ascii="Verdana" w:hAnsi="Verdana"/>
              </w:rPr>
              <w:t xml:space="preserve"> auditor was</w:t>
            </w:r>
            <w:r w:rsidRPr="00E16B63">
              <w:rPr>
                <w:rFonts w:ascii="Verdana" w:hAnsi="Verdana"/>
              </w:rPr>
              <w:t xml:space="preserve"> received and considered.</w:t>
            </w:r>
          </w:p>
          <w:p w14:paraId="32036598" w14:textId="475D476B" w:rsidR="00526892" w:rsidRPr="00E16B63" w:rsidRDefault="00526892" w:rsidP="00526892">
            <w:pPr>
              <w:pStyle w:val="NoSpacing"/>
              <w:rPr>
                <w:rFonts w:ascii="Verdana" w:hAnsi="Verdana"/>
              </w:rPr>
            </w:pPr>
          </w:p>
          <w:p w14:paraId="6089AD7C" w14:textId="7C46BE65" w:rsidR="00526892" w:rsidRPr="00E16B63" w:rsidRDefault="00526892" w:rsidP="00526892">
            <w:pPr>
              <w:pStyle w:val="NoSpacing"/>
              <w:rPr>
                <w:rFonts w:ascii="Verdana" w:hAnsi="Verdana"/>
              </w:rPr>
            </w:pPr>
            <w:r w:rsidRPr="00E16B63">
              <w:rPr>
                <w:rFonts w:ascii="Verdana" w:hAnsi="Verdana"/>
              </w:rPr>
              <w:t>Members noted the audit timetable.  In this connection, it was noted that</w:t>
            </w:r>
            <w:r w:rsidR="009203C0" w:rsidRPr="00E16B63">
              <w:rPr>
                <w:rFonts w:ascii="Verdana" w:hAnsi="Verdana"/>
              </w:rPr>
              <w:t xml:space="preserve">, to fulfil a new requirement of the Audit Code of Practice issued by the ESFA (hereinafter “the Code”), </w:t>
            </w:r>
            <w:r w:rsidRPr="00E16B63">
              <w:rPr>
                <w:rFonts w:ascii="Verdana" w:hAnsi="Verdana"/>
              </w:rPr>
              <w:t xml:space="preserve"> all members of the Corporation will receive an invitation to attend the November Audit Committee meeting as participating observers for the receipt and consideration of the external audit report, which will form the first substantive business on the agenda.</w:t>
            </w:r>
          </w:p>
          <w:p w14:paraId="07150ED6" w14:textId="4DE6D752" w:rsidR="00526892" w:rsidRPr="00E16B63" w:rsidRDefault="00526892" w:rsidP="00526892">
            <w:pPr>
              <w:pStyle w:val="NoSpacing"/>
              <w:rPr>
                <w:rFonts w:ascii="Verdana" w:hAnsi="Verdana"/>
              </w:rPr>
            </w:pPr>
          </w:p>
          <w:p w14:paraId="3C52ABC5" w14:textId="77777777" w:rsidR="008F02FB" w:rsidRPr="00E16B63" w:rsidRDefault="008F02FB" w:rsidP="008F02FB">
            <w:pPr>
              <w:pStyle w:val="NoSpacing"/>
              <w:rPr>
                <w:rFonts w:ascii="Verdana" w:hAnsi="Verdana"/>
              </w:rPr>
            </w:pPr>
            <w:r w:rsidRPr="00E16B63">
              <w:rPr>
                <w:rFonts w:ascii="Verdana" w:hAnsi="Verdana"/>
              </w:rPr>
              <w:t xml:space="preserve">It was noted that the following </w:t>
            </w:r>
            <w:r>
              <w:rPr>
                <w:rFonts w:ascii="Verdana" w:hAnsi="Verdana"/>
              </w:rPr>
              <w:t xml:space="preserve">5 </w:t>
            </w:r>
            <w:r w:rsidRPr="00E16B63">
              <w:rPr>
                <w:rFonts w:ascii="Verdana" w:hAnsi="Verdana"/>
              </w:rPr>
              <w:t>key audit risks had been identified which are to be addressed in the audit:</w:t>
            </w:r>
          </w:p>
          <w:p w14:paraId="7C21A46B" w14:textId="77777777" w:rsidR="00526892" w:rsidRPr="00E16B63" w:rsidRDefault="00526892" w:rsidP="00526892">
            <w:pPr>
              <w:pStyle w:val="NoSpacing"/>
              <w:rPr>
                <w:rFonts w:ascii="Verdana" w:hAnsi="Verdana"/>
              </w:rPr>
            </w:pPr>
          </w:p>
          <w:p w14:paraId="13C28219" w14:textId="52458C13" w:rsidR="00526892" w:rsidRPr="00E16B63" w:rsidRDefault="00526892" w:rsidP="00526892">
            <w:pPr>
              <w:pStyle w:val="NoSpacing"/>
              <w:rPr>
                <w:rFonts w:ascii="Verdana" w:hAnsi="Verdana"/>
                <w:i/>
                <w:iCs/>
              </w:rPr>
            </w:pPr>
            <w:r w:rsidRPr="00E16B63">
              <w:rPr>
                <w:rFonts w:ascii="Verdana" w:hAnsi="Verdana"/>
                <w:i/>
                <w:iCs/>
              </w:rPr>
              <w:t>entitlement and recognition of income</w:t>
            </w:r>
            <w:r w:rsidR="009203C0" w:rsidRPr="00E16B63">
              <w:rPr>
                <w:rFonts w:ascii="Verdana" w:hAnsi="Verdana"/>
                <w:i/>
                <w:iCs/>
              </w:rPr>
              <w:t xml:space="preserve">, </w:t>
            </w:r>
            <w:r w:rsidRPr="00E16B63">
              <w:rPr>
                <w:rFonts w:ascii="Verdana" w:hAnsi="Verdana"/>
                <w:i/>
                <w:iCs/>
              </w:rPr>
              <w:t>with particular reference to</w:t>
            </w:r>
            <w:r w:rsidR="009203C0" w:rsidRPr="00E16B63">
              <w:rPr>
                <w:rFonts w:ascii="Verdana" w:hAnsi="Verdana"/>
                <w:i/>
                <w:iCs/>
              </w:rPr>
              <w:t xml:space="preserve"> the</w:t>
            </w:r>
            <w:r w:rsidRPr="00E16B63">
              <w:rPr>
                <w:rFonts w:ascii="Verdana" w:hAnsi="Verdana"/>
                <w:i/>
                <w:iCs/>
              </w:rPr>
              <w:t xml:space="preserve"> Code which states that the </w:t>
            </w:r>
            <w:r w:rsidR="009203C0" w:rsidRPr="00E16B63">
              <w:rPr>
                <w:rFonts w:ascii="Verdana" w:hAnsi="Verdana"/>
                <w:i/>
                <w:iCs/>
              </w:rPr>
              <w:t>ESFA</w:t>
            </w:r>
            <w:r w:rsidRPr="00E16B63">
              <w:rPr>
                <w:rFonts w:ascii="Verdana" w:hAnsi="Verdana"/>
                <w:i/>
                <w:iCs/>
              </w:rPr>
              <w:t xml:space="preserve"> does not provide assurance over the entitlement of income;</w:t>
            </w:r>
          </w:p>
          <w:p w14:paraId="2BDF4BBE" w14:textId="511B9B2E" w:rsidR="00526892" w:rsidRPr="00E16B63" w:rsidRDefault="00526892" w:rsidP="00526892">
            <w:pPr>
              <w:pStyle w:val="NoSpacing"/>
              <w:rPr>
                <w:rFonts w:ascii="Verdana" w:hAnsi="Verdana"/>
                <w:i/>
                <w:iCs/>
              </w:rPr>
            </w:pPr>
            <w:r w:rsidRPr="00E16B63">
              <w:rPr>
                <w:rFonts w:ascii="Verdana" w:hAnsi="Verdana"/>
                <w:i/>
                <w:iCs/>
              </w:rPr>
              <w:t xml:space="preserve"> </w:t>
            </w:r>
          </w:p>
          <w:p w14:paraId="2B1D0B3B" w14:textId="3DD3B3A3" w:rsidR="009203C0" w:rsidRPr="00E16B63" w:rsidRDefault="009203C0" w:rsidP="00526892">
            <w:pPr>
              <w:pStyle w:val="NoSpacing"/>
              <w:rPr>
                <w:rFonts w:ascii="Verdana" w:hAnsi="Verdana"/>
                <w:i/>
                <w:iCs/>
              </w:rPr>
            </w:pPr>
            <w:r w:rsidRPr="00E16B63">
              <w:rPr>
                <w:rFonts w:ascii="Verdana" w:hAnsi="Verdana"/>
                <w:i/>
                <w:iCs/>
              </w:rPr>
              <w:t>capital expenditure and commitments;</w:t>
            </w:r>
          </w:p>
          <w:p w14:paraId="7D9F4ECD" w14:textId="639EFF76" w:rsidR="009203C0" w:rsidRPr="00E16B63" w:rsidRDefault="009203C0" w:rsidP="00526892">
            <w:pPr>
              <w:pStyle w:val="NoSpacing"/>
              <w:rPr>
                <w:rFonts w:ascii="Verdana" w:hAnsi="Verdana"/>
                <w:i/>
                <w:iCs/>
              </w:rPr>
            </w:pPr>
          </w:p>
          <w:p w14:paraId="65BB4EC5" w14:textId="06F90F1A" w:rsidR="009203C0" w:rsidRPr="00E16B63" w:rsidRDefault="009203C0" w:rsidP="00526892">
            <w:pPr>
              <w:pStyle w:val="NoSpacing"/>
              <w:rPr>
                <w:rFonts w:ascii="Verdana" w:hAnsi="Verdana"/>
              </w:rPr>
            </w:pPr>
            <w:r w:rsidRPr="00E16B63">
              <w:rPr>
                <w:rFonts w:ascii="Verdana" w:hAnsi="Verdana"/>
                <w:i/>
                <w:iCs/>
              </w:rPr>
              <w:t>going concern;</w:t>
            </w:r>
            <w:r w:rsidRPr="00E16B63">
              <w:rPr>
                <w:rFonts w:ascii="Verdana" w:hAnsi="Verdana"/>
              </w:rPr>
              <w:t xml:space="preserve"> and</w:t>
            </w:r>
          </w:p>
          <w:p w14:paraId="2A9FC34A" w14:textId="4E13B823" w:rsidR="009203C0" w:rsidRPr="00E16B63" w:rsidRDefault="009203C0" w:rsidP="00526892">
            <w:pPr>
              <w:pStyle w:val="NoSpacing"/>
              <w:rPr>
                <w:rFonts w:ascii="Verdana" w:hAnsi="Verdana"/>
                <w:i/>
                <w:iCs/>
              </w:rPr>
            </w:pPr>
          </w:p>
          <w:p w14:paraId="658BF0C7" w14:textId="6553A9B5" w:rsidR="009203C0" w:rsidRPr="00E16B63" w:rsidRDefault="009203C0" w:rsidP="00526892">
            <w:pPr>
              <w:pStyle w:val="NoSpacing"/>
              <w:rPr>
                <w:rFonts w:ascii="Verdana" w:hAnsi="Verdana"/>
                <w:i/>
                <w:iCs/>
              </w:rPr>
            </w:pPr>
            <w:r w:rsidRPr="00E16B63">
              <w:rPr>
                <w:rFonts w:ascii="Verdana" w:hAnsi="Verdana"/>
                <w:i/>
                <w:iCs/>
              </w:rPr>
              <w:t>key financial controls.</w:t>
            </w:r>
          </w:p>
          <w:p w14:paraId="6500FA20" w14:textId="1BC51644" w:rsidR="00526892" w:rsidRPr="00E16B63" w:rsidRDefault="00526892" w:rsidP="001D5792">
            <w:pPr>
              <w:pStyle w:val="NoSpacing"/>
              <w:rPr>
                <w:rFonts w:ascii="Verdana" w:hAnsi="Verdana"/>
                <w:b/>
                <w:bCs/>
              </w:rPr>
            </w:pPr>
          </w:p>
          <w:p w14:paraId="77877257" w14:textId="689DD701" w:rsidR="009203C0" w:rsidRPr="00E16B63" w:rsidRDefault="009203C0" w:rsidP="009203C0">
            <w:pPr>
              <w:pStyle w:val="NoSpacing"/>
              <w:rPr>
                <w:rFonts w:ascii="Verdana" w:hAnsi="Verdana"/>
              </w:rPr>
            </w:pPr>
            <w:r w:rsidRPr="00E16B63">
              <w:rPr>
                <w:rFonts w:ascii="Verdana" w:hAnsi="Verdana"/>
              </w:rPr>
              <w:t>The following fee</w:t>
            </w:r>
            <w:r w:rsidR="00947E04">
              <w:rPr>
                <w:rFonts w:ascii="Verdana" w:hAnsi="Verdana"/>
              </w:rPr>
              <w:t xml:space="preserve"> proposals</w:t>
            </w:r>
            <w:r w:rsidRPr="00E16B63">
              <w:rPr>
                <w:rFonts w:ascii="Verdana" w:hAnsi="Verdana"/>
              </w:rPr>
              <w:t xml:space="preserve"> for the year ending 31 July 2021 w</w:t>
            </w:r>
            <w:r w:rsidR="00947E04">
              <w:rPr>
                <w:rFonts w:ascii="Verdana" w:hAnsi="Verdana"/>
              </w:rPr>
              <w:t>ere</w:t>
            </w:r>
            <w:r w:rsidRPr="00E16B63">
              <w:rPr>
                <w:rFonts w:ascii="Verdana" w:hAnsi="Verdana"/>
              </w:rPr>
              <w:t xml:space="preserve"> noted: </w:t>
            </w:r>
          </w:p>
          <w:p w14:paraId="34C7BCFC" w14:textId="77777777" w:rsidR="009203C0" w:rsidRPr="00E16B63" w:rsidRDefault="009203C0" w:rsidP="009203C0">
            <w:pPr>
              <w:pStyle w:val="NoSpacing"/>
              <w:rPr>
                <w:rFonts w:ascii="Verdana" w:hAnsi="Verdana"/>
              </w:rPr>
            </w:pPr>
          </w:p>
          <w:p w14:paraId="79B0BE25" w14:textId="7D4F2D65" w:rsidR="00E16B63" w:rsidRPr="00E16B63" w:rsidRDefault="009203C0" w:rsidP="009203C0">
            <w:pPr>
              <w:pStyle w:val="NoSpacing"/>
              <w:rPr>
                <w:rFonts w:ascii="Verdana" w:hAnsi="Verdana"/>
                <w:i/>
                <w:iCs/>
              </w:rPr>
            </w:pPr>
            <w:r w:rsidRPr="00E16B63">
              <w:rPr>
                <w:rFonts w:ascii="Verdana" w:hAnsi="Verdana"/>
                <w:i/>
                <w:iCs/>
              </w:rPr>
              <w:t>an audit fee of £16,000 (2020:</w:t>
            </w:r>
            <w:r w:rsidR="00E16B63" w:rsidRPr="00E16B63">
              <w:rPr>
                <w:rFonts w:ascii="Verdana" w:hAnsi="Verdana"/>
                <w:i/>
                <w:iCs/>
              </w:rPr>
              <w:t xml:space="preserve"> </w:t>
            </w:r>
            <w:r w:rsidRPr="00E16B63">
              <w:rPr>
                <w:rFonts w:ascii="Verdana" w:hAnsi="Verdana"/>
                <w:i/>
                <w:iCs/>
              </w:rPr>
              <w:t>£15,900)</w:t>
            </w:r>
            <w:r w:rsidR="00E16B63" w:rsidRPr="00E16B63">
              <w:rPr>
                <w:rFonts w:ascii="Verdana" w:hAnsi="Verdana"/>
                <w:i/>
                <w:iCs/>
              </w:rPr>
              <w:t>;</w:t>
            </w:r>
          </w:p>
          <w:p w14:paraId="7AEE3FED" w14:textId="77777777" w:rsidR="00E16B63" w:rsidRPr="00E16B63" w:rsidRDefault="00E16B63" w:rsidP="009203C0">
            <w:pPr>
              <w:pStyle w:val="NoSpacing"/>
              <w:rPr>
                <w:rStyle w:val="markedcontent"/>
                <w:rFonts w:ascii="Verdana" w:hAnsi="Verdana" w:cs="Arial"/>
                <w:i/>
                <w:iCs/>
              </w:rPr>
            </w:pPr>
          </w:p>
          <w:p w14:paraId="4A3B2A08" w14:textId="618D7440" w:rsidR="004A7D2D" w:rsidRPr="00E16B63" w:rsidRDefault="009203C0" w:rsidP="009203C0">
            <w:pPr>
              <w:pStyle w:val="NoSpacing"/>
              <w:rPr>
                <w:rStyle w:val="markedcontent"/>
                <w:rFonts w:ascii="Verdana" w:hAnsi="Verdana" w:cs="Arial"/>
              </w:rPr>
            </w:pPr>
            <w:r w:rsidRPr="00E16B63">
              <w:rPr>
                <w:rStyle w:val="markedcontent"/>
                <w:rFonts w:ascii="Verdana" w:hAnsi="Verdana" w:cs="Arial"/>
                <w:i/>
                <w:iCs/>
              </w:rPr>
              <w:t>additional fees arising from the effect of Covid-19 on financial statements disclosures and audit efficiencies, and expect these additional procedures including second partner review £1,000 (2020:</w:t>
            </w:r>
            <w:r w:rsidR="00E16B63" w:rsidRPr="00E16B63">
              <w:rPr>
                <w:rStyle w:val="markedcontent"/>
                <w:rFonts w:ascii="Verdana" w:hAnsi="Verdana" w:cs="Arial"/>
                <w:i/>
                <w:iCs/>
              </w:rPr>
              <w:t xml:space="preserve"> </w:t>
            </w:r>
            <w:r w:rsidRPr="00E16B63">
              <w:rPr>
                <w:rStyle w:val="markedcontent"/>
                <w:rFonts w:ascii="Verdana" w:hAnsi="Verdana" w:cs="Arial"/>
                <w:i/>
                <w:iCs/>
              </w:rPr>
              <w:t>£1,000)</w:t>
            </w:r>
            <w:r w:rsidR="00E16B63" w:rsidRPr="00E16B63">
              <w:rPr>
                <w:rStyle w:val="markedcontent"/>
                <w:rFonts w:ascii="Verdana" w:hAnsi="Verdana" w:cs="Arial"/>
                <w:i/>
                <w:iCs/>
              </w:rPr>
              <w:t xml:space="preserve">; </w:t>
            </w:r>
            <w:r w:rsidR="00E16B63" w:rsidRPr="00E16B63">
              <w:rPr>
                <w:rStyle w:val="markedcontent"/>
                <w:rFonts w:ascii="Verdana" w:hAnsi="Verdana" w:cs="Arial"/>
              </w:rPr>
              <w:t>and</w:t>
            </w:r>
          </w:p>
          <w:p w14:paraId="543C47A2" w14:textId="77777777" w:rsidR="00E16B63" w:rsidRPr="00E16B63" w:rsidRDefault="00E16B63" w:rsidP="009203C0">
            <w:pPr>
              <w:pStyle w:val="NoSpacing"/>
              <w:rPr>
                <w:rStyle w:val="markedcontent"/>
                <w:rFonts w:ascii="Verdana" w:hAnsi="Verdana" w:cs="Arial"/>
                <w:i/>
                <w:iCs/>
              </w:rPr>
            </w:pPr>
          </w:p>
          <w:p w14:paraId="78061838" w14:textId="412E88B4" w:rsidR="00E16B63" w:rsidRPr="00E16B63" w:rsidRDefault="00E16B63" w:rsidP="009203C0">
            <w:pPr>
              <w:pStyle w:val="NoSpacing"/>
              <w:rPr>
                <w:rStyle w:val="markedcontent"/>
                <w:rFonts w:ascii="Verdana" w:hAnsi="Verdana" w:cs="Arial"/>
                <w:i/>
                <w:iCs/>
              </w:rPr>
            </w:pPr>
            <w:r w:rsidRPr="00E16B63">
              <w:rPr>
                <w:rStyle w:val="markedcontent"/>
                <w:rFonts w:ascii="Verdana" w:hAnsi="Verdana" w:cs="Arial"/>
                <w:i/>
                <w:iCs/>
              </w:rPr>
              <w:t>the Teachers’ Pension scheme audit fee £900 (2020: £850).</w:t>
            </w:r>
          </w:p>
          <w:p w14:paraId="3F68E4D6" w14:textId="77777777" w:rsidR="00E16B63" w:rsidRPr="00E16B63" w:rsidRDefault="00E16B63" w:rsidP="009203C0">
            <w:pPr>
              <w:pStyle w:val="NoSpacing"/>
              <w:rPr>
                <w:rStyle w:val="markedcontent"/>
                <w:rFonts w:ascii="Verdana" w:hAnsi="Verdana" w:cs="Arial"/>
              </w:rPr>
            </w:pPr>
          </w:p>
          <w:p w14:paraId="5CD2D3A5" w14:textId="68DCC04F" w:rsidR="00E16B63" w:rsidRDefault="00E16B63" w:rsidP="009203C0">
            <w:pPr>
              <w:pStyle w:val="NoSpacing"/>
              <w:rPr>
                <w:rStyle w:val="markedcontent"/>
                <w:rFonts w:ascii="Verdana" w:hAnsi="Verdana" w:cs="Arial"/>
              </w:rPr>
            </w:pPr>
            <w:r w:rsidRPr="00E16B63">
              <w:rPr>
                <w:rStyle w:val="markedcontent"/>
                <w:rFonts w:ascii="Verdana" w:hAnsi="Verdana" w:cs="Arial"/>
              </w:rPr>
              <w:t>All fees are subject to VAT at the standard rate.</w:t>
            </w:r>
          </w:p>
          <w:p w14:paraId="77CA8750" w14:textId="2FB6087E" w:rsidR="009D3E38" w:rsidRDefault="009D3E38" w:rsidP="009203C0">
            <w:pPr>
              <w:pStyle w:val="NoSpacing"/>
              <w:rPr>
                <w:rStyle w:val="markedcontent"/>
                <w:rFonts w:cs="Arial"/>
              </w:rPr>
            </w:pPr>
          </w:p>
          <w:p w14:paraId="75708A22" w14:textId="6A14F4A3" w:rsidR="009D3E38" w:rsidRDefault="009D3E38" w:rsidP="009203C0">
            <w:pPr>
              <w:pStyle w:val="NoSpacing"/>
              <w:rPr>
                <w:rStyle w:val="markedcontent"/>
                <w:rFonts w:ascii="Verdana" w:hAnsi="Verdana" w:cs="Arial"/>
              </w:rPr>
            </w:pPr>
            <w:r w:rsidRPr="009D3E38">
              <w:rPr>
                <w:rStyle w:val="markedcontent"/>
                <w:rFonts w:ascii="Verdana" w:hAnsi="Verdana" w:cs="Arial"/>
              </w:rPr>
              <w:t xml:space="preserve">Some errata were identified </w:t>
            </w:r>
            <w:r>
              <w:rPr>
                <w:rStyle w:val="markedcontent"/>
                <w:rFonts w:ascii="Verdana" w:hAnsi="Verdana" w:cs="Arial"/>
              </w:rPr>
              <w:t>i</w:t>
            </w:r>
            <w:r w:rsidRPr="009D3E38">
              <w:rPr>
                <w:rStyle w:val="markedcontent"/>
                <w:rFonts w:ascii="Verdana" w:hAnsi="Verdana" w:cs="Arial"/>
              </w:rPr>
              <w:t>n the Plan</w:t>
            </w:r>
            <w:r w:rsidR="00D6662E">
              <w:rPr>
                <w:rStyle w:val="markedcontent"/>
                <w:rFonts w:ascii="Verdana" w:hAnsi="Verdana" w:cs="Arial"/>
              </w:rPr>
              <w:t>’</w:t>
            </w:r>
            <w:r w:rsidR="00D6662E">
              <w:rPr>
                <w:rStyle w:val="markedcontent"/>
                <w:rFonts w:cs="Arial"/>
              </w:rPr>
              <w:t>s</w:t>
            </w:r>
            <w:r w:rsidRPr="009D3E38">
              <w:rPr>
                <w:rStyle w:val="markedcontent"/>
                <w:rFonts w:ascii="Verdana" w:hAnsi="Verdana" w:cs="Arial"/>
              </w:rPr>
              <w:t xml:space="preserve"> documentation, and the external audit partner undertook to amend them.</w:t>
            </w:r>
          </w:p>
          <w:p w14:paraId="1CC30B10" w14:textId="018C3644" w:rsidR="009D3E38" w:rsidRDefault="009D3E38" w:rsidP="009203C0">
            <w:pPr>
              <w:pStyle w:val="NoSpacing"/>
              <w:rPr>
                <w:rStyle w:val="markedcontent"/>
                <w:rFonts w:ascii="Verdana" w:hAnsi="Verdana" w:cs="Arial"/>
              </w:rPr>
            </w:pPr>
          </w:p>
          <w:p w14:paraId="7B0A6CD2" w14:textId="4B42F9F2" w:rsidR="009D3E38" w:rsidRPr="00595D4C" w:rsidRDefault="009D3E38" w:rsidP="009203C0">
            <w:pPr>
              <w:pStyle w:val="NoSpacing"/>
              <w:rPr>
                <w:rStyle w:val="markedcontent"/>
                <w:rFonts w:ascii="Verdana" w:hAnsi="Verdana" w:cs="Arial"/>
              </w:rPr>
            </w:pPr>
            <w:r w:rsidRPr="00595D4C">
              <w:rPr>
                <w:rStyle w:val="markedcontent"/>
                <w:rFonts w:ascii="Verdana" w:hAnsi="Verdana" w:cs="Arial"/>
              </w:rPr>
              <w:t xml:space="preserve">It was explained that risks had been derived from the consideration of three sources: </w:t>
            </w:r>
            <w:proofErr w:type="gramStart"/>
            <w:r w:rsidRPr="00595D4C">
              <w:rPr>
                <w:rStyle w:val="markedcontent"/>
                <w:rFonts w:ascii="Verdana" w:hAnsi="Verdana" w:cs="Arial"/>
              </w:rPr>
              <w:t>the</w:t>
            </w:r>
            <w:proofErr w:type="gramEnd"/>
            <w:r w:rsidRPr="00595D4C">
              <w:rPr>
                <w:rStyle w:val="markedcontent"/>
                <w:rFonts w:ascii="Verdana" w:hAnsi="Verdana" w:cs="Arial"/>
              </w:rPr>
              <w:t xml:space="preserve"> College’s circumstances reflected in its risk register, external regulation (</w:t>
            </w:r>
            <w:r w:rsidR="00595D4C" w:rsidRPr="00595D4C">
              <w:rPr>
                <w:rStyle w:val="markedcontent"/>
                <w:rFonts w:ascii="Verdana" w:hAnsi="Verdana" w:cs="Arial"/>
              </w:rPr>
              <w:t xml:space="preserve">principally, </w:t>
            </w:r>
            <w:r w:rsidRPr="00595D4C">
              <w:rPr>
                <w:rStyle w:val="markedcontent"/>
                <w:rFonts w:ascii="Verdana" w:hAnsi="Verdana" w:cs="Arial"/>
              </w:rPr>
              <w:t>the Approved Code of Practice), and the auditors themselves.</w:t>
            </w:r>
          </w:p>
          <w:p w14:paraId="5BF358CD" w14:textId="21A2873E" w:rsidR="009D3E38" w:rsidRDefault="009D3E38" w:rsidP="009203C0">
            <w:pPr>
              <w:pStyle w:val="NoSpacing"/>
              <w:rPr>
                <w:rStyle w:val="markedcontent"/>
                <w:rFonts w:ascii="Verdana" w:hAnsi="Verdana" w:cs="Arial"/>
              </w:rPr>
            </w:pPr>
          </w:p>
          <w:p w14:paraId="732B1609" w14:textId="54B77190" w:rsidR="009D3E38" w:rsidRDefault="009D3E38" w:rsidP="009203C0">
            <w:pPr>
              <w:pStyle w:val="NoSpacing"/>
              <w:rPr>
                <w:rStyle w:val="markedcontent"/>
                <w:rFonts w:ascii="Verdana" w:hAnsi="Verdana" w:cs="Arial"/>
              </w:rPr>
            </w:pPr>
            <w:r>
              <w:rPr>
                <w:rStyle w:val="markedcontent"/>
                <w:rFonts w:ascii="Verdana" w:hAnsi="Verdana" w:cs="Arial"/>
              </w:rPr>
              <w:t xml:space="preserve">The accounting treatment of funding income and of donated assets, as well as issues attending the unusual item of expenditure on the student access system and CCTV are examples of risks arising from the College’s circumstances in 2020-21. </w:t>
            </w:r>
          </w:p>
          <w:p w14:paraId="1C8C93A8" w14:textId="58094E8D" w:rsidR="009D3E38" w:rsidRDefault="009D3E38" w:rsidP="009203C0">
            <w:pPr>
              <w:pStyle w:val="NoSpacing"/>
              <w:rPr>
                <w:rStyle w:val="markedcontent"/>
                <w:rFonts w:ascii="Verdana" w:hAnsi="Verdana" w:cs="Arial"/>
              </w:rPr>
            </w:pPr>
          </w:p>
          <w:p w14:paraId="78174BBD" w14:textId="166C2731" w:rsidR="009D3E38" w:rsidRDefault="009D3E38" w:rsidP="009203C0">
            <w:pPr>
              <w:pStyle w:val="NoSpacing"/>
              <w:rPr>
                <w:rStyle w:val="markedcontent"/>
                <w:rFonts w:ascii="Verdana" w:hAnsi="Verdana" w:cs="Arial"/>
              </w:rPr>
            </w:pPr>
            <w:r>
              <w:rPr>
                <w:rStyle w:val="markedcontent"/>
                <w:rFonts w:ascii="Verdana" w:hAnsi="Verdana" w:cs="Arial"/>
              </w:rPr>
              <w:t>In response to a question from Adenike Betiku, it was reported that the materiality threshold, being within the range</w:t>
            </w:r>
            <w:r w:rsidR="00F70205">
              <w:rPr>
                <w:rStyle w:val="markedcontent"/>
                <w:rFonts w:ascii="Verdana" w:hAnsi="Verdana" w:cs="Arial"/>
              </w:rPr>
              <w:t xml:space="preserve"> of</w:t>
            </w:r>
            <w:r>
              <w:rPr>
                <w:rStyle w:val="markedcontent"/>
                <w:rFonts w:ascii="Verdana" w:hAnsi="Verdana" w:cs="Arial"/>
              </w:rPr>
              <w:t xml:space="preserve"> 1-2%</w:t>
            </w:r>
            <w:r w:rsidR="00F70205">
              <w:rPr>
                <w:rStyle w:val="markedcontent"/>
                <w:rFonts w:ascii="Verdana" w:hAnsi="Verdana" w:cs="Arial"/>
              </w:rPr>
              <w:t xml:space="preserve"> of income, will be between £114,000 and £228,000 in the current year.</w:t>
            </w:r>
          </w:p>
          <w:p w14:paraId="4E2830E2" w14:textId="76E81CC6" w:rsidR="00F70205" w:rsidRDefault="00F70205" w:rsidP="009203C0">
            <w:pPr>
              <w:pStyle w:val="NoSpacing"/>
              <w:rPr>
                <w:rStyle w:val="markedcontent"/>
                <w:rFonts w:ascii="Verdana" w:hAnsi="Verdana" w:cs="Arial"/>
              </w:rPr>
            </w:pPr>
          </w:p>
          <w:p w14:paraId="41A4CD7E" w14:textId="7A717170" w:rsidR="00F70205" w:rsidRPr="009D3E38" w:rsidRDefault="00F70205" w:rsidP="009203C0">
            <w:pPr>
              <w:pStyle w:val="NoSpacing"/>
              <w:rPr>
                <w:rStyle w:val="markedcontent"/>
                <w:rFonts w:ascii="Verdana" w:hAnsi="Verdana" w:cs="Arial"/>
              </w:rPr>
            </w:pPr>
            <w:r>
              <w:rPr>
                <w:rStyle w:val="markedcontent"/>
                <w:rFonts w:ascii="Verdana" w:hAnsi="Verdana" w:cs="Arial"/>
              </w:rPr>
              <w:t>It was noted that the review of Key Financials would examine the potential for management overrides.</w:t>
            </w:r>
          </w:p>
          <w:p w14:paraId="04B1C5A1" w14:textId="77777777" w:rsidR="00E16B63" w:rsidRPr="00E16B63" w:rsidRDefault="00E16B63" w:rsidP="009203C0">
            <w:pPr>
              <w:pStyle w:val="NoSpacing"/>
              <w:rPr>
                <w:rStyle w:val="markedcontent"/>
                <w:rFonts w:ascii="Verdana" w:hAnsi="Verdana" w:cs="Arial"/>
              </w:rPr>
            </w:pPr>
          </w:p>
          <w:p w14:paraId="2C92C114" w14:textId="4B5F7042" w:rsidR="00E16B63" w:rsidRPr="00947E04" w:rsidRDefault="00E16B63" w:rsidP="009203C0">
            <w:pPr>
              <w:pStyle w:val="NoSpacing"/>
              <w:rPr>
                <w:rStyle w:val="markedcontent"/>
                <w:rFonts w:ascii="Verdana" w:hAnsi="Verdana" w:cs="Arial"/>
              </w:rPr>
            </w:pPr>
            <w:r w:rsidRPr="00947E04">
              <w:rPr>
                <w:rStyle w:val="markedcontent"/>
                <w:rFonts w:ascii="Verdana" w:hAnsi="Verdana" w:cs="Arial"/>
              </w:rPr>
              <w:t>The Plan</w:t>
            </w:r>
            <w:r w:rsidR="00947E04">
              <w:rPr>
                <w:rStyle w:val="markedcontent"/>
                <w:rFonts w:ascii="Verdana" w:hAnsi="Verdana" w:cs="Arial"/>
              </w:rPr>
              <w:t>,</w:t>
            </w:r>
            <w:r w:rsidR="00947E04" w:rsidRPr="00947E04">
              <w:rPr>
                <w:rStyle w:val="markedcontent"/>
                <w:rFonts w:ascii="Verdana" w:hAnsi="Verdana" w:cs="Arial"/>
              </w:rPr>
              <w:t xml:space="preserve"> and the associated fees</w:t>
            </w:r>
            <w:r w:rsidR="00947E04">
              <w:rPr>
                <w:rStyle w:val="markedcontent"/>
                <w:rFonts w:ascii="Verdana" w:hAnsi="Verdana" w:cs="Arial"/>
              </w:rPr>
              <w:t>,</w:t>
            </w:r>
            <w:r w:rsidRPr="00947E04">
              <w:rPr>
                <w:rStyle w:val="markedcontent"/>
                <w:rFonts w:ascii="Verdana" w:hAnsi="Verdana" w:cs="Arial"/>
              </w:rPr>
              <w:t xml:space="preserve"> w</w:t>
            </w:r>
            <w:r w:rsidR="00947E04" w:rsidRPr="00947E04">
              <w:rPr>
                <w:rStyle w:val="markedcontent"/>
                <w:rFonts w:ascii="Verdana" w:hAnsi="Verdana" w:cs="Arial"/>
              </w:rPr>
              <w:t>ere</w:t>
            </w:r>
            <w:r w:rsidRPr="00947E04">
              <w:rPr>
                <w:rStyle w:val="markedcontent"/>
                <w:rFonts w:ascii="Verdana" w:hAnsi="Verdana" w:cs="Arial"/>
              </w:rPr>
              <w:t xml:space="preserve"> approved on behalf of the Corporation.</w:t>
            </w:r>
          </w:p>
          <w:p w14:paraId="27A8EF2E" w14:textId="5662B9FD" w:rsidR="00E13C30" w:rsidRPr="00E16B63" w:rsidRDefault="00E13C30" w:rsidP="009203C0">
            <w:pPr>
              <w:pStyle w:val="NoSpacing"/>
              <w:rPr>
                <w:rFonts w:ascii="Verdana" w:hAnsi="Verdana"/>
                <w:b/>
                <w:bCs/>
              </w:rPr>
            </w:pPr>
          </w:p>
        </w:tc>
      </w:tr>
      <w:tr w:rsidR="00E16B63" w:rsidRPr="00E16B63" w14:paraId="492B886C" w14:textId="77777777" w:rsidTr="00970693">
        <w:tc>
          <w:tcPr>
            <w:tcW w:w="529" w:type="dxa"/>
          </w:tcPr>
          <w:p w14:paraId="4655E5B0" w14:textId="52B2D5A2" w:rsidR="00E16B63" w:rsidRPr="00E16B63" w:rsidRDefault="00E16B63" w:rsidP="002D2153">
            <w:pPr>
              <w:pStyle w:val="NoSpacing"/>
              <w:rPr>
                <w:rFonts w:ascii="Verdana" w:hAnsi="Verdana"/>
                <w:b/>
              </w:rPr>
            </w:pPr>
            <w:r>
              <w:rPr>
                <w:rFonts w:ascii="Verdana" w:hAnsi="Verdana"/>
                <w:b/>
              </w:rPr>
              <w:lastRenderedPageBreak/>
              <w:t>11</w:t>
            </w:r>
          </w:p>
        </w:tc>
        <w:tc>
          <w:tcPr>
            <w:tcW w:w="8487" w:type="dxa"/>
          </w:tcPr>
          <w:p w14:paraId="6E28E2BE" w14:textId="77777777" w:rsidR="00E16B63" w:rsidRDefault="00E16B63" w:rsidP="00E16B63">
            <w:pPr>
              <w:pStyle w:val="NoSpacing"/>
              <w:rPr>
                <w:rFonts w:ascii="Verdana" w:hAnsi="Verdana"/>
                <w:b/>
                <w:bCs/>
              </w:rPr>
            </w:pPr>
            <w:r>
              <w:rPr>
                <w:rFonts w:ascii="Verdana" w:hAnsi="Verdana"/>
                <w:b/>
                <w:bCs/>
              </w:rPr>
              <w:t>External Audit Re-Tendering Policy</w:t>
            </w:r>
          </w:p>
          <w:p w14:paraId="3649CA3C" w14:textId="77777777" w:rsidR="00E16B63" w:rsidRDefault="00E16B63" w:rsidP="004A7D2D">
            <w:pPr>
              <w:pStyle w:val="NoSpacing"/>
              <w:rPr>
                <w:rFonts w:ascii="Verdana" w:hAnsi="Verdana"/>
                <w:b/>
                <w:bCs/>
              </w:rPr>
            </w:pPr>
          </w:p>
          <w:p w14:paraId="516938BE" w14:textId="334C11DD" w:rsidR="00E16B63" w:rsidRDefault="00E16B63" w:rsidP="004A7D2D">
            <w:pPr>
              <w:pStyle w:val="NoSpacing"/>
              <w:rPr>
                <w:rFonts w:ascii="Verdana" w:hAnsi="Verdana"/>
              </w:rPr>
            </w:pPr>
            <w:r>
              <w:rPr>
                <w:rFonts w:ascii="Verdana" w:hAnsi="Verdana"/>
              </w:rPr>
              <w:t>A draft policy</w:t>
            </w:r>
            <w:r w:rsidR="00E13C30">
              <w:rPr>
                <w:rFonts w:ascii="Verdana" w:hAnsi="Verdana"/>
              </w:rPr>
              <w:t>,</w:t>
            </w:r>
            <w:r>
              <w:rPr>
                <w:rFonts w:ascii="Verdana" w:hAnsi="Verdana"/>
              </w:rPr>
              <w:t xml:space="preserve"> </w:t>
            </w:r>
            <w:r w:rsidR="00E13C30">
              <w:rPr>
                <w:rFonts w:ascii="Verdana" w:hAnsi="Verdana"/>
              </w:rPr>
              <w:t xml:space="preserve">to be </w:t>
            </w:r>
            <w:r>
              <w:rPr>
                <w:rFonts w:ascii="Verdana" w:hAnsi="Verdana"/>
              </w:rPr>
              <w:t>prepared by the Senior Director of Finance and Resources</w:t>
            </w:r>
            <w:r w:rsidR="00E13C30">
              <w:rPr>
                <w:rFonts w:ascii="Verdana" w:hAnsi="Verdana"/>
              </w:rPr>
              <w:t>,</w:t>
            </w:r>
            <w:r>
              <w:rPr>
                <w:rFonts w:ascii="Verdana" w:hAnsi="Verdana"/>
              </w:rPr>
              <w:t xml:space="preserve"> </w:t>
            </w:r>
            <w:r w:rsidR="00E13C30">
              <w:rPr>
                <w:rFonts w:ascii="Verdana" w:hAnsi="Verdana"/>
              </w:rPr>
              <w:t>will be</w:t>
            </w:r>
            <w:r>
              <w:rPr>
                <w:rFonts w:ascii="Verdana" w:hAnsi="Verdana"/>
              </w:rPr>
              <w:t xml:space="preserve"> received and</w:t>
            </w:r>
            <w:r w:rsidR="00E13C30">
              <w:rPr>
                <w:rFonts w:ascii="Verdana" w:hAnsi="Verdana"/>
              </w:rPr>
              <w:t>, if thought fit,</w:t>
            </w:r>
            <w:r>
              <w:rPr>
                <w:rFonts w:ascii="Verdana" w:hAnsi="Verdana"/>
              </w:rPr>
              <w:t xml:space="preserve"> approved on behalf of the Corporation</w:t>
            </w:r>
            <w:r w:rsidR="00E13C30">
              <w:rPr>
                <w:rFonts w:ascii="Verdana" w:hAnsi="Verdana"/>
              </w:rPr>
              <w:t xml:space="preserve"> at the meeting of the Committee in the Autumn Term 2021-22</w:t>
            </w:r>
            <w:r>
              <w:rPr>
                <w:rFonts w:ascii="Verdana" w:hAnsi="Verdana"/>
              </w:rPr>
              <w:t>.</w:t>
            </w:r>
          </w:p>
          <w:p w14:paraId="415F60F5" w14:textId="77777777" w:rsidR="00E16B63" w:rsidRDefault="00E16B63" w:rsidP="004A7D2D">
            <w:pPr>
              <w:pStyle w:val="NoSpacing"/>
              <w:rPr>
                <w:rFonts w:ascii="Verdana" w:hAnsi="Verdana"/>
              </w:rPr>
            </w:pPr>
          </w:p>
          <w:p w14:paraId="34D82593" w14:textId="4E0E756C" w:rsidR="00E16B63" w:rsidRDefault="00E16B63" w:rsidP="004A7D2D">
            <w:pPr>
              <w:pStyle w:val="NoSpacing"/>
              <w:rPr>
                <w:rFonts w:ascii="Verdana" w:hAnsi="Verdana"/>
              </w:rPr>
            </w:pPr>
            <w:r>
              <w:rPr>
                <w:rFonts w:ascii="Verdana" w:hAnsi="Verdana"/>
              </w:rPr>
              <w:t xml:space="preserve">It was noted that under the terms of the policy a re-tender of the external audit contract </w:t>
            </w:r>
            <w:r w:rsidR="00947E04">
              <w:rPr>
                <w:rFonts w:ascii="Verdana" w:hAnsi="Verdana"/>
              </w:rPr>
              <w:t>will take place</w:t>
            </w:r>
            <w:r>
              <w:rPr>
                <w:rFonts w:ascii="Verdana" w:hAnsi="Verdana"/>
              </w:rPr>
              <w:t xml:space="preserve"> in the first half of 2021-22.</w:t>
            </w:r>
            <w:r w:rsidR="00E13C30">
              <w:rPr>
                <w:rFonts w:ascii="Verdana" w:hAnsi="Verdana"/>
              </w:rPr>
              <w:t xml:space="preserve">  It was agreed that tenders should be obtained by the end of the Autumn Term 2021-22 with a view to the appointment being made at the March 2022 meeting of the Committee.</w:t>
            </w:r>
          </w:p>
          <w:p w14:paraId="6859695A" w14:textId="03176DB3" w:rsidR="00E16B63" w:rsidRPr="00E16B63" w:rsidRDefault="00E16B63" w:rsidP="004A7D2D">
            <w:pPr>
              <w:pStyle w:val="NoSpacing"/>
              <w:rPr>
                <w:rFonts w:ascii="Verdana" w:hAnsi="Verdana"/>
              </w:rPr>
            </w:pPr>
          </w:p>
        </w:tc>
      </w:tr>
      <w:tr w:rsidR="00E16B63" w:rsidRPr="00E16B63" w14:paraId="0821351B" w14:textId="77777777" w:rsidTr="00970693">
        <w:tc>
          <w:tcPr>
            <w:tcW w:w="529" w:type="dxa"/>
          </w:tcPr>
          <w:p w14:paraId="48ED79D7" w14:textId="5D7B8509" w:rsidR="00E16B63" w:rsidRDefault="00E16B63" w:rsidP="002D2153">
            <w:pPr>
              <w:pStyle w:val="NoSpacing"/>
              <w:rPr>
                <w:rFonts w:ascii="Verdana" w:hAnsi="Verdana"/>
                <w:b/>
              </w:rPr>
            </w:pPr>
            <w:r>
              <w:rPr>
                <w:rFonts w:ascii="Verdana" w:hAnsi="Verdana"/>
                <w:b/>
              </w:rPr>
              <w:t>12</w:t>
            </w:r>
          </w:p>
        </w:tc>
        <w:tc>
          <w:tcPr>
            <w:tcW w:w="8487" w:type="dxa"/>
          </w:tcPr>
          <w:p w14:paraId="4C1DA36D" w14:textId="77777777" w:rsidR="00E16B63" w:rsidRDefault="00E16B63" w:rsidP="00E16B63">
            <w:pPr>
              <w:pStyle w:val="NoSpacing"/>
              <w:rPr>
                <w:rFonts w:ascii="Verdana" w:hAnsi="Verdana"/>
                <w:b/>
                <w:bCs/>
              </w:rPr>
            </w:pPr>
            <w:r>
              <w:rPr>
                <w:rFonts w:ascii="Verdana" w:hAnsi="Verdana"/>
                <w:b/>
                <w:bCs/>
              </w:rPr>
              <w:t>UK Corporate Governance Code</w:t>
            </w:r>
          </w:p>
          <w:p w14:paraId="000B1C37" w14:textId="77777777" w:rsidR="00E16B63" w:rsidRDefault="00E16B63" w:rsidP="00E16B63">
            <w:pPr>
              <w:pStyle w:val="NoSpacing"/>
              <w:rPr>
                <w:rFonts w:ascii="Verdana" w:hAnsi="Verdana"/>
                <w:b/>
                <w:bCs/>
              </w:rPr>
            </w:pPr>
          </w:p>
          <w:p w14:paraId="1D6B24DF" w14:textId="6EC87E09" w:rsidR="00E16B63" w:rsidRDefault="00E16B63" w:rsidP="00E16B63">
            <w:pPr>
              <w:pStyle w:val="NoSpacing"/>
              <w:rPr>
                <w:rFonts w:ascii="Verdana" w:hAnsi="Verdana"/>
              </w:rPr>
            </w:pPr>
            <w:r w:rsidRPr="00E16B63">
              <w:rPr>
                <w:rFonts w:ascii="Verdana" w:hAnsi="Verdana"/>
              </w:rPr>
              <w:t>A paper</w:t>
            </w:r>
            <w:r w:rsidR="00947E04">
              <w:rPr>
                <w:rFonts w:ascii="Verdana" w:hAnsi="Verdana"/>
              </w:rPr>
              <w:t>,</w:t>
            </w:r>
            <w:r w:rsidR="00947E04" w:rsidRPr="00E16B63">
              <w:rPr>
                <w:rFonts w:ascii="Verdana" w:hAnsi="Verdana"/>
              </w:rPr>
              <w:t xml:space="preserve"> prepared by the Clerk to the Corporation in consultation with the Senior Director of Finance and Resources</w:t>
            </w:r>
            <w:r w:rsidR="00947E04">
              <w:rPr>
                <w:rFonts w:ascii="Verdana" w:hAnsi="Verdana"/>
              </w:rPr>
              <w:t>,</w:t>
            </w:r>
            <w:r>
              <w:rPr>
                <w:rFonts w:ascii="Verdana" w:hAnsi="Verdana"/>
              </w:rPr>
              <w:t xml:space="preserve"> describing how the College take</w:t>
            </w:r>
            <w:r w:rsidR="00947E04">
              <w:rPr>
                <w:rFonts w:ascii="Verdana" w:hAnsi="Verdana"/>
              </w:rPr>
              <w:t>s</w:t>
            </w:r>
            <w:r>
              <w:rPr>
                <w:rFonts w:ascii="Verdana" w:hAnsi="Verdana"/>
              </w:rPr>
              <w:t xml:space="preserve"> cognisance of the UK Corporate Governance Code (hereinafter “the Code</w:t>
            </w:r>
            <w:r w:rsidR="00947E04">
              <w:rPr>
                <w:rFonts w:ascii="Verdana" w:hAnsi="Verdana"/>
              </w:rPr>
              <w:t>)</w:t>
            </w:r>
            <w:r w:rsidRPr="00E16B63">
              <w:rPr>
                <w:rFonts w:ascii="Verdana" w:hAnsi="Verdana"/>
              </w:rPr>
              <w:t xml:space="preserve"> was received and </w:t>
            </w:r>
            <w:proofErr w:type="gramStart"/>
            <w:r w:rsidRPr="00E16B63">
              <w:rPr>
                <w:rFonts w:ascii="Verdana" w:hAnsi="Verdana"/>
              </w:rPr>
              <w:t>considered</w:t>
            </w:r>
            <w:r w:rsidR="00947E04">
              <w:rPr>
                <w:rFonts w:ascii="Verdana" w:hAnsi="Verdana"/>
              </w:rPr>
              <w:t xml:space="preserve"> </w:t>
            </w:r>
            <w:r w:rsidRPr="00E16B63">
              <w:rPr>
                <w:rFonts w:ascii="Verdana" w:hAnsi="Verdana"/>
              </w:rPr>
              <w:t>.</w:t>
            </w:r>
            <w:proofErr w:type="gramEnd"/>
          </w:p>
          <w:p w14:paraId="2F5B558F" w14:textId="5DEE0C50" w:rsidR="00E16B63" w:rsidRDefault="00E16B63" w:rsidP="00E16B63">
            <w:pPr>
              <w:pStyle w:val="NoSpacing"/>
              <w:rPr>
                <w:rFonts w:ascii="Verdana" w:hAnsi="Verdana"/>
              </w:rPr>
            </w:pPr>
          </w:p>
          <w:p w14:paraId="105B5034" w14:textId="3AAFDCB0" w:rsidR="00E16B63" w:rsidRDefault="00FC4867" w:rsidP="00E16B63">
            <w:pPr>
              <w:pStyle w:val="NoSpacing"/>
              <w:rPr>
                <w:rFonts w:ascii="Verdana" w:hAnsi="Verdana"/>
              </w:rPr>
            </w:pPr>
            <w:r>
              <w:rPr>
                <w:rFonts w:ascii="Verdana" w:hAnsi="Verdana"/>
              </w:rPr>
              <w:t>It was noted that it constitutes an update of an earlier paper, and specifically refers to changes in relation to:</w:t>
            </w:r>
          </w:p>
          <w:p w14:paraId="07B21752" w14:textId="56354DEC" w:rsidR="00FC4867" w:rsidRDefault="00FC4867" w:rsidP="00E16B63">
            <w:pPr>
              <w:pStyle w:val="NoSpacing"/>
              <w:rPr>
                <w:rFonts w:ascii="Verdana" w:hAnsi="Verdana"/>
              </w:rPr>
            </w:pPr>
          </w:p>
          <w:p w14:paraId="55FB4C39" w14:textId="0A190EC4" w:rsidR="00FC4867" w:rsidRPr="0045734E" w:rsidRDefault="00FC4867" w:rsidP="00E16B63">
            <w:pPr>
              <w:pStyle w:val="NoSpacing"/>
              <w:rPr>
                <w:rFonts w:ascii="Verdana" w:hAnsi="Verdana"/>
                <w:i/>
                <w:iCs/>
              </w:rPr>
            </w:pPr>
            <w:r w:rsidRPr="0045734E">
              <w:rPr>
                <w:rFonts w:ascii="Verdana" w:hAnsi="Verdana"/>
                <w:i/>
                <w:iCs/>
              </w:rPr>
              <w:t>application to staff of nationally agreed pay and conditions;</w:t>
            </w:r>
          </w:p>
          <w:p w14:paraId="7E582514" w14:textId="16937318" w:rsidR="00FC4867" w:rsidRPr="0045734E" w:rsidRDefault="00FC4867" w:rsidP="00E16B63">
            <w:pPr>
              <w:pStyle w:val="NoSpacing"/>
              <w:rPr>
                <w:rFonts w:ascii="Verdana" w:hAnsi="Verdana"/>
                <w:i/>
                <w:iCs/>
              </w:rPr>
            </w:pPr>
          </w:p>
          <w:p w14:paraId="78BD3053" w14:textId="77777777" w:rsidR="00FC4867" w:rsidRPr="0045734E" w:rsidRDefault="00FC4867" w:rsidP="00E16B63">
            <w:pPr>
              <w:pStyle w:val="NoSpacing"/>
              <w:rPr>
                <w:rFonts w:ascii="Verdana" w:hAnsi="Verdana"/>
                <w:i/>
                <w:iCs/>
              </w:rPr>
            </w:pPr>
            <w:r w:rsidRPr="0045734E">
              <w:rPr>
                <w:rFonts w:ascii="Verdana" w:hAnsi="Verdana"/>
                <w:i/>
                <w:iCs/>
              </w:rPr>
              <w:t>sampling and representation of the views of key stakeholders in the Annual Report, and the effect of such views on Corporation discussion and decision-making;</w:t>
            </w:r>
          </w:p>
          <w:p w14:paraId="7F18E116" w14:textId="77777777" w:rsidR="00FC4867" w:rsidRPr="0045734E" w:rsidRDefault="00FC4867" w:rsidP="00E16B63">
            <w:pPr>
              <w:pStyle w:val="NoSpacing"/>
              <w:rPr>
                <w:rFonts w:ascii="Verdana" w:hAnsi="Verdana"/>
                <w:i/>
                <w:iCs/>
              </w:rPr>
            </w:pPr>
          </w:p>
          <w:p w14:paraId="505D4E5D" w14:textId="19F89CFE" w:rsidR="00FC4867" w:rsidRPr="0045734E" w:rsidRDefault="00FC4867" w:rsidP="00E16B63">
            <w:pPr>
              <w:pStyle w:val="NoSpacing"/>
              <w:rPr>
                <w:rFonts w:ascii="Verdana" w:hAnsi="Verdana"/>
                <w:i/>
                <w:iCs/>
              </w:rPr>
            </w:pPr>
            <w:r w:rsidRPr="0045734E">
              <w:rPr>
                <w:rFonts w:ascii="Verdana" w:hAnsi="Verdana"/>
                <w:i/>
                <w:iCs/>
              </w:rPr>
              <w:t>appraisal of the performance of the Chair of the Corporation;</w:t>
            </w:r>
          </w:p>
          <w:p w14:paraId="1C9F2283" w14:textId="77777777" w:rsidR="00FC4867" w:rsidRPr="0045734E" w:rsidRDefault="00FC4867" w:rsidP="00E16B63">
            <w:pPr>
              <w:pStyle w:val="NoSpacing"/>
              <w:rPr>
                <w:rFonts w:ascii="Verdana" w:hAnsi="Verdana"/>
                <w:i/>
                <w:iCs/>
              </w:rPr>
            </w:pPr>
          </w:p>
          <w:p w14:paraId="31B318E4" w14:textId="180AFC2C" w:rsidR="00FC4867" w:rsidRPr="0045734E" w:rsidRDefault="00FC4867" w:rsidP="00E16B63">
            <w:pPr>
              <w:pStyle w:val="NoSpacing"/>
              <w:rPr>
                <w:rFonts w:ascii="Verdana" w:hAnsi="Verdana"/>
                <w:i/>
                <w:iCs/>
              </w:rPr>
            </w:pPr>
            <w:r w:rsidRPr="0045734E">
              <w:rPr>
                <w:rFonts w:ascii="Verdana" w:hAnsi="Verdana"/>
                <w:i/>
                <w:iCs/>
              </w:rPr>
              <w:t>the time commitment entailed by the roles of Chair and Vice-Chair of the Corporation;</w:t>
            </w:r>
          </w:p>
          <w:p w14:paraId="7878E52B" w14:textId="50FCA3DF" w:rsidR="00FC4867" w:rsidRPr="0045734E" w:rsidRDefault="00FC4867" w:rsidP="00E16B63">
            <w:pPr>
              <w:pStyle w:val="NoSpacing"/>
              <w:rPr>
                <w:rFonts w:ascii="Verdana" w:hAnsi="Verdana"/>
                <w:i/>
                <w:iCs/>
              </w:rPr>
            </w:pPr>
          </w:p>
          <w:p w14:paraId="07278898" w14:textId="282256C5" w:rsidR="00FC4867" w:rsidRPr="0045734E" w:rsidRDefault="00FC4867" w:rsidP="00E16B63">
            <w:pPr>
              <w:pStyle w:val="NoSpacing"/>
              <w:rPr>
                <w:rFonts w:ascii="Verdana" w:hAnsi="Verdana"/>
                <w:i/>
                <w:iCs/>
              </w:rPr>
            </w:pPr>
            <w:r w:rsidRPr="0045734E">
              <w:rPr>
                <w:rFonts w:ascii="Verdana" w:hAnsi="Verdana"/>
                <w:i/>
                <w:iCs/>
              </w:rPr>
              <w:t>the legal basis of the Clerk to the Corporation’s advisory role;</w:t>
            </w:r>
          </w:p>
          <w:p w14:paraId="48677C83" w14:textId="4520893A" w:rsidR="00FC4867" w:rsidRPr="0045734E" w:rsidRDefault="00FC4867" w:rsidP="00E16B63">
            <w:pPr>
              <w:pStyle w:val="NoSpacing"/>
              <w:rPr>
                <w:rFonts w:ascii="Verdana" w:hAnsi="Verdana"/>
                <w:i/>
                <w:iCs/>
              </w:rPr>
            </w:pPr>
          </w:p>
          <w:p w14:paraId="0C3D5588" w14:textId="6253F4D1" w:rsidR="00FC4867" w:rsidRPr="0045734E" w:rsidRDefault="00FC4867" w:rsidP="00E16B63">
            <w:pPr>
              <w:pStyle w:val="NoSpacing"/>
              <w:rPr>
                <w:rFonts w:ascii="Verdana" w:hAnsi="Verdana"/>
                <w:i/>
                <w:iCs/>
              </w:rPr>
            </w:pPr>
            <w:r w:rsidRPr="0045734E">
              <w:rPr>
                <w:rFonts w:ascii="Verdana" w:hAnsi="Verdana"/>
                <w:i/>
                <w:iCs/>
              </w:rPr>
              <w:t>the role of the Governance &amp; Nominations Committee in reviewing governor recruitment processes;</w:t>
            </w:r>
          </w:p>
          <w:p w14:paraId="49E3E5A5" w14:textId="46EDBE1D" w:rsidR="00FC4867" w:rsidRPr="0045734E" w:rsidRDefault="00FC4867" w:rsidP="00E16B63">
            <w:pPr>
              <w:pStyle w:val="NoSpacing"/>
              <w:rPr>
                <w:rFonts w:ascii="Verdana" w:hAnsi="Verdana"/>
                <w:i/>
                <w:iCs/>
              </w:rPr>
            </w:pPr>
          </w:p>
          <w:p w14:paraId="29A329D7" w14:textId="7BD95A04" w:rsidR="00FC4867" w:rsidRPr="0045734E" w:rsidRDefault="00FC4867" w:rsidP="00E16B63">
            <w:pPr>
              <w:pStyle w:val="NoSpacing"/>
              <w:rPr>
                <w:rFonts w:ascii="Verdana" w:hAnsi="Verdana"/>
                <w:i/>
                <w:iCs/>
              </w:rPr>
            </w:pPr>
            <w:r w:rsidRPr="0045734E">
              <w:rPr>
                <w:rFonts w:ascii="Verdana" w:hAnsi="Verdana"/>
                <w:i/>
                <w:iCs/>
              </w:rPr>
              <w:t>adopt</w:t>
            </w:r>
            <w:r w:rsidR="0045734E" w:rsidRPr="0045734E">
              <w:rPr>
                <w:rFonts w:ascii="Verdana" w:hAnsi="Verdana"/>
                <w:i/>
                <w:iCs/>
              </w:rPr>
              <w:t>ion by the Corporation of</w:t>
            </w:r>
            <w:r w:rsidRPr="0045734E">
              <w:rPr>
                <w:rFonts w:ascii="Verdana" w:hAnsi="Verdana"/>
                <w:i/>
                <w:iCs/>
              </w:rPr>
              <w:t xml:space="preserve"> a Risk Appetite Statement</w:t>
            </w:r>
            <w:r w:rsidR="00947E04">
              <w:rPr>
                <w:rFonts w:ascii="Verdana" w:hAnsi="Verdana"/>
                <w:i/>
                <w:iCs/>
              </w:rPr>
              <w:t>;</w:t>
            </w:r>
            <w:r w:rsidR="0045734E" w:rsidRPr="0045734E">
              <w:rPr>
                <w:rFonts w:ascii="Verdana" w:hAnsi="Verdana"/>
                <w:i/>
                <w:iCs/>
              </w:rPr>
              <w:t xml:space="preserve"> </w:t>
            </w:r>
          </w:p>
          <w:p w14:paraId="2DF1F995" w14:textId="37008C44" w:rsidR="0045734E" w:rsidRPr="0045734E" w:rsidRDefault="0045734E" w:rsidP="00E16B63">
            <w:pPr>
              <w:pStyle w:val="NoSpacing"/>
              <w:rPr>
                <w:rFonts w:ascii="Verdana" w:hAnsi="Verdana"/>
                <w:i/>
                <w:iCs/>
              </w:rPr>
            </w:pPr>
          </w:p>
          <w:p w14:paraId="2B11DCF4" w14:textId="6ABF88CE" w:rsidR="0045734E" w:rsidRPr="0045734E" w:rsidRDefault="0045734E" w:rsidP="00E16B63">
            <w:pPr>
              <w:pStyle w:val="NoSpacing"/>
              <w:rPr>
                <w:rFonts w:ascii="Verdana" w:hAnsi="Verdana"/>
                <w:i/>
                <w:iCs/>
              </w:rPr>
            </w:pPr>
            <w:r w:rsidRPr="0045734E">
              <w:rPr>
                <w:rFonts w:ascii="Verdana" w:hAnsi="Verdana"/>
                <w:i/>
                <w:iCs/>
              </w:rPr>
              <w:lastRenderedPageBreak/>
              <w:t>the appointment of a qualified accountant as a member of the Corporation and of the Audit Committee;</w:t>
            </w:r>
          </w:p>
          <w:p w14:paraId="405997FD" w14:textId="4828A33F" w:rsidR="0045734E" w:rsidRPr="0045734E" w:rsidRDefault="0045734E" w:rsidP="00E16B63">
            <w:pPr>
              <w:pStyle w:val="NoSpacing"/>
              <w:rPr>
                <w:rFonts w:ascii="Verdana" w:hAnsi="Verdana"/>
                <w:i/>
                <w:iCs/>
              </w:rPr>
            </w:pPr>
          </w:p>
          <w:p w14:paraId="5A0B75A9" w14:textId="4B9F141F" w:rsidR="0045734E" w:rsidRPr="0045734E" w:rsidRDefault="0045734E" w:rsidP="00E16B63">
            <w:pPr>
              <w:pStyle w:val="NoSpacing"/>
              <w:rPr>
                <w:rFonts w:ascii="Verdana" w:hAnsi="Verdana"/>
              </w:rPr>
            </w:pPr>
            <w:r w:rsidRPr="0045734E">
              <w:rPr>
                <w:rFonts w:ascii="Verdana" w:hAnsi="Verdana"/>
                <w:i/>
                <w:iCs/>
              </w:rPr>
              <w:t>disclosure of the appointment date and tenure of the external auditor, as well as any re-tendering plans, in the Annual Report, and the adoption of an External Audit Re-Tendering Policy;</w:t>
            </w:r>
            <w:r>
              <w:rPr>
                <w:rFonts w:ascii="Verdana" w:hAnsi="Verdana"/>
              </w:rPr>
              <w:t xml:space="preserve"> and</w:t>
            </w:r>
          </w:p>
          <w:p w14:paraId="1F554314" w14:textId="24FB22B2" w:rsidR="0045734E" w:rsidRPr="0045734E" w:rsidRDefault="0045734E" w:rsidP="00E16B63">
            <w:pPr>
              <w:pStyle w:val="NoSpacing"/>
              <w:rPr>
                <w:rFonts w:ascii="Verdana" w:hAnsi="Verdana"/>
                <w:i/>
                <w:iCs/>
              </w:rPr>
            </w:pPr>
          </w:p>
          <w:p w14:paraId="516EC4A1" w14:textId="455E2039" w:rsidR="0045734E" w:rsidRPr="0045734E" w:rsidRDefault="0045734E" w:rsidP="00E16B63">
            <w:pPr>
              <w:pStyle w:val="NoSpacing"/>
              <w:rPr>
                <w:rFonts w:ascii="Verdana" w:hAnsi="Verdana"/>
                <w:i/>
                <w:iCs/>
              </w:rPr>
            </w:pPr>
            <w:r w:rsidRPr="0045734E">
              <w:rPr>
                <w:rFonts w:ascii="Verdana" w:hAnsi="Verdana"/>
                <w:i/>
                <w:iCs/>
              </w:rPr>
              <w:t>adoption of a senior staff pay policy</w:t>
            </w:r>
            <w:r>
              <w:rPr>
                <w:rFonts w:ascii="Verdana" w:hAnsi="Verdana"/>
                <w:i/>
                <w:iCs/>
              </w:rPr>
              <w:t>.</w:t>
            </w:r>
          </w:p>
          <w:p w14:paraId="59680F56" w14:textId="0B41E7C7" w:rsidR="00E13C30" w:rsidRDefault="00E13C30" w:rsidP="00E13C30">
            <w:pPr>
              <w:pStyle w:val="NoSpacing"/>
              <w:rPr>
                <w:rFonts w:ascii="Verdana" w:hAnsi="Verdana"/>
                <w:b/>
                <w:bCs/>
              </w:rPr>
            </w:pPr>
          </w:p>
        </w:tc>
      </w:tr>
      <w:tr w:rsidR="0045734E" w:rsidRPr="00E16B63" w14:paraId="348976ED" w14:textId="77777777" w:rsidTr="00970693">
        <w:tc>
          <w:tcPr>
            <w:tcW w:w="529" w:type="dxa"/>
          </w:tcPr>
          <w:p w14:paraId="54DF19AC" w14:textId="703770E0" w:rsidR="0045734E" w:rsidRDefault="0045734E" w:rsidP="002D2153">
            <w:pPr>
              <w:pStyle w:val="NoSpacing"/>
              <w:rPr>
                <w:rFonts w:ascii="Verdana" w:hAnsi="Verdana"/>
                <w:b/>
              </w:rPr>
            </w:pPr>
            <w:r>
              <w:rPr>
                <w:rFonts w:ascii="Verdana" w:hAnsi="Verdana"/>
                <w:b/>
              </w:rPr>
              <w:lastRenderedPageBreak/>
              <w:t>13</w:t>
            </w:r>
          </w:p>
        </w:tc>
        <w:tc>
          <w:tcPr>
            <w:tcW w:w="8487" w:type="dxa"/>
          </w:tcPr>
          <w:p w14:paraId="58EE52C1" w14:textId="77777777" w:rsidR="0045734E" w:rsidRPr="00A1044D" w:rsidRDefault="0045734E" w:rsidP="0045734E">
            <w:pPr>
              <w:pStyle w:val="NoSpacing"/>
              <w:rPr>
                <w:rFonts w:ascii="Verdana" w:hAnsi="Verdana"/>
                <w:b/>
                <w:bCs/>
              </w:rPr>
            </w:pPr>
            <w:r w:rsidRPr="00A1044D">
              <w:rPr>
                <w:rFonts w:ascii="Verdana" w:hAnsi="Verdana"/>
                <w:b/>
                <w:bCs/>
              </w:rPr>
              <w:t>Self-Evaluation of Committee Effectiveness</w:t>
            </w:r>
          </w:p>
          <w:p w14:paraId="37AA304F" w14:textId="77777777" w:rsidR="0045734E" w:rsidRDefault="0045734E" w:rsidP="00E16B63">
            <w:pPr>
              <w:pStyle w:val="NoSpacing"/>
              <w:rPr>
                <w:rFonts w:ascii="Verdana" w:hAnsi="Verdana"/>
                <w:b/>
                <w:bCs/>
              </w:rPr>
            </w:pPr>
          </w:p>
          <w:p w14:paraId="2BE2CB9E" w14:textId="77777777" w:rsidR="0045734E" w:rsidRDefault="0045734E" w:rsidP="00E16B63">
            <w:pPr>
              <w:pStyle w:val="NoSpacing"/>
              <w:rPr>
                <w:rFonts w:ascii="Verdana" w:hAnsi="Verdana"/>
              </w:rPr>
            </w:pPr>
            <w:r w:rsidRPr="0045734E">
              <w:rPr>
                <w:rFonts w:ascii="Verdana" w:hAnsi="Verdana"/>
              </w:rPr>
              <w:t>A checklist prepared</w:t>
            </w:r>
            <w:r>
              <w:rPr>
                <w:rFonts w:ascii="Verdana" w:hAnsi="Verdana"/>
              </w:rPr>
              <w:t xml:space="preserve"> and partially completed</w:t>
            </w:r>
            <w:r w:rsidRPr="0045734E">
              <w:rPr>
                <w:rFonts w:ascii="Verdana" w:hAnsi="Verdana"/>
              </w:rPr>
              <w:t xml:space="preserve"> by the Clerk to the Corporation</w:t>
            </w:r>
            <w:r>
              <w:rPr>
                <w:rFonts w:ascii="Verdana" w:hAnsi="Verdana"/>
              </w:rPr>
              <w:t xml:space="preserve"> was received and considered.</w:t>
            </w:r>
          </w:p>
          <w:p w14:paraId="3A9DC321" w14:textId="77777777" w:rsidR="0045734E" w:rsidRDefault="0045734E" w:rsidP="00E16B63">
            <w:pPr>
              <w:pStyle w:val="NoSpacing"/>
              <w:rPr>
                <w:rFonts w:ascii="Verdana" w:hAnsi="Verdana"/>
              </w:rPr>
            </w:pPr>
          </w:p>
          <w:p w14:paraId="1AAC0D44" w14:textId="49B94DCF" w:rsidR="0045734E" w:rsidRDefault="0045734E" w:rsidP="00E16B63">
            <w:pPr>
              <w:pStyle w:val="NoSpacing"/>
              <w:rPr>
                <w:rFonts w:ascii="Verdana" w:hAnsi="Verdana"/>
              </w:rPr>
            </w:pPr>
            <w:r>
              <w:rPr>
                <w:rFonts w:ascii="Verdana" w:hAnsi="Verdana"/>
              </w:rPr>
              <w:t>Members approved all responses</w:t>
            </w:r>
            <w:r w:rsidR="00FE7E14">
              <w:rPr>
                <w:rFonts w:ascii="Verdana" w:hAnsi="Verdana"/>
              </w:rPr>
              <w:t xml:space="preserve"> which had been</w:t>
            </w:r>
            <w:r>
              <w:rPr>
                <w:rFonts w:ascii="Verdana" w:hAnsi="Verdana"/>
              </w:rPr>
              <w:t xml:space="preserve"> proposed by the Clerk.  In addition, they agreed that:</w:t>
            </w:r>
          </w:p>
          <w:p w14:paraId="208390CF" w14:textId="72571722" w:rsidR="0045734E" w:rsidRDefault="0045734E" w:rsidP="00E16B63">
            <w:pPr>
              <w:pStyle w:val="NoSpacing"/>
              <w:rPr>
                <w:rFonts w:ascii="Verdana" w:hAnsi="Verdana"/>
              </w:rPr>
            </w:pPr>
          </w:p>
          <w:p w14:paraId="7848EF55" w14:textId="2F95AE7C" w:rsidR="00FE7E14" w:rsidRPr="00FE7E14" w:rsidRDefault="00FE7E14" w:rsidP="00E16B63">
            <w:pPr>
              <w:pStyle w:val="NoSpacing"/>
              <w:rPr>
                <w:rFonts w:ascii="Verdana" w:hAnsi="Verdana"/>
                <w:i/>
                <w:iCs/>
              </w:rPr>
            </w:pPr>
            <w:r w:rsidRPr="00FE7E14">
              <w:rPr>
                <w:rFonts w:ascii="Verdana" w:hAnsi="Verdana"/>
                <w:i/>
                <w:iCs/>
              </w:rPr>
              <w:t>the Committee is appropriately supported by officers of the College;</w:t>
            </w:r>
          </w:p>
          <w:p w14:paraId="5EEC55DC" w14:textId="77777777" w:rsidR="00FE7E14" w:rsidRDefault="00FE7E14" w:rsidP="00E16B63">
            <w:pPr>
              <w:pStyle w:val="NoSpacing"/>
              <w:rPr>
                <w:rFonts w:ascii="Verdana" w:hAnsi="Verdana"/>
                <w:i/>
                <w:iCs/>
              </w:rPr>
            </w:pPr>
          </w:p>
          <w:p w14:paraId="121F6D90" w14:textId="211287B1" w:rsidR="0045734E" w:rsidRPr="003F4D9E" w:rsidRDefault="0045734E" w:rsidP="00E16B63">
            <w:pPr>
              <w:pStyle w:val="NoSpacing"/>
              <w:rPr>
                <w:rFonts w:ascii="Verdana" w:hAnsi="Verdana"/>
              </w:rPr>
            </w:pPr>
            <w:r w:rsidRPr="003F4D9E">
              <w:rPr>
                <w:rFonts w:ascii="Verdana" w:hAnsi="Verdana"/>
                <w:i/>
                <w:iCs/>
              </w:rPr>
              <w:t>the Committee reviews the adequacy of resources to address significant College risks;</w:t>
            </w:r>
            <w:r w:rsidR="003F4D9E">
              <w:rPr>
                <w:rFonts w:ascii="Verdana" w:hAnsi="Verdana"/>
              </w:rPr>
              <w:t xml:space="preserve"> and</w:t>
            </w:r>
          </w:p>
          <w:p w14:paraId="3D859379" w14:textId="48775981" w:rsidR="0045734E" w:rsidRPr="003F4D9E" w:rsidRDefault="0045734E" w:rsidP="00E16B63">
            <w:pPr>
              <w:pStyle w:val="NoSpacing"/>
              <w:rPr>
                <w:rFonts w:ascii="Verdana" w:hAnsi="Verdana"/>
                <w:i/>
                <w:iCs/>
              </w:rPr>
            </w:pPr>
          </w:p>
          <w:p w14:paraId="25B18DD2" w14:textId="2C7B875B" w:rsidR="0045734E" w:rsidRPr="003F4D9E" w:rsidRDefault="0045734E" w:rsidP="00E16B63">
            <w:pPr>
              <w:pStyle w:val="NoSpacing"/>
              <w:rPr>
                <w:rFonts w:ascii="Verdana" w:hAnsi="Verdana"/>
                <w:i/>
                <w:iCs/>
              </w:rPr>
            </w:pPr>
            <w:r w:rsidRPr="003F4D9E">
              <w:rPr>
                <w:rFonts w:ascii="Verdana" w:hAnsi="Verdana"/>
                <w:i/>
                <w:iCs/>
              </w:rPr>
              <w:t>the Chair of the Committee has open communication with the Chair of the Corporation, and the external and internal audit lead partners</w:t>
            </w:r>
            <w:r w:rsidR="003F4D9E">
              <w:rPr>
                <w:rFonts w:ascii="Verdana" w:hAnsi="Verdana"/>
                <w:i/>
                <w:iCs/>
              </w:rPr>
              <w:t>.</w:t>
            </w:r>
          </w:p>
          <w:p w14:paraId="61BDC134" w14:textId="217D6BAE" w:rsidR="0045734E" w:rsidRDefault="0045734E" w:rsidP="00E16B63">
            <w:pPr>
              <w:pStyle w:val="NoSpacing"/>
              <w:rPr>
                <w:rFonts w:ascii="Verdana" w:hAnsi="Verdana"/>
              </w:rPr>
            </w:pPr>
          </w:p>
          <w:p w14:paraId="5F063DE8" w14:textId="19C5B9EE" w:rsidR="003F4D9E" w:rsidRDefault="003F4D9E" w:rsidP="003F4D9E">
            <w:pPr>
              <w:pStyle w:val="NoSpacing"/>
              <w:rPr>
                <w:rFonts w:ascii="Verdana" w:hAnsi="Verdana"/>
              </w:rPr>
            </w:pPr>
            <w:r>
              <w:rPr>
                <w:rFonts w:ascii="Verdana" w:hAnsi="Verdana"/>
              </w:rPr>
              <w:t xml:space="preserve">In response to the question as to whether the Committee is able to give examples of how the interests of students have been advanced as a result of its deliberations and actions, the following were </w:t>
            </w:r>
            <w:r w:rsidR="00947E04">
              <w:rPr>
                <w:rFonts w:ascii="Verdana" w:hAnsi="Verdana"/>
              </w:rPr>
              <w:t>offer</w:t>
            </w:r>
            <w:r>
              <w:rPr>
                <w:rFonts w:ascii="Verdana" w:hAnsi="Verdana"/>
              </w:rPr>
              <w:t>ed:</w:t>
            </w:r>
          </w:p>
          <w:p w14:paraId="48D1AA23" w14:textId="77777777" w:rsidR="003F4D9E" w:rsidRDefault="003F4D9E" w:rsidP="003F4D9E">
            <w:pPr>
              <w:pStyle w:val="NoSpacing"/>
              <w:rPr>
                <w:rFonts w:ascii="Verdana" w:hAnsi="Verdana"/>
              </w:rPr>
            </w:pPr>
          </w:p>
          <w:p w14:paraId="5E7AF6D5" w14:textId="2A66F9CC" w:rsidR="003F4D9E" w:rsidRPr="00E13C30" w:rsidRDefault="00E13C30" w:rsidP="003F4D9E">
            <w:pPr>
              <w:pStyle w:val="NoSpacing"/>
              <w:rPr>
                <w:rFonts w:ascii="Verdana" w:hAnsi="Verdana"/>
                <w:i/>
                <w:iCs/>
              </w:rPr>
            </w:pPr>
            <w:r w:rsidRPr="00E13C30">
              <w:rPr>
                <w:rFonts w:ascii="Verdana" w:hAnsi="Verdana"/>
                <w:i/>
                <w:iCs/>
              </w:rPr>
              <w:t>the Committee’s decision to focus</w:t>
            </w:r>
            <w:r w:rsidR="00FE7E14">
              <w:rPr>
                <w:rFonts w:ascii="Verdana" w:hAnsi="Verdana"/>
                <w:i/>
                <w:iCs/>
              </w:rPr>
              <w:t xml:space="preserve"> its</w:t>
            </w:r>
            <w:r w:rsidRPr="00E13C30">
              <w:rPr>
                <w:rFonts w:ascii="Verdana" w:hAnsi="Verdana"/>
                <w:i/>
                <w:iCs/>
              </w:rPr>
              <w:t xml:space="preserve"> attention on College management of the public health emergency, and </w:t>
            </w:r>
            <w:r w:rsidR="00FE7E14">
              <w:rPr>
                <w:rFonts w:ascii="Verdana" w:hAnsi="Verdana"/>
                <w:i/>
                <w:iCs/>
              </w:rPr>
              <w:t xml:space="preserve">student </w:t>
            </w:r>
            <w:r w:rsidRPr="00E13C30">
              <w:rPr>
                <w:rFonts w:ascii="Verdana" w:hAnsi="Verdana"/>
                <w:i/>
                <w:iCs/>
              </w:rPr>
              <w:t xml:space="preserve">enrolments; </w:t>
            </w:r>
            <w:r w:rsidRPr="00E13C30">
              <w:rPr>
                <w:rFonts w:ascii="Verdana" w:hAnsi="Verdana"/>
              </w:rPr>
              <w:t>and</w:t>
            </w:r>
          </w:p>
          <w:p w14:paraId="3179D2EF" w14:textId="299DD994" w:rsidR="00E13C30" w:rsidRPr="00E13C30" w:rsidRDefault="00E13C30" w:rsidP="003F4D9E">
            <w:pPr>
              <w:pStyle w:val="NoSpacing"/>
              <w:rPr>
                <w:rFonts w:ascii="Verdana" w:hAnsi="Verdana"/>
                <w:i/>
                <w:iCs/>
              </w:rPr>
            </w:pPr>
          </w:p>
          <w:p w14:paraId="27B0CE2F" w14:textId="6B024F31" w:rsidR="00E13C30" w:rsidRPr="00E13C30" w:rsidRDefault="00E13C30" w:rsidP="003F4D9E">
            <w:pPr>
              <w:pStyle w:val="NoSpacing"/>
              <w:rPr>
                <w:rFonts w:ascii="Verdana" w:hAnsi="Verdana"/>
                <w:i/>
                <w:iCs/>
              </w:rPr>
            </w:pPr>
            <w:r w:rsidRPr="00E13C30">
              <w:rPr>
                <w:rFonts w:ascii="Verdana" w:hAnsi="Verdana"/>
                <w:i/>
                <w:iCs/>
              </w:rPr>
              <w:t>raising the risk attending the introduction of T levels</w:t>
            </w:r>
            <w:r w:rsidR="00FE7E14">
              <w:rPr>
                <w:rFonts w:ascii="Verdana" w:hAnsi="Verdana"/>
                <w:i/>
                <w:iCs/>
              </w:rPr>
              <w:t xml:space="preserve"> to</w:t>
            </w:r>
            <w:r w:rsidRPr="00E13C30">
              <w:rPr>
                <w:rFonts w:ascii="Verdana" w:hAnsi="Verdana"/>
                <w:i/>
                <w:iCs/>
              </w:rPr>
              <w:t xml:space="preserve"> that of a Board Level Risk.</w:t>
            </w:r>
          </w:p>
          <w:p w14:paraId="525217E3" w14:textId="77777777" w:rsidR="003F4D9E" w:rsidRDefault="003F4D9E" w:rsidP="003F4D9E">
            <w:pPr>
              <w:pStyle w:val="NoSpacing"/>
              <w:rPr>
                <w:rFonts w:ascii="Verdana" w:hAnsi="Verdana"/>
              </w:rPr>
            </w:pPr>
          </w:p>
          <w:p w14:paraId="7D4F063D" w14:textId="6DDEBD0F" w:rsidR="003F4D9E" w:rsidRDefault="003F4D9E" w:rsidP="003F4D9E">
            <w:pPr>
              <w:pStyle w:val="NoSpacing"/>
              <w:rPr>
                <w:rFonts w:ascii="Verdana" w:hAnsi="Verdana"/>
              </w:rPr>
            </w:pPr>
            <w:r>
              <w:rPr>
                <w:rFonts w:ascii="Verdana" w:hAnsi="Verdana"/>
              </w:rPr>
              <w:t xml:space="preserve">Members noted the need for a formalised induction process for new members of the Audit Committee.  The Clerk to the Corporation </w:t>
            </w:r>
            <w:r w:rsidR="00E13C30">
              <w:rPr>
                <w:rFonts w:ascii="Verdana" w:hAnsi="Verdana"/>
              </w:rPr>
              <w:t>has proposals for</w:t>
            </w:r>
            <w:r>
              <w:rPr>
                <w:rFonts w:ascii="Verdana" w:hAnsi="Verdana"/>
              </w:rPr>
              <w:t xml:space="preserve"> an appropriate programme, </w:t>
            </w:r>
            <w:r w:rsidR="00E13C30">
              <w:rPr>
                <w:rFonts w:ascii="Verdana" w:hAnsi="Verdana"/>
              </w:rPr>
              <w:t xml:space="preserve">which would </w:t>
            </w:r>
            <w:r>
              <w:rPr>
                <w:rFonts w:ascii="Verdana" w:hAnsi="Verdana"/>
              </w:rPr>
              <w:t>draw on the assistance of College staff as required.</w:t>
            </w:r>
          </w:p>
          <w:p w14:paraId="6DDB23D8" w14:textId="77777777" w:rsidR="003F4D9E" w:rsidRDefault="003F4D9E" w:rsidP="003F4D9E">
            <w:pPr>
              <w:pStyle w:val="NoSpacing"/>
              <w:rPr>
                <w:rFonts w:ascii="Verdana" w:hAnsi="Verdana"/>
              </w:rPr>
            </w:pPr>
          </w:p>
          <w:p w14:paraId="0DE057C8" w14:textId="1C9A108E" w:rsidR="003F4D9E" w:rsidRDefault="003F4D9E" w:rsidP="003F4D9E">
            <w:pPr>
              <w:pStyle w:val="NoSpacing"/>
              <w:rPr>
                <w:rFonts w:ascii="Verdana" w:hAnsi="Verdana"/>
              </w:rPr>
            </w:pPr>
            <w:r>
              <w:rPr>
                <w:rFonts w:ascii="Verdana" w:hAnsi="Verdana"/>
              </w:rPr>
              <w:t xml:space="preserve">It was noted that the skill set of Committee members, although broadened to include a qualified accountant does not specifically include members with significant experience in other areas of College risk such as curriculum &amp; assessment (what the College does), student support (for whom it does it) and estates (where it does it).   </w:t>
            </w:r>
            <w:r w:rsidR="00A54C3C">
              <w:rPr>
                <w:rFonts w:ascii="Verdana" w:hAnsi="Verdana"/>
              </w:rPr>
              <w:t>Detailed consideration of the matter was deferred until expectations for the sector are clearer.</w:t>
            </w:r>
          </w:p>
          <w:p w14:paraId="0DE8BC38" w14:textId="5585B2AF" w:rsidR="0045734E" w:rsidRPr="0045734E" w:rsidRDefault="0045734E" w:rsidP="00E16B63">
            <w:pPr>
              <w:pStyle w:val="NoSpacing"/>
              <w:rPr>
                <w:rFonts w:ascii="Verdana" w:hAnsi="Verdana"/>
              </w:rPr>
            </w:pPr>
          </w:p>
        </w:tc>
      </w:tr>
      <w:tr w:rsidR="003F4D9E" w:rsidRPr="00E16B63" w14:paraId="633A98B7" w14:textId="77777777" w:rsidTr="00970693">
        <w:tc>
          <w:tcPr>
            <w:tcW w:w="529" w:type="dxa"/>
          </w:tcPr>
          <w:p w14:paraId="2288833F" w14:textId="5CD1F4DA" w:rsidR="003F4D9E" w:rsidRDefault="003F4D9E" w:rsidP="002D2153">
            <w:pPr>
              <w:pStyle w:val="NoSpacing"/>
              <w:rPr>
                <w:rFonts w:ascii="Verdana" w:hAnsi="Verdana"/>
                <w:b/>
              </w:rPr>
            </w:pPr>
            <w:r>
              <w:rPr>
                <w:rFonts w:ascii="Verdana" w:hAnsi="Verdana"/>
                <w:b/>
              </w:rPr>
              <w:t>14</w:t>
            </w:r>
          </w:p>
        </w:tc>
        <w:tc>
          <w:tcPr>
            <w:tcW w:w="8487" w:type="dxa"/>
          </w:tcPr>
          <w:p w14:paraId="2A71AE85" w14:textId="77777777" w:rsidR="003F4D9E" w:rsidRPr="00F54F9D" w:rsidRDefault="003F4D9E" w:rsidP="003F4D9E">
            <w:pPr>
              <w:rPr>
                <w:rFonts w:ascii="Verdana" w:hAnsi="Verdana"/>
                <w:b/>
                <w:bCs/>
              </w:rPr>
            </w:pPr>
            <w:r w:rsidRPr="00F54F9D">
              <w:rPr>
                <w:rFonts w:ascii="Verdana" w:hAnsi="Verdana"/>
                <w:b/>
                <w:bCs/>
              </w:rPr>
              <w:t>Schedule of College Policies (including review dates and person or person</w:t>
            </w:r>
            <w:r>
              <w:rPr>
                <w:rFonts w:ascii="Verdana" w:hAnsi="Verdana"/>
                <w:b/>
                <w:bCs/>
              </w:rPr>
              <w:t>s</w:t>
            </w:r>
            <w:r w:rsidRPr="00F54F9D">
              <w:rPr>
                <w:rFonts w:ascii="Verdana" w:hAnsi="Verdana"/>
                <w:b/>
                <w:bCs/>
              </w:rPr>
              <w:t xml:space="preserve"> responsible for review and approval)</w:t>
            </w:r>
          </w:p>
          <w:p w14:paraId="33C2BE83" w14:textId="77777777" w:rsidR="003F4D9E" w:rsidRPr="003F4D9E" w:rsidRDefault="003F4D9E" w:rsidP="0045734E">
            <w:pPr>
              <w:pStyle w:val="NoSpacing"/>
              <w:rPr>
                <w:rFonts w:ascii="Verdana" w:hAnsi="Verdana"/>
              </w:rPr>
            </w:pPr>
          </w:p>
          <w:p w14:paraId="1484DD55" w14:textId="77777777" w:rsidR="003F4D9E" w:rsidRDefault="003F4D9E" w:rsidP="0045734E">
            <w:pPr>
              <w:pStyle w:val="NoSpacing"/>
              <w:rPr>
                <w:rFonts w:ascii="Verdana" w:hAnsi="Verdana"/>
              </w:rPr>
            </w:pPr>
            <w:r w:rsidRPr="003F4D9E">
              <w:rPr>
                <w:rFonts w:ascii="Verdana" w:hAnsi="Verdana"/>
              </w:rPr>
              <w:t>An updated schedule was received for information.</w:t>
            </w:r>
          </w:p>
          <w:p w14:paraId="6A1FDBA8" w14:textId="44448A92" w:rsidR="003F4D9E" w:rsidRPr="00A1044D" w:rsidRDefault="003F4D9E" w:rsidP="0045734E">
            <w:pPr>
              <w:pStyle w:val="NoSpacing"/>
              <w:rPr>
                <w:rFonts w:ascii="Verdana" w:hAnsi="Verdana"/>
                <w:b/>
                <w:bCs/>
              </w:rPr>
            </w:pPr>
          </w:p>
        </w:tc>
      </w:tr>
      <w:tr w:rsidR="003F4D9E" w:rsidRPr="00E16B63" w14:paraId="7C6866E5" w14:textId="77777777" w:rsidTr="00970693">
        <w:tc>
          <w:tcPr>
            <w:tcW w:w="529" w:type="dxa"/>
          </w:tcPr>
          <w:p w14:paraId="038948AA" w14:textId="4FBD91E1" w:rsidR="003F4D9E" w:rsidRDefault="003F4D9E" w:rsidP="002D2153">
            <w:pPr>
              <w:pStyle w:val="NoSpacing"/>
              <w:rPr>
                <w:rFonts w:ascii="Verdana" w:hAnsi="Verdana"/>
                <w:b/>
              </w:rPr>
            </w:pPr>
            <w:r>
              <w:rPr>
                <w:rFonts w:ascii="Verdana" w:hAnsi="Verdana"/>
                <w:b/>
              </w:rPr>
              <w:lastRenderedPageBreak/>
              <w:t>15</w:t>
            </w:r>
          </w:p>
        </w:tc>
        <w:tc>
          <w:tcPr>
            <w:tcW w:w="8487" w:type="dxa"/>
          </w:tcPr>
          <w:p w14:paraId="2210359B" w14:textId="77777777" w:rsidR="003F4D9E" w:rsidRPr="00F54F9D" w:rsidRDefault="003F4D9E" w:rsidP="003F4D9E">
            <w:pPr>
              <w:rPr>
                <w:rFonts w:ascii="Verdana" w:hAnsi="Verdana"/>
                <w:b/>
                <w:bCs/>
              </w:rPr>
            </w:pPr>
            <w:r w:rsidRPr="00F54F9D">
              <w:rPr>
                <w:rFonts w:ascii="Verdana" w:hAnsi="Verdana"/>
                <w:b/>
                <w:bCs/>
              </w:rPr>
              <w:t>Schedule of Co</w:t>
            </w:r>
            <w:r>
              <w:rPr>
                <w:rFonts w:ascii="Verdana" w:hAnsi="Verdana"/>
                <w:b/>
                <w:bCs/>
              </w:rPr>
              <w:t>rporation</w:t>
            </w:r>
            <w:r w:rsidRPr="00F54F9D">
              <w:rPr>
                <w:rFonts w:ascii="Verdana" w:hAnsi="Verdana"/>
                <w:b/>
                <w:bCs/>
              </w:rPr>
              <w:t xml:space="preserve"> Policies (including review dates and person or person</w:t>
            </w:r>
            <w:r>
              <w:rPr>
                <w:rFonts w:ascii="Verdana" w:hAnsi="Verdana"/>
                <w:b/>
                <w:bCs/>
              </w:rPr>
              <w:t>s</w:t>
            </w:r>
            <w:r w:rsidRPr="00F54F9D">
              <w:rPr>
                <w:rFonts w:ascii="Verdana" w:hAnsi="Verdana"/>
                <w:b/>
                <w:bCs/>
              </w:rPr>
              <w:t xml:space="preserve"> responsible for review and approval)</w:t>
            </w:r>
          </w:p>
          <w:p w14:paraId="0B5DE8B8" w14:textId="77777777" w:rsidR="003F4D9E" w:rsidRDefault="003F4D9E" w:rsidP="0045734E">
            <w:pPr>
              <w:pStyle w:val="NoSpacing"/>
              <w:rPr>
                <w:rFonts w:ascii="Verdana" w:hAnsi="Verdana"/>
                <w:b/>
                <w:bCs/>
              </w:rPr>
            </w:pPr>
          </w:p>
          <w:p w14:paraId="4C978C28" w14:textId="77777777" w:rsidR="003F4D9E" w:rsidRDefault="003F4D9E" w:rsidP="003F4D9E">
            <w:pPr>
              <w:pStyle w:val="NoSpacing"/>
              <w:rPr>
                <w:rFonts w:ascii="Verdana" w:hAnsi="Verdana"/>
              </w:rPr>
            </w:pPr>
            <w:r w:rsidRPr="003F4D9E">
              <w:rPr>
                <w:rFonts w:ascii="Verdana" w:hAnsi="Verdana"/>
              </w:rPr>
              <w:t>An updated schedule was received for information.</w:t>
            </w:r>
          </w:p>
          <w:p w14:paraId="44B55AC7" w14:textId="44DDC867" w:rsidR="003F4D9E" w:rsidRPr="00A1044D" w:rsidRDefault="003F4D9E" w:rsidP="0045734E">
            <w:pPr>
              <w:pStyle w:val="NoSpacing"/>
              <w:rPr>
                <w:rFonts w:ascii="Verdana" w:hAnsi="Verdana"/>
                <w:b/>
                <w:bCs/>
              </w:rPr>
            </w:pPr>
          </w:p>
        </w:tc>
      </w:tr>
      <w:tr w:rsidR="003F4D9E" w:rsidRPr="00E16B63" w14:paraId="7A63BE79" w14:textId="77777777" w:rsidTr="00970693">
        <w:tc>
          <w:tcPr>
            <w:tcW w:w="529" w:type="dxa"/>
          </w:tcPr>
          <w:p w14:paraId="5FD2FBD8" w14:textId="12521B3A" w:rsidR="003F4D9E" w:rsidRDefault="003F4D9E" w:rsidP="002D2153">
            <w:pPr>
              <w:pStyle w:val="NoSpacing"/>
              <w:rPr>
                <w:rFonts w:ascii="Verdana" w:hAnsi="Verdana"/>
                <w:b/>
              </w:rPr>
            </w:pPr>
            <w:r>
              <w:rPr>
                <w:rFonts w:ascii="Verdana" w:hAnsi="Verdana"/>
                <w:b/>
              </w:rPr>
              <w:t>16</w:t>
            </w:r>
          </w:p>
        </w:tc>
        <w:tc>
          <w:tcPr>
            <w:tcW w:w="8487" w:type="dxa"/>
          </w:tcPr>
          <w:p w14:paraId="46BD55A8" w14:textId="77777777" w:rsidR="003F4D9E" w:rsidRPr="00677256" w:rsidRDefault="003F4D9E" w:rsidP="003F4D9E">
            <w:pPr>
              <w:jc w:val="both"/>
              <w:rPr>
                <w:rFonts w:ascii="Verdana" w:hAnsi="Verdana"/>
                <w:b/>
              </w:rPr>
            </w:pPr>
            <w:r w:rsidRPr="00677256">
              <w:rPr>
                <w:rFonts w:ascii="Verdana" w:hAnsi="Verdana"/>
                <w:b/>
              </w:rPr>
              <w:t>Fraud, Financial Irregularity or Public Interest Disclosure</w:t>
            </w:r>
          </w:p>
          <w:p w14:paraId="67B02D34" w14:textId="77777777" w:rsidR="003F4D9E" w:rsidRDefault="003F4D9E" w:rsidP="003F4D9E">
            <w:pPr>
              <w:rPr>
                <w:rFonts w:ascii="Verdana" w:hAnsi="Verdana"/>
                <w:b/>
                <w:bCs/>
              </w:rPr>
            </w:pPr>
          </w:p>
          <w:p w14:paraId="582CFD85" w14:textId="77777777" w:rsidR="00E93DF3" w:rsidRDefault="00E93DF3" w:rsidP="00E93DF3">
            <w:pPr>
              <w:rPr>
                <w:rFonts w:ascii="Verdana" w:hAnsi="Verdana" w:cs="Arial"/>
              </w:rPr>
            </w:pPr>
            <w:r>
              <w:rPr>
                <w:rFonts w:ascii="Verdana" w:hAnsi="Verdana" w:cs="Arial"/>
              </w:rPr>
              <w:t>No incidents were reported either in relation to the College or the Corporation.</w:t>
            </w:r>
          </w:p>
          <w:p w14:paraId="3C1485F4" w14:textId="54FF781F" w:rsidR="003F4D9E" w:rsidRPr="00F54F9D" w:rsidRDefault="003F4D9E" w:rsidP="003F4D9E">
            <w:pPr>
              <w:rPr>
                <w:rFonts w:ascii="Verdana" w:hAnsi="Verdana"/>
                <w:b/>
                <w:bCs/>
              </w:rPr>
            </w:pPr>
          </w:p>
        </w:tc>
      </w:tr>
      <w:tr w:rsidR="00E93DF3" w:rsidRPr="00E16B63" w14:paraId="2661BB9D" w14:textId="77777777" w:rsidTr="00970693">
        <w:tc>
          <w:tcPr>
            <w:tcW w:w="529" w:type="dxa"/>
          </w:tcPr>
          <w:p w14:paraId="6383833B" w14:textId="3AD83E48" w:rsidR="00E93DF3" w:rsidRDefault="00E93DF3" w:rsidP="002D2153">
            <w:pPr>
              <w:pStyle w:val="NoSpacing"/>
              <w:rPr>
                <w:rFonts w:ascii="Verdana" w:hAnsi="Verdana"/>
                <w:b/>
              </w:rPr>
            </w:pPr>
            <w:r>
              <w:rPr>
                <w:rFonts w:ascii="Verdana" w:hAnsi="Verdana"/>
                <w:b/>
              </w:rPr>
              <w:t>17</w:t>
            </w:r>
          </w:p>
        </w:tc>
        <w:tc>
          <w:tcPr>
            <w:tcW w:w="8487" w:type="dxa"/>
          </w:tcPr>
          <w:p w14:paraId="1111073C" w14:textId="09C129A4" w:rsidR="00E93DF3" w:rsidRDefault="00E93DF3" w:rsidP="00E93DF3">
            <w:pPr>
              <w:rPr>
                <w:rFonts w:ascii="Verdana" w:hAnsi="Verdana"/>
                <w:b/>
              </w:rPr>
            </w:pPr>
            <w:r>
              <w:rPr>
                <w:rFonts w:ascii="Verdana" w:hAnsi="Verdana"/>
                <w:b/>
              </w:rPr>
              <w:t>Dates and Times of Meetings in the 2021-22 Year</w:t>
            </w:r>
          </w:p>
          <w:p w14:paraId="526739EA" w14:textId="5D25AED5" w:rsidR="00E93DF3" w:rsidRDefault="00E93DF3" w:rsidP="00E93DF3">
            <w:pPr>
              <w:rPr>
                <w:rFonts w:ascii="Verdana" w:hAnsi="Verdana"/>
                <w:b/>
              </w:rPr>
            </w:pPr>
          </w:p>
          <w:p w14:paraId="09B0FFA4" w14:textId="4D46BF34" w:rsidR="00E93DF3" w:rsidRDefault="00E93DF3" w:rsidP="00E93DF3">
            <w:pPr>
              <w:rPr>
                <w:rFonts w:ascii="Verdana" w:hAnsi="Verdana"/>
                <w:bCs/>
              </w:rPr>
            </w:pPr>
            <w:r w:rsidRPr="00E93DF3">
              <w:rPr>
                <w:rFonts w:ascii="Verdana" w:hAnsi="Verdana"/>
                <w:bCs/>
              </w:rPr>
              <w:t>The following dates and times were approved:</w:t>
            </w:r>
          </w:p>
          <w:p w14:paraId="2E221944" w14:textId="6D300457" w:rsidR="00E93DF3" w:rsidRDefault="00E93DF3" w:rsidP="00E93DF3">
            <w:pPr>
              <w:rPr>
                <w:rFonts w:ascii="Verdana" w:hAnsi="Verdana"/>
                <w:bCs/>
              </w:rPr>
            </w:pPr>
          </w:p>
          <w:p w14:paraId="5FDE6D98" w14:textId="77777777" w:rsidR="00E93DF3" w:rsidRDefault="00E93DF3" w:rsidP="00E93DF3">
            <w:pPr>
              <w:pStyle w:val="NoSpacing"/>
              <w:rPr>
                <w:rFonts w:ascii="Verdana" w:hAnsi="Verdana"/>
                <w:b/>
                <w:i/>
              </w:rPr>
            </w:pPr>
            <w:r w:rsidRPr="00FA6E1F">
              <w:rPr>
                <w:rFonts w:ascii="Verdana" w:hAnsi="Verdana"/>
                <w:b/>
                <w:i/>
              </w:rPr>
              <w:t xml:space="preserve">Tuesday </w:t>
            </w:r>
            <w:r>
              <w:rPr>
                <w:rFonts w:ascii="Verdana" w:hAnsi="Verdana"/>
                <w:b/>
                <w:i/>
              </w:rPr>
              <w:t>23 November</w:t>
            </w:r>
            <w:r w:rsidRPr="00FA6E1F">
              <w:rPr>
                <w:rFonts w:ascii="Verdana" w:hAnsi="Verdana"/>
                <w:b/>
                <w:i/>
              </w:rPr>
              <w:t xml:space="preserve"> 20</w:t>
            </w:r>
            <w:r>
              <w:rPr>
                <w:rFonts w:ascii="Verdana" w:hAnsi="Verdana"/>
                <w:b/>
                <w:i/>
              </w:rPr>
              <w:t>21</w:t>
            </w:r>
            <w:r w:rsidRPr="00FA6E1F">
              <w:rPr>
                <w:rFonts w:ascii="Verdana" w:hAnsi="Verdana"/>
                <w:b/>
                <w:i/>
              </w:rPr>
              <w:t xml:space="preserve"> (</w:t>
            </w:r>
            <w:r>
              <w:rPr>
                <w:rFonts w:ascii="Verdana" w:hAnsi="Verdana"/>
                <w:b/>
                <w:i/>
              </w:rPr>
              <w:t>17.30</w:t>
            </w:r>
            <w:r w:rsidRPr="00FA6E1F">
              <w:rPr>
                <w:rFonts w:ascii="Verdana" w:hAnsi="Verdana"/>
                <w:b/>
                <w:i/>
              </w:rPr>
              <w:t>)</w:t>
            </w:r>
          </w:p>
          <w:p w14:paraId="731F3FE6" w14:textId="77777777" w:rsidR="00E93DF3" w:rsidRDefault="00E93DF3" w:rsidP="00E93DF3">
            <w:pPr>
              <w:pStyle w:val="NoSpacing"/>
              <w:rPr>
                <w:rFonts w:ascii="Verdana" w:hAnsi="Verdana"/>
                <w:b/>
                <w:i/>
              </w:rPr>
            </w:pPr>
            <w:r>
              <w:rPr>
                <w:rFonts w:ascii="Verdana" w:hAnsi="Verdana"/>
                <w:b/>
                <w:i/>
              </w:rPr>
              <w:t>Tuesday 8 March 2022 (17.30)</w:t>
            </w:r>
          </w:p>
          <w:p w14:paraId="10E35909" w14:textId="77777777" w:rsidR="00E93DF3" w:rsidRPr="00FA6E1F" w:rsidRDefault="00E93DF3" w:rsidP="00E93DF3">
            <w:pPr>
              <w:pStyle w:val="NoSpacing"/>
              <w:rPr>
                <w:rFonts w:ascii="Verdana" w:hAnsi="Verdana"/>
                <w:b/>
                <w:i/>
              </w:rPr>
            </w:pPr>
            <w:r>
              <w:rPr>
                <w:rFonts w:ascii="Verdana" w:hAnsi="Verdana"/>
                <w:b/>
                <w:i/>
              </w:rPr>
              <w:t>Tuesday 14 June 2022 (17.30)</w:t>
            </w:r>
          </w:p>
          <w:p w14:paraId="6623781C" w14:textId="63905CE0" w:rsidR="00E93DF3" w:rsidRDefault="00E93DF3" w:rsidP="00E93DF3">
            <w:pPr>
              <w:rPr>
                <w:rFonts w:ascii="Verdana" w:hAnsi="Verdana"/>
                <w:bCs/>
              </w:rPr>
            </w:pPr>
          </w:p>
          <w:p w14:paraId="7E88BD30" w14:textId="18355114" w:rsidR="00E93DF3" w:rsidRPr="001616AC" w:rsidRDefault="00E93DF3" w:rsidP="00E93DF3">
            <w:pPr>
              <w:rPr>
                <w:rFonts w:ascii="Verdana" w:hAnsi="Verdana"/>
              </w:rPr>
            </w:pPr>
            <w:r>
              <w:rPr>
                <w:rFonts w:ascii="Verdana" w:hAnsi="Verdana"/>
              </w:rPr>
              <w:t>In accordance with the decision of the Corporation at the meeting held on 11 May 2021</w:t>
            </w:r>
            <w:r w:rsidRPr="001616AC">
              <w:rPr>
                <w:rFonts w:ascii="Verdana" w:hAnsi="Verdana"/>
              </w:rPr>
              <w:t>, the format and location of meetings will be determined by each Committee Chair in consultation with members of the Committee, but such meetings will be either face-to-face at a location to be agreed (with the right of any member, including staff in attendance, to attend virtually without restriction), or will be entirely virtual.</w:t>
            </w:r>
          </w:p>
          <w:p w14:paraId="474E6ABD" w14:textId="77777777" w:rsidR="00E93DF3" w:rsidRPr="00677256" w:rsidRDefault="00E93DF3" w:rsidP="003F4D9E">
            <w:pPr>
              <w:jc w:val="both"/>
              <w:rPr>
                <w:rFonts w:ascii="Verdana" w:hAnsi="Verdana"/>
                <w:b/>
              </w:rPr>
            </w:pPr>
          </w:p>
        </w:tc>
      </w:tr>
      <w:tr w:rsidR="00E93DF3" w:rsidRPr="00E16B63" w14:paraId="7B147795" w14:textId="77777777" w:rsidTr="00970693">
        <w:tc>
          <w:tcPr>
            <w:tcW w:w="529" w:type="dxa"/>
          </w:tcPr>
          <w:p w14:paraId="0E673F8B" w14:textId="33B2E318" w:rsidR="00E93DF3" w:rsidRDefault="00E93DF3" w:rsidP="00E93DF3">
            <w:pPr>
              <w:pStyle w:val="NoSpacing"/>
              <w:rPr>
                <w:rFonts w:ascii="Verdana" w:hAnsi="Verdana"/>
                <w:b/>
              </w:rPr>
            </w:pPr>
            <w:r>
              <w:rPr>
                <w:rFonts w:ascii="Verdana" w:hAnsi="Verdana"/>
                <w:b/>
              </w:rPr>
              <w:t>18</w:t>
            </w:r>
          </w:p>
        </w:tc>
        <w:tc>
          <w:tcPr>
            <w:tcW w:w="8487" w:type="dxa"/>
          </w:tcPr>
          <w:p w14:paraId="70BEDACB" w14:textId="77777777" w:rsidR="00E93DF3" w:rsidRPr="00364C92" w:rsidRDefault="00E93DF3" w:rsidP="00E93DF3">
            <w:pPr>
              <w:pStyle w:val="NoSpacing"/>
              <w:rPr>
                <w:rFonts w:ascii="Verdana" w:hAnsi="Verdana"/>
                <w:b/>
              </w:rPr>
            </w:pPr>
            <w:r w:rsidRPr="00364C92">
              <w:rPr>
                <w:rFonts w:ascii="Verdana" w:hAnsi="Verdana"/>
                <w:b/>
              </w:rPr>
              <w:t>Any Other Competent Business</w:t>
            </w:r>
          </w:p>
          <w:p w14:paraId="64DC9E19" w14:textId="77777777" w:rsidR="00E93DF3" w:rsidRPr="00364C92" w:rsidRDefault="00E93DF3" w:rsidP="00E93DF3">
            <w:pPr>
              <w:pStyle w:val="NoSpacing"/>
              <w:rPr>
                <w:rFonts w:ascii="Verdana" w:hAnsi="Verdana"/>
                <w:b/>
              </w:rPr>
            </w:pPr>
          </w:p>
          <w:p w14:paraId="29FD723E" w14:textId="7EAA04C3" w:rsidR="00E93DF3" w:rsidRPr="00677256" w:rsidRDefault="00E93DF3" w:rsidP="00E93DF3">
            <w:pPr>
              <w:jc w:val="both"/>
              <w:rPr>
                <w:rFonts w:ascii="Verdana" w:hAnsi="Verdana"/>
                <w:b/>
              </w:rPr>
            </w:pPr>
            <w:r w:rsidRPr="00364C92">
              <w:rPr>
                <w:rFonts w:ascii="Verdana" w:hAnsi="Verdana"/>
                <w:bCs/>
              </w:rPr>
              <w:t>None.</w:t>
            </w:r>
          </w:p>
        </w:tc>
      </w:tr>
    </w:tbl>
    <w:p w14:paraId="06C62581" w14:textId="05005665" w:rsidR="00953BBF" w:rsidRPr="00E16B63" w:rsidRDefault="00953BBF" w:rsidP="001E3DD7">
      <w:pPr>
        <w:rPr>
          <w:rFonts w:ascii="Verdana" w:hAnsi="Verdana"/>
        </w:rPr>
      </w:pPr>
    </w:p>
    <w:p w14:paraId="6437AFA8" w14:textId="77777777" w:rsidR="00595D4C" w:rsidRDefault="00595D4C" w:rsidP="001E3DD7">
      <w:pPr>
        <w:rPr>
          <w:rFonts w:ascii="Verdana" w:hAnsi="Verdana"/>
        </w:rPr>
      </w:pPr>
    </w:p>
    <w:p w14:paraId="00C60249" w14:textId="3B43BDCC" w:rsidR="008E24FB" w:rsidRPr="00595D4C" w:rsidRDefault="00595D4C" w:rsidP="001E3DD7">
      <w:pPr>
        <w:rPr>
          <w:rFonts w:ascii="Verdana" w:hAnsi="Verdana"/>
          <w:i/>
          <w:iCs/>
        </w:rPr>
      </w:pPr>
      <w:r w:rsidRPr="00595D4C">
        <w:rPr>
          <w:rFonts w:ascii="Verdana" w:hAnsi="Verdana"/>
          <w:i/>
          <w:iCs/>
        </w:rPr>
        <w:t xml:space="preserve">A list of actions arising from this minute is </w:t>
      </w:r>
      <w:r>
        <w:rPr>
          <w:rFonts w:ascii="Verdana" w:hAnsi="Verdana"/>
          <w:i/>
          <w:iCs/>
        </w:rPr>
        <w:t>set out on</w:t>
      </w:r>
      <w:r w:rsidRPr="00595D4C">
        <w:rPr>
          <w:rFonts w:ascii="Verdana" w:hAnsi="Verdana"/>
          <w:i/>
          <w:iCs/>
        </w:rPr>
        <w:t xml:space="preserve"> the following page.</w:t>
      </w:r>
    </w:p>
    <w:p w14:paraId="73D5BFCF" w14:textId="30D5188C" w:rsidR="00595D4C" w:rsidRDefault="00595D4C" w:rsidP="001E3DD7">
      <w:pPr>
        <w:rPr>
          <w:rFonts w:ascii="Verdana" w:hAnsi="Verdana"/>
        </w:rPr>
      </w:pPr>
    </w:p>
    <w:p w14:paraId="7A1B79BD" w14:textId="0B1A416C" w:rsidR="00595D4C" w:rsidRDefault="00595D4C" w:rsidP="001E3DD7">
      <w:pPr>
        <w:rPr>
          <w:rFonts w:ascii="Verdana" w:hAnsi="Verdana"/>
        </w:rPr>
      </w:pPr>
    </w:p>
    <w:p w14:paraId="094C8628" w14:textId="57C36FAA" w:rsidR="00595D4C" w:rsidRDefault="00595D4C" w:rsidP="001E3DD7">
      <w:pPr>
        <w:rPr>
          <w:rFonts w:ascii="Verdana" w:hAnsi="Verdana"/>
        </w:rPr>
      </w:pPr>
    </w:p>
    <w:p w14:paraId="7F9FC35E" w14:textId="2F16DB98" w:rsidR="00595D4C" w:rsidRDefault="00595D4C" w:rsidP="001E3DD7">
      <w:pPr>
        <w:rPr>
          <w:rFonts w:ascii="Verdana" w:hAnsi="Verdana"/>
        </w:rPr>
      </w:pPr>
    </w:p>
    <w:p w14:paraId="1AF3262B" w14:textId="7D0C1230" w:rsidR="00595D4C" w:rsidRDefault="00595D4C" w:rsidP="001E3DD7">
      <w:pPr>
        <w:rPr>
          <w:rFonts w:ascii="Verdana" w:hAnsi="Verdana"/>
        </w:rPr>
      </w:pPr>
    </w:p>
    <w:p w14:paraId="5322C215" w14:textId="777C8933" w:rsidR="00595D4C" w:rsidRDefault="00595D4C" w:rsidP="001E3DD7">
      <w:pPr>
        <w:rPr>
          <w:rFonts w:ascii="Verdana" w:hAnsi="Verdana"/>
        </w:rPr>
      </w:pPr>
    </w:p>
    <w:p w14:paraId="7FA8671B" w14:textId="7A886121" w:rsidR="00595D4C" w:rsidRDefault="00595D4C" w:rsidP="001E3DD7">
      <w:pPr>
        <w:rPr>
          <w:rFonts w:ascii="Verdana" w:hAnsi="Verdana"/>
        </w:rPr>
      </w:pPr>
    </w:p>
    <w:p w14:paraId="5D032599" w14:textId="5CC64D1A" w:rsidR="00595D4C" w:rsidRDefault="00595D4C" w:rsidP="001E3DD7">
      <w:pPr>
        <w:rPr>
          <w:rFonts w:ascii="Verdana" w:hAnsi="Verdana"/>
        </w:rPr>
      </w:pPr>
    </w:p>
    <w:p w14:paraId="3E88B536" w14:textId="1D9CBF7F" w:rsidR="00595D4C" w:rsidRDefault="00595D4C" w:rsidP="001E3DD7">
      <w:pPr>
        <w:rPr>
          <w:rFonts w:ascii="Verdana" w:hAnsi="Verdana"/>
        </w:rPr>
      </w:pPr>
    </w:p>
    <w:p w14:paraId="216B2DAD" w14:textId="27C404B7" w:rsidR="00595D4C" w:rsidRDefault="00595D4C" w:rsidP="001E3DD7">
      <w:pPr>
        <w:rPr>
          <w:rFonts w:ascii="Verdana" w:hAnsi="Verdana"/>
        </w:rPr>
      </w:pPr>
    </w:p>
    <w:p w14:paraId="25F5A32B" w14:textId="5B81756C" w:rsidR="00595D4C" w:rsidRDefault="00595D4C" w:rsidP="001E3DD7">
      <w:pPr>
        <w:rPr>
          <w:rFonts w:ascii="Verdana" w:hAnsi="Verdana"/>
        </w:rPr>
      </w:pPr>
    </w:p>
    <w:p w14:paraId="1082910C" w14:textId="7C03208B" w:rsidR="00595D4C" w:rsidRDefault="00595D4C" w:rsidP="001E3DD7">
      <w:pPr>
        <w:rPr>
          <w:rFonts w:ascii="Verdana" w:hAnsi="Verdana"/>
        </w:rPr>
      </w:pPr>
    </w:p>
    <w:p w14:paraId="1F0474A0" w14:textId="08FAE8FB" w:rsidR="00595D4C" w:rsidRDefault="00595D4C" w:rsidP="001E3DD7">
      <w:pPr>
        <w:rPr>
          <w:rFonts w:ascii="Verdana" w:hAnsi="Verdana"/>
        </w:rPr>
      </w:pPr>
    </w:p>
    <w:p w14:paraId="1CC8AA45" w14:textId="5938DEAC" w:rsidR="00595D4C" w:rsidRDefault="00595D4C" w:rsidP="001E3DD7">
      <w:pPr>
        <w:rPr>
          <w:rFonts w:ascii="Verdana" w:hAnsi="Verdana"/>
        </w:rPr>
      </w:pPr>
    </w:p>
    <w:p w14:paraId="75C362DE" w14:textId="63B4DE8D" w:rsidR="00595D4C" w:rsidRDefault="00595D4C" w:rsidP="001E3DD7">
      <w:pPr>
        <w:rPr>
          <w:rFonts w:ascii="Verdana" w:hAnsi="Verdana"/>
        </w:rPr>
      </w:pPr>
    </w:p>
    <w:p w14:paraId="2CCAA376" w14:textId="74EDB058" w:rsidR="00595D4C" w:rsidRDefault="00595D4C" w:rsidP="001E3DD7">
      <w:pPr>
        <w:rPr>
          <w:rFonts w:ascii="Verdana" w:hAnsi="Verdana"/>
        </w:rPr>
      </w:pPr>
    </w:p>
    <w:p w14:paraId="5D930EF0" w14:textId="4EB1DBF2" w:rsidR="00595D4C" w:rsidRDefault="00595D4C" w:rsidP="001E3DD7">
      <w:pPr>
        <w:rPr>
          <w:rFonts w:ascii="Verdana" w:hAnsi="Verdana"/>
        </w:rPr>
      </w:pPr>
    </w:p>
    <w:p w14:paraId="184FB034" w14:textId="442773D6" w:rsidR="00970693" w:rsidRDefault="00970693" w:rsidP="001E3DD7">
      <w:pPr>
        <w:rPr>
          <w:rFonts w:ascii="Verdana" w:hAnsi="Verdana"/>
        </w:rPr>
      </w:pPr>
    </w:p>
    <w:p w14:paraId="3893B461" w14:textId="77777777" w:rsidR="00970693" w:rsidRDefault="00970693" w:rsidP="001E3DD7">
      <w:pPr>
        <w:rPr>
          <w:rFonts w:ascii="Verdana" w:hAnsi="Verdana"/>
        </w:rPr>
      </w:pPr>
      <w:bookmarkStart w:id="0" w:name="_GoBack"/>
      <w:bookmarkEnd w:id="0"/>
    </w:p>
    <w:p w14:paraId="7E3275AF" w14:textId="7A16F4B4" w:rsidR="00595D4C" w:rsidRDefault="00595D4C" w:rsidP="001E3DD7">
      <w:pPr>
        <w:rPr>
          <w:rFonts w:ascii="Verdana" w:hAnsi="Verdana"/>
        </w:rPr>
      </w:pPr>
    </w:p>
    <w:p w14:paraId="5DB6A4EF" w14:textId="77777777" w:rsidR="00970693" w:rsidRPr="00364C92" w:rsidRDefault="00970693" w:rsidP="001E3DD7">
      <w:pPr>
        <w:rPr>
          <w:rFonts w:ascii="Verdana" w:hAnsi="Verdana"/>
        </w:rPr>
      </w:pPr>
    </w:p>
    <w:p w14:paraId="2F5355D0" w14:textId="5E639F76" w:rsidR="0086139B" w:rsidRPr="00364C92" w:rsidRDefault="0086139B" w:rsidP="0086139B">
      <w:pPr>
        <w:rPr>
          <w:rFonts w:ascii="Verdana" w:hAnsi="Verdana"/>
          <w:b/>
        </w:rPr>
      </w:pPr>
      <w:r w:rsidRPr="00364C92">
        <w:rPr>
          <w:rFonts w:ascii="Verdana" w:hAnsi="Verdana"/>
          <w:b/>
        </w:rPr>
        <w:lastRenderedPageBreak/>
        <w:t>List of Actions Arising from This Meeting</w:t>
      </w:r>
      <w:r w:rsidR="00B75B18" w:rsidRPr="00364C92">
        <w:rPr>
          <w:rFonts w:ascii="Verdana" w:hAnsi="Verdana"/>
          <w:b/>
        </w:rPr>
        <w:t xml:space="preserve"> </w:t>
      </w:r>
    </w:p>
    <w:p w14:paraId="2B0FE401" w14:textId="77777777" w:rsidR="0086139B" w:rsidRPr="00364C92" w:rsidRDefault="0086139B" w:rsidP="0086139B">
      <w:pPr>
        <w:rPr>
          <w:rFonts w:ascii="Verdana" w:hAnsi="Verdana"/>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
        <w:gridCol w:w="3017"/>
        <w:gridCol w:w="5387"/>
      </w:tblGrid>
      <w:tr w:rsidR="008F4343" w:rsidRPr="00364C92" w14:paraId="1C81896E" w14:textId="77777777" w:rsidTr="00970693">
        <w:tc>
          <w:tcPr>
            <w:tcW w:w="1060" w:type="dxa"/>
          </w:tcPr>
          <w:p w14:paraId="1BAAD33B" w14:textId="77777777" w:rsidR="008F4343" w:rsidRPr="00364C92" w:rsidRDefault="008F4343" w:rsidP="008F4343">
            <w:pPr>
              <w:rPr>
                <w:rFonts w:ascii="Verdana" w:hAnsi="Verdana"/>
                <w:b/>
                <w:i/>
              </w:rPr>
            </w:pPr>
            <w:r w:rsidRPr="00364C92">
              <w:rPr>
                <w:rFonts w:ascii="Verdana" w:hAnsi="Verdana"/>
                <w:b/>
                <w:i/>
              </w:rPr>
              <w:t>Minute</w:t>
            </w:r>
          </w:p>
        </w:tc>
        <w:tc>
          <w:tcPr>
            <w:tcW w:w="3017" w:type="dxa"/>
          </w:tcPr>
          <w:p w14:paraId="0376423F" w14:textId="77777777" w:rsidR="008F4343" w:rsidRPr="00364C92" w:rsidRDefault="008F4343" w:rsidP="008F4343">
            <w:pPr>
              <w:rPr>
                <w:rFonts w:ascii="Verdana" w:hAnsi="Verdana"/>
                <w:b/>
                <w:i/>
              </w:rPr>
            </w:pPr>
            <w:r w:rsidRPr="00364C92">
              <w:rPr>
                <w:rFonts w:ascii="Verdana" w:hAnsi="Verdana"/>
                <w:b/>
                <w:i/>
              </w:rPr>
              <w:t>Person Responsible</w:t>
            </w:r>
          </w:p>
        </w:tc>
        <w:tc>
          <w:tcPr>
            <w:tcW w:w="5387" w:type="dxa"/>
          </w:tcPr>
          <w:p w14:paraId="6AD82D1F" w14:textId="77777777" w:rsidR="008F4343" w:rsidRPr="00364C92" w:rsidRDefault="008F4343" w:rsidP="008F4343">
            <w:pPr>
              <w:rPr>
                <w:rFonts w:ascii="Verdana" w:hAnsi="Verdana"/>
                <w:b/>
                <w:i/>
              </w:rPr>
            </w:pPr>
            <w:r w:rsidRPr="00364C92">
              <w:rPr>
                <w:rFonts w:ascii="Verdana" w:hAnsi="Verdana"/>
                <w:b/>
                <w:i/>
              </w:rPr>
              <w:t>Action</w:t>
            </w:r>
          </w:p>
          <w:p w14:paraId="0247EDFC" w14:textId="77777777" w:rsidR="008F4343" w:rsidRPr="00364C92" w:rsidRDefault="008F4343" w:rsidP="008F4343">
            <w:pPr>
              <w:rPr>
                <w:rFonts w:ascii="Verdana" w:hAnsi="Verdana"/>
                <w:b/>
                <w:i/>
              </w:rPr>
            </w:pPr>
          </w:p>
        </w:tc>
      </w:tr>
      <w:tr w:rsidR="00DB3A35" w:rsidRPr="00364C92" w14:paraId="4D19072A" w14:textId="77777777" w:rsidTr="00970693">
        <w:tc>
          <w:tcPr>
            <w:tcW w:w="1060" w:type="dxa"/>
          </w:tcPr>
          <w:p w14:paraId="7DDB461D" w14:textId="0EE60DCA" w:rsidR="00DB3A35" w:rsidRPr="001C5CEE" w:rsidRDefault="001C5CEE" w:rsidP="008F4343">
            <w:pPr>
              <w:rPr>
                <w:rFonts w:ascii="Verdana" w:hAnsi="Verdana"/>
                <w:b/>
                <w:bCs/>
              </w:rPr>
            </w:pPr>
            <w:r w:rsidRPr="001C5CEE">
              <w:rPr>
                <w:rFonts w:ascii="Verdana" w:hAnsi="Verdana"/>
                <w:b/>
                <w:bCs/>
              </w:rPr>
              <w:t>7</w:t>
            </w:r>
          </w:p>
        </w:tc>
        <w:tc>
          <w:tcPr>
            <w:tcW w:w="3017" w:type="dxa"/>
          </w:tcPr>
          <w:p w14:paraId="601DB9B3" w14:textId="070C50EB" w:rsidR="00DB3A35" w:rsidRPr="00364C92" w:rsidRDefault="001C5CEE" w:rsidP="00B106A2">
            <w:pPr>
              <w:rPr>
                <w:rFonts w:ascii="Verdana" w:hAnsi="Verdana"/>
              </w:rPr>
            </w:pPr>
            <w:r>
              <w:rPr>
                <w:rFonts w:ascii="Verdana" w:hAnsi="Verdana"/>
              </w:rPr>
              <w:t>Senior Director of Finance &amp; Resources</w:t>
            </w:r>
          </w:p>
        </w:tc>
        <w:tc>
          <w:tcPr>
            <w:tcW w:w="5387" w:type="dxa"/>
          </w:tcPr>
          <w:p w14:paraId="4FF7E12C" w14:textId="77777777" w:rsidR="00B106A2" w:rsidRDefault="00DC0CEC" w:rsidP="008F4343">
            <w:pPr>
              <w:rPr>
                <w:rFonts w:ascii="Verdana" w:hAnsi="Verdana" w:cs="Arial"/>
              </w:rPr>
            </w:pPr>
            <w:r>
              <w:rPr>
                <w:rFonts w:ascii="Verdana" w:hAnsi="Verdana"/>
                <w:bCs/>
              </w:rPr>
              <w:t>P</w:t>
            </w:r>
            <w:r w:rsidR="001C5CEE">
              <w:rPr>
                <w:rFonts w:ascii="Verdana" w:hAnsi="Verdana"/>
                <w:bCs/>
              </w:rPr>
              <w:t xml:space="preserve">repare </w:t>
            </w:r>
            <w:r>
              <w:rPr>
                <w:rFonts w:ascii="Verdana" w:hAnsi="Verdana"/>
                <w:bCs/>
              </w:rPr>
              <w:t xml:space="preserve">and submit </w:t>
            </w:r>
            <w:r w:rsidR="001C5CEE" w:rsidRPr="00491FC5">
              <w:rPr>
                <w:rFonts w:ascii="Verdana" w:hAnsi="Verdana"/>
                <w:bCs/>
              </w:rPr>
              <w:t>a</w:t>
            </w:r>
            <w:r w:rsidR="001C5CEE" w:rsidRPr="00491FC5">
              <w:rPr>
                <w:rFonts w:ascii="Verdana" w:hAnsi="Verdana" w:cs="Arial"/>
              </w:rPr>
              <w:t xml:space="preserve"> risk appetite statement </w:t>
            </w:r>
            <w:r w:rsidR="001C5CEE">
              <w:rPr>
                <w:rFonts w:ascii="Verdana" w:hAnsi="Verdana" w:cs="Arial"/>
              </w:rPr>
              <w:t>for approval</w:t>
            </w:r>
            <w:r w:rsidR="001C5CEE" w:rsidRPr="00491FC5">
              <w:rPr>
                <w:rFonts w:ascii="Verdana" w:hAnsi="Verdana" w:cs="Arial"/>
              </w:rPr>
              <w:t xml:space="preserve"> by the Corporation.in the Autumn Term 2021-22</w:t>
            </w:r>
            <w:r w:rsidR="00B50B48">
              <w:rPr>
                <w:rFonts w:ascii="Verdana" w:hAnsi="Verdana" w:cs="Arial"/>
              </w:rPr>
              <w:t>.</w:t>
            </w:r>
          </w:p>
          <w:p w14:paraId="6F69E8E8" w14:textId="1B98CCDC" w:rsidR="00B50B48" w:rsidRPr="00364C92" w:rsidRDefault="00B50B48" w:rsidP="008F4343">
            <w:pPr>
              <w:rPr>
                <w:rFonts w:ascii="Verdana" w:hAnsi="Verdana"/>
              </w:rPr>
            </w:pPr>
          </w:p>
        </w:tc>
      </w:tr>
      <w:tr w:rsidR="00E93DF3" w:rsidRPr="00364C92" w14:paraId="4AA23050" w14:textId="77777777" w:rsidTr="00970693">
        <w:tc>
          <w:tcPr>
            <w:tcW w:w="1060" w:type="dxa"/>
          </w:tcPr>
          <w:p w14:paraId="77BAED51" w14:textId="7F4EB458" w:rsidR="00E93DF3" w:rsidRPr="001C5CEE" w:rsidRDefault="00B50B48" w:rsidP="008F4343">
            <w:pPr>
              <w:rPr>
                <w:rFonts w:ascii="Verdana" w:hAnsi="Verdana"/>
                <w:b/>
                <w:bCs/>
              </w:rPr>
            </w:pPr>
            <w:r>
              <w:rPr>
                <w:rFonts w:ascii="Verdana" w:hAnsi="Verdana"/>
                <w:b/>
                <w:bCs/>
              </w:rPr>
              <w:t>8</w:t>
            </w:r>
          </w:p>
        </w:tc>
        <w:tc>
          <w:tcPr>
            <w:tcW w:w="3017" w:type="dxa"/>
          </w:tcPr>
          <w:p w14:paraId="4FC987E5" w14:textId="77777777" w:rsidR="00E93DF3" w:rsidRDefault="00B50B48" w:rsidP="00B106A2">
            <w:pPr>
              <w:rPr>
                <w:rFonts w:ascii="Verdana" w:hAnsi="Verdana"/>
              </w:rPr>
            </w:pPr>
            <w:r>
              <w:rPr>
                <w:rFonts w:ascii="Verdana" w:hAnsi="Verdana"/>
              </w:rPr>
              <w:t>Senior Director of Finance &amp; Resources</w:t>
            </w:r>
          </w:p>
          <w:p w14:paraId="20F02D45" w14:textId="77777777" w:rsidR="00B50B48" w:rsidRDefault="00B50B48" w:rsidP="00B106A2">
            <w:pPr>
              <w:rPr>
                <w:rFonts w:ascii="Verdana" w:hAnsi="Verdana"/>
              </w:rPr>
            </w:pPr>
          </w:p>
          <w:p w14:paraId="592F27DF" w14:textId="69443ECC" w:rsidR="00B50B48" w:rsidRPr="00364C92" w:rsidRDefault="00B50B48" w:rsidP="00B106A2">
            <w:pPr>
              <w:rPr>
                <w:rFonts w:ascii="Verdana" w:hAnsi="Verdana"/>
              </w:rPr>
            </w:pPr>
            <w:r>
              <w:rPr>
                <w:rFonts w:ascii="Verdana" w:hAnsi="Verdana"/>
              </w:rPr>
              <w:t>Clerk to the Corporation</w:t>
            </w:r>
          </w:p>
        </w:tc>
        <w:tc>
          <w:tcPr>
            <w:tcW w:w="5387" w:type="dxa"/>
          </w:tcPr>
          <w:p w14:paraId="59CD7AB2" w14:textId="77777777" w:rsidR="00E93DF3" w:rsidRDefault="00B50B48" w:rsidP="008F4343">
            <w:pPr>
              <w:rPr>
                <w:rFonts w:ascii="Verdana" w:hAnsi="Verdana"/>
              </w:rPr>
            </w:pPr>
            <w:r>
              <w:rPr>
                <w:rFonts w:ascii="Verdana" w:hAnsi="Verdana"/>
              </w:rPr>
              <w:t>Circulate outstanding audit reports (on reviews conducted during July and August) to committee members as soon as they are available.</w:t>
            </w:r>
          </w:p>
          <w:p w14:paraId="01198223" w14:textId="1770B49C" w:rsidR="00B50B48" w:rsidRPr="00364C92" w:rsidRDefault="00B50B48" w:rsidP="008F4343">
            <w:pPr>
              <w:rPr>
                <w:rFonts w:ascii="Verdana" w:hAnsi="Verdana"/>
              </w:rPr>
            </w:pPr>
          </w:p>
        </w:tc>
      </w:tr>
      <w:tr w:rsidR="00E93DF3" w:rsidRPr="00364C92" w14:paraId="4A2379C6" w14:textId="77777777" w:rsidTr="00970693">
        <w:tc>
          <w:tcPr>
            <w:tcW w:w="1060" w:type="dxa"/>
          </w:tcPr>
          <w:p w14:paraId="59C5A844" w14:textId="1B1CAA4A" w:rsidR="00E93DF3" w:rsidRPr="001C5CEE" w:rsidRDefault="00B50B48" w:rsidP="008F4343">
            <w:pPr>
              <w:rPr>
                <w:rFonts w:ascii="Verdana" w:hAnsi="Verdana"/>
                <w:b/>
                <w:bCs/>
              </w:rPr>
            </w:pPr>
            <w:r>
              <w:rPr>
                <w:rFonts w:ascii="Verdana" w:hAnsi="Verdana"/>
                <w:b/>
                <w:bCs/>
              </w:rPr>
              <w:t>8</w:t>
            </w:r>
          </w:p>
        </w:tc>
        <w:tc>
          <w:tcPr>
            <w:tcW w:w="3017" w:type="dxa"/>
          </w:tcPr>
          <w:p w14:paraId="0ED52953" w14:textId="42E2446E" w:rsidR="00E93DF3" w:rsidRPr="00364C92" w:rsidRDefault="00B50B48" w:rsidP="00B106A2">
            <w:pPr>
              <w:rPr>
                <w:rFonts w:ascii="Verdana" w:hAnsi="Verdana"/>
              </w:rPr>
            </w:pPr>
            <w:r>
              <w:rPr>
                <w:rFonts w:ascii="Verdana" w:hAnsi="Verdana"/>
              </w:rPr>
              <w:t>Internal Audit Service</w:t>
            </w:r>
          </w:p>
        </w:tc>
        <w:tc>
          <w:tcPr>
            <w:tcW w:w="5387" w:type="dxa"/>
          </w:tcPr>
          <w:p w14:paraId="2073F221" w14:textId="1A16EE30" w:rsidR="00B50B48" w:rsidRPr="00F70205" w:rsidRDefault="00B50B48" w:rsidP="00B50B48">
            <w:pPr>
              <w:jc w:val="both"/>
              <w:rPr>
                <w:rFonts w:ascii="Verdana" w:hAnsi="Verdana" w:cstheme="minorHAnsi"/>
                <w:bCs/>
              </w:rPr>
            </w:pPr>
            <w:r>
              <w:rPr>
                <w:rFonts w:ascii="Verdana" w:hAnsi="Verdana" w:cstheme="minorHAnsi"/>
                <w:bCs/>
              </w:rPr>
              <w:t>Include the number of colleges from which benchmarking data is derived in future reports.</w:t>
            </w:r>
          </w:p>
          <w:p w14:paraId="229F08DB" w14:textId="77777777" w:rsidR="00E93DF3" w:rsidRPr="00364C92" w:rsidRDefault="00E93DF3" w:rsidP="008F4343">
            <w:pPr>
              <w:rPr>
                <w:rFonts w:ascii="Verdana" w:hAnsi="Verdana"/>
              </w:rPr>
            </w:pPr>
          </w:p>
        </w:tc>
      </w:tr>
      <w:tr w:rsidR="00E93DF3" w:rsidRPr="00364C92" w14:paraId="2045C585" w14:textId="77777777" w:rsidTr="00970693">
        <w:tc>
          <w:tcPr>
            <w:tcW w:w="1060" w:type="dxa"/>
          </w:tcPr>
          <w:p w14:paraId="4C8DF6ED" w14:textId="2079D1E7" w:rsidR="00E93DF3" w:rsidRPr="001C5CEE" w:rsidRDefault="00F130D7" w:rsidP="008F4343">
            <w:pPr>
              <w:rPr>
                <w:rFonts w:ascii="Verdana" w:hAnsi="Verdana"/>
                <w:b/>
                <w:bCs/>
              </w:rPr>
            </w:pPr>
            <w:r>
              <w:rPr>
                <w:rFonts w:ascii="Verdana" w:hAnsi="Verdana"/>
                <w:b/>
                <w:bCs/>
              </w:rPr>
              <w:t>8</w:t>
            </w:r>
          </w:p>
        </w:tc>
        <w:tc>
          <w:tcPr>
            <w:tcW w:w="3017" w:type="dxa"/>
          </w:tcPr>
          <w:p w14:paraId="13F34564" w14:textId="77777777" w:rsidR="00E93DF3" w:rsidRDefault="00B50B48" w:rsidP="00B106A2">
            <w:pPr>
              <w:rPr>
                <w:rFonts w:ascii="Verdana" w:hAnsi="Verdana"/>
              </w:rPr>
            </w:pPr>
            <w:r>
              <w:rPr>
                <w:rFonts w:ascii="Verdana" w:hAnsi="Verdana"/>
              </w:rPr>
              <w:t>Chair of the External Relations Committee</w:t>
            </w:r>
          </w:p>
          <w:p w14:paraId="4DA541D6" w14:textId="77777777" w:rsidR="00B50B48" w:rsidRDefault="00B50B48" w:rsidP="00B106A2">
            <w:pPr>
              <w:rPr>
                <w:rFonts w:ascii="Verdana" w:hAnsi="Verdana"/>
              </w:rPr>
            </w:pPr>
          </w:p>
          <w:p w14:paraId="615E022D" w14:textId="77777777" w:rsidR="00B50B48" w:rsidRDefault="00B50B48" w:rsidP="00B106A2">
            <w:pPr>
              <w:rPr>
                <w:rFonts w:ascii="Verdana" w:hAnsi="Verdana"/>
              </w:rPr>
            </w:pPr>
            <w:r>
              <w:rPr>
                <w:rFonts w:ascii="Verdana" w:hAnsi="Verdana"/>
              </w:rPr>
              <w:t>Clerk to the Corporation</w:t>
            </w:r>
          </w:p>
          <w:p w14:paraId="7D46B03F" w14:textId="7C764C67" w:rsidR="00F130D7" w:rsidRPr="00364C92" w:rsidRDefault="00F130D7" w:rsidP="00B106A2">
            <w:pPr>
              <w:rPr>
                <w:rFonts w:ascii="Verdana" w:hAnsi="Verdana"/>
              </w:rPr>
            </w:pPr>
          </w:p>
        </w:tc>
        <w:tc>
          <w:tcPr>
            <w:tcW w:w="5387" w:type="dxa"/>
          </w:tcPr>
          <w:p w14:paraId="1BE44C09" w14:textId="55FDDF28" w:rsidR="00E93DF3" w:rsidRPr="00364C92" w:rsidRDefault="00F130D7" w:rsidP="008F4343">
            <w:pPr>
              <w:rPr>
                <w:rFonts w:ascii="Verdana" w:hAnsi="Verdana"/>
              </w:rPr>
            </w:pPr>
            <w:r>
              <w:rPr>
                <w:rFonts w:ascii="Verdana" w:hAnsi="Verdana"/>
              </w:rPr>
              <w:t>Make the</w:t>
            </w:r>
            <w:r w:rsidR="00B50B48">
              <w:rPr>
                <w:rFonts w:ascii="Verdana" w:hAnsi="Verdana"/>
              </w:rPr>
              <w:t xml:space="preserve"> internal audit report on </w:t>
            </w:r>
            <w:r>
              <w:rPr>
                <w:rFonts w:ascii="Verdana" w:hAnsi="Verdana"/>
              </w:rPr>
              <w:t>student recruitment</w:t>
            </w:r>
            <w:r w:rsidR="00B50B48">
              <w:rPr>
                <w:rFonts w:ascii="Verdana" w:hAnsi="Verdana"/>
              </w:rPr>
              <w:t xml:space="preserve"> </w:t>
            </w:r>
            <w:r>
              <w:rPr>
                <w:rFonts w:ascii="Verdana" w:hAnsi="Verdana"/>
              </w:rPr>
              <w:t>available to</w:t>
            </w:r>
            <w:r w:rsidR="00B50B48">
              <w:rPr>
                <w:rFonts w:ascii="Verdana" w:hAnsi="Verdana"/>
              </w:rPr>
              <w:t xml:space="preserve"> the External Relations Committee</w:t>
            </w:r>
            <w:r>
              <w:rPr>
                <w:rFonts w:ascii="Verdana" w:hAnsi="Verdana"/>
              </w:rPr>
              <w:t xml:space="preserve"> at its next meeting.</w:t>
            </w:r>
          </w:p>
        </w:tc>
      </w:tr>
      <w:tr w:rsidR="00E93DF3" w:rsidRPr="00364C92" w14:paraId="0CBD588D" w14:textId="77777777" w:rsidTr="00970693">
        <w:tc>
          <w:tcPr>
            <w:tcW w:w="1060" w:type="dxa"/>
          </w:tcPr>
          <w:p w14:paraId="50BAF953" w14:textId="4FC772B6" w:rsidR="00E93DF3" w:rsidRPr="001C5CEE" w:rsidRDefault="00D6662E" w:rsidP="008F4343">
            <w:pPr>
              <w:rPr>
                <w:rFonts w:ascii="Verdana" w:hAnsi="Verdana"/>
                <w:b/>
                <w:bCs/>
              </w:rPr>
            </w:pPr>
            <w:r>
              <w:rPr>
                <w:rFonts w:ascii="Verdana" w:hAnsi="Verdana"/>
                <w:b/>
                <w:bCs/>
              </w:rPr>
              <w:t>8</w:t>
            </w:r>
          </w:p>
        </w:tc>
        <w:tc>
          <w:tcPr>
            <w:tcW w:w="3017" w:type="dxa"/>
          </w:tcPr>
          <w:p w14:paraId="7050647D" w14:textId="77777777" w:rsidR="00D6662E" w:rsidRDefault="00D6662E" w:rsidP="00D6662E">
            <w:pPr>
              <w:rPr>
                <w:rFonts w:ascii="Verdana" w:hAnsi="Verdana"/>
              </w:rPr>
            </w:pPr>
            <w:r>
              <w:rPr>
                <w:rFonts w:ascii="Verdana" w:hAnsi="Verdana"/>
              </w:rPr>
              <w:t>Clerk to the Corporation</w:t>
            </w:r>
          </w:p>
          <w:p w14:paraId="2FFBCDE7" w14:textId="77777777" w:rsidR="00E93DF3" w:rsidRPr="00364C92" w:rsidRDefault="00E93DF3" w:rsidP="00B106A2">
            <w:pPr>
              <w:rPr>
                <w:rFonts w:ascii="Verdana" w:hAnsi="Verdana"/>
              </w:rPr>
            </w:pPr>
          </w:p>
        </w:tc>
        <w:tc>
          <w:tcPr>
            <w:tcW w:w="5387" w:type="dxa"/>
          </w:tcPr>
          <w:p w14:paraId="705915EE" w14:textId="77777777" w:rsidR="00E93DF3" w:rsidRDefault="00D6662E" w:rsidP="008F4343">
            <w:pPr>
              <w:rPr>
                <w:rFonts w:ascii="Verdana" w:hAnsi="Verdana"/>
              </w:rPr>
            </w:pPr>
            <w:r w:rsidRPr="00D6662E">
              <w:rPr>
                <w:rFonts w:ascii="Verdana" w:hAnsi="Verdana"/>
              </w:rPr>
              <w:t>Make the internal audit report on governance (recruitment and succession)</w:t>
            </w:r>
            <w:r>
              <w:rPr>
                <w:rFonts w:ascii="Verdana" w:hAnsi="Verdana"/>
              </w:rPr>
              <w:t xml:space="preserve"> </w:t>
            </w:r>
            <w:r w:rsidRPr="00D6662E">
              <w:rPr>
                <w:rFonts w:ascii="Verdana" w:hAnsi="Verdana"/>
              </w:rPr>
              <w:t>available to the Governance &amp; Nominations Committee at its next meeting.</w:t>
            </w:r>
          </w:p>
          <w:p w14:paraId="6A16EE35" w14:textId="1BD5B3A2" w:rsidR="00D6662E" w:rsidRPr="00D6662E" w:rsidRDefault="00D6662E" w:rsidP="008F4343">
            <w:pPr>
              <w:rPr>
                <w:rFonts w:ascii="Verdana" w:hAnsi="Verdana"/>
              </w:rPr>
            </w:pPr>
          </w:p>
        </w:tc>
      </w:tr>
      <w:tr w:rsidR="00E93DF3" w:rsidRPr="00364C92" w14:paraId="7A03A995" w14:textId="77777777" w:rsidTr="00970693">
        <w:tc>
          <w:tcPr>
            <w:tcW w:w="1060" w:type="dxa"/>
          </w:tcPr>
          <w:p w14:paraId="35AE6DDD" w14:textId="5427AB4B" w:rsidR="00E93DF3" w:rsidRPr="001C5CEE" w:rsidRDefault="00D6662E" w:rsidP="008F4343">
            <w:pPr>
              <w:rPr>
                <w:rFonts w:ascii="Verdana" w:hAnsi="Verdana"/>
                <w:b/>
                <w:bCs/>
              </w:rPr>
            </w:pPr>
            <w:r>
              <w:rPr>
                <w:rFonts w:ascii="Verdana" w:hAnsi="Verdana"/>
                <w:b/>
                <w:bCs/>
              </w:rPr>
              <w:t>10</w:t>
            </w:r>
          </w:p>
        </w:tc>
        <w:tc>
          <w:tcPr>
            <w:tcW w:w="3017" w:type="dxa"/>
          </w:tcPr>
          <w:p w14:paraId="7FB985CE" w14:textId="5DE2346B" w:rsidR="00E93DF3" w:rsidRPr="00364C92" w:rsidRDefault="00D6662E" w:rsidP="00B106A2">
            <w:pPr>
              <w:rPr>
                <w:rFonts w:ascii="Verdana" w:hAnsi="Verdana"/>
              </w:rPr>
            </w:pPr>
            <w:r>
              <w:rPr>
                <w:rFonts w:ascii="Verdana" w:hAnsi="Verdana"/>
              </w:rPr>
              <w:t>External Audit Partner</w:t>
            </w:r>
          </w:p>
        </w:tc>
        <w:tc>
          <w:tcPr>
            <w:tcW w:w="5387" w:type="dxa"/>
          </w:tcPr>
          <w:p w14:paraId="4363BBA8" w14:textId="77777777" w:rsidR="00E93DF3" w:rsidRDefault="00D6662E" w:rsidP="008F4343">
            <w:pPr>
              <w:rPr>
                <w:rFonts w:ascii="Verdana" w:hAnsi="Verdana"/>
              </w:rPr>
            </w:pPr>
            <w:r>
              <w:rPr>
                <w:rFonts w:ascii="Verdana" w:hAnsi="Verdana"/>
              </w:rPr>
              <w:t>Amend errata in Financial Statements’ Audit Plan.</w:t>
            </w:r>
          </w:p>
          <w:p w14:paraId="0B4F3DD4" w14:textId="23E5D687" w:rsidR="00D6662E" w:rsidRPr="00364C92" w:rsidRDefault="00D6662E" w:rsidP="008F4343">
            <w:pPr>
              <w:rPr>
                <w:rFonts w:ascii="Verdana" w:hAnsi="Verdana"/>
              </w:rPr>
            </w:pPr>
          </w:p>
        </w:tc>
      </w:tr>
      <w:tr w:rsidR="00E93DF3" w:rsidRPr="00364C92" w14:paraId="06A97367" w14:textId="77777777" w:rsidTr="00970693">
        <w:tc>
          <w:tcPr>
            <w:tcW w:w="1060" w:type="dxa"/>
          </w:tcPr>
          <w:p w14:paraId="1A6F6812" w14:textId="1F1EE665" w:rsidR="00E93DF3" w:rsidRPr="001C5CEE" w:rsidRDefault="00595D4C" w:rsidP="008F4343">
            <w:pPr>
              <w:rPr>
                <w:rFonts w:ascii="Verdana" w:hAnsi="Verdana"/>
                <w:b/>
                <w:bCs/>
              </w:rPr>
            </w:pPr>
            <w:r>
              <w:rPr>
                <w:rFonts w:ascii="Verdana" w:hAnsi="Verdana"/>
                <w:b/>
                <w:bCs/>
              </w:rPr>
              <w:t>11</w:t>
            </w:r>
          </w:p>
        </w:tc>
        <w:tc>
          <w:tcPr>
            <w:tcW w:w="3017" w:type="dxa"/>
          </w:tcPr>
          <w:p w14:paraId="052CB51F" w14:textId="77777777" w:rsidR="00595D4C" w:rsidRDefault="00595D4C" w:rsidP="00595D4C">
            <w:pPr>
              <w:rPr>
                <w:rFonts w:ascii="Verdana" w:hAnsi="Verdana"/>
              </w:rPr>
            </w:pPr>
            <w:r>
              <w:rPr>
                <w:rFonts w:ascii="Verdana" w:hAnsi="Verdana"/>
              </w:rPr>
              <w:t>Senior Director of Finance &amp; Resources</w:t>
            </w:r>
          </w:p>
          <w:p w14:paraId="3EF842FF" w14:textId="77777777" w:rsidR="00E93DF3" w:rsidRPr="00364C92" w:rsidRDefault="00E93DF3" w:rsidP="00B106A2">
            <w:pPr>
              <w:rPr>
                <w:rFonts w:ascii="Verdana" w:hAnsi="Verdana"/>
              </w:rPr>
            </w:pPr>
          </w:p>
        </w:tc>
        <w:tc>
          <w:tcPr>
            <w:tcW w:w="5387" w:type="dxa"/>
          </w:tcPr>
          <w:p w14:paraId="51B6D256" w14:textId="6FE6134F" w:rsidR="00595D4C" w:rsidRDefault="00595D4C" w:rsidP="00595D4C">
            <w:pPr>
              <w:pStyle w:val="NoSpacing"/>
              <w:rPr>
                <w:rFonts w:ascii="Verdana" w:hAnsi="Verdana"/>
              </w:rPr>
            </w:pPr>
            <w:r>
              <w:rPr>
                <w:rFonts w:ascii="Verdana" w:hAnsi="Verdana"/>
              </w:rPr>
              <w:t>Prepare and submit a draft External Audit Re-Tendering Policy to the Audit Committee (November 2021) for approval on behalf of the Corporation.</w:t>
            </w:r>
          </w:p>
          <w:p w14:paraId="552EFCEA" w14:textId="77777777" w:rsidR="00E93DF3" w:rsidRPr="00364C92" w:rsidRDefault="00E93DF3" w:rsidP="008F4343">
            <w:pPr>
              <w:rPr>
                <w:rFonts w:ascii="Verdana" w:hAnsi="Verdana"/>
              </w:rPr>
            </w:pPr>
          </w:p>
        </w:tc>
      </w:tr>
      <w:tr w:rsidR="00E93DF3" w:rsidRPr="00364C92" w14:paraId="6232D1BE" w14:textId="77777777" w:rsidTr="00970693">
        <w:tc>
          <w:tcPr>
            <w:tcW w:w="1060" w:type="dxa"/>
          </w:tcPr>
          <w:p w14:paraId="2E38F1E3" w14:textId="327B1E93" w:rsidR="00E93DF3" w:rsidRPr="001C5CEE" w:rsidRDefault="00595D4C" w:rsidP="008F4343">
            <w:pPr>
              <w:rPr>
                <w:rFonts w:ascii="Verdana" w:hAnsi="Verdana"/>
                <w:b/>
                <w:bCs/>
              </w:rPr>
            </w:pPr>
            <w:r>
              <w:rPr>
                <w:rFonts w:ascii="Verdana" w:hAnsi="Verdana"/>
                <w:b/>
                <w:bCs/>
              </w:rPr>
              <w:t>11</w:t>
            </w:r>
          </w:p>
        </w:tc>
        <w:tc>
          <w:tcPr>
            <w:tcW w:w="3017" w:type="dxa"/>
          </w:tcPr>
          <w:p w14:paraId="0D5D2E2F" w14:textId="77777777" w:rsidR="00595D4C" w:rsidRDefault="00595D4C" w:rsidP="00595D4C">
            <w:pPr>
              <w:rPr>
                <w:rFonts w:ascii="Verdana" w:hAnsi="Verdana"/>
              </w:rPr>
            </w:pPr>
            <w:r>
              <w:rPr>
                <w:rFonts w:ascii="Verdana" w:hAnsi="Verdana"/>
              </w:rPr>
              <w:t>Senior Director of Finance &amp; Resources</w:t>
            </w:r>
          </w:p>
          <w:p w14:paraId="59A45234" w14:textId="77777777" w:rsidR="00E93DF3" w:rsidRPr="00364C92" w:rsidRDefault="00E93DF3" w:rsidP="00B106A2">
            <w:pPr>
              <w:rPr>
                <w:rFonts w:ascii="Verdana" w:hAnsi="Verdana"/>
              </w:rPr>
            </w:pPr>
          </w:p>
        </w:tc>
        <w:tc>
          <w:tcPr>
            <w:tcW w:w="5387" w:type="dxa"/>
          </w:tcPr>
          <w:p w14:paraId="60BAC94B" w14:textId="5946C722" w:rsidR="00E93DF3" w:rsidRDefault="00595D4C" w:rsidP="008F4343">
            <w:pPr>
              <w:rPr>
                <w:rFonts w:ascii="Verdana" w:hAnsi="Verdana"/>
              </w:rPr>
            </w:pPr>
            <w:r>
              <w:rPr>
                <w:rFonts w:ascii="Verdana" w:hAnsi="Verdana"/>
              </w:rPr>
              <w:t>Prepare an external audit tender document, and submit it for approval by the Committee (either through a special meeting, or by circulated written resolution) such that tenders are received by the end of the Autumn Term 2021-22.</w:t>
            </w:r>
          </w:p>
          <w:p w14:paraId="0FF26C56" w14:textId="0DBB2D05" w:rsidR="00595D4C" w:rsidRPr="00364C92" w:rsidRDefault="00595D4C" w:rsidP="008F4343">
            <w:pPr>
              <w:rPr>
                <w:rFonts w:ascii="Verdana" w:hAnsi="Verdana"/>
              </w:rPr>
            </w:pPr>
          </w:p>
        </w:tc>
      </w:tr>
      <w:tr w:rsidR="00FE7E14" w:rsidRPr="00364C92" w14:paraId="17C2A56F" w14:textId="77777777" w:rsidTr="00970693">
        <w:tc>
          <w:tcPr>
            <w:tcW w:w="1060" w:type="dxa"/>
          </w:tcPr>
          <w:p w14:paraId="41B34A41" w14:textId="465AF50A" w:rsidR="00FE7E14" w:rsidRDefault="00FE7E14" w:rsidP="008F4343">
            <w:pPr>
              <w:rPr>
                <w:rFonts w:ascii="Verdana" w:hAnsi="Verdana"/>
                <w:b/>
                <w:bCs/>
              </w:rPr>
            </w:pPr>
            <w:r>
              <w:rPr>
                <w:rFonts w:ascii="Verdana" w:hAnsi="Verdana"/>
                <w:b/>
                <w:bCs/>
              </w:rPr>
              <w:t>13</w:t>
            </w:r>
          </w:p>
        </w:tc>
        <w:tc>
          <w:tcPr>
            <w:tcW w:w="3017" w:type="dxa"/>
          </w:tcPr>
          <w:p w14:paraId="16346CCB" w14:textId="200151AA" w:rsidR="00FE7E14" w:rsidRDefault="00FE7E14" w:rsidP="00595D4C">
            <w:pPr>
              <w:rPr>
                <w:rFonts w:ascii="Verdana" w:hAnsi="Verdana"/>
              </w:rPr>
            </w:pPr>
            <w:r>
              <w:rPr>
                <w:rFonts w:ascii="Verdana" w:hAnsi="Verdana"/>
              </w:rPr>
              <w:t>Clerk to the Corporation</w:t>
            </w:r>
          </w:p>
        </w:tc>
        <w:tc>
          <w:tcPr>
            <w:tcW w:w="5387" w:type="dxa"/>
          </w:tcPr>
          <w:p w14:paraId="743E5EAA" w14:textId="7A6D103D" w:rsidR="00FE7E14" w:rsidRDefault="00FE7E14" w:rsidP="008F4343">
            <w:pPr>
              <w:rPr>
                <w:rFonts w:ascii="Verdana" w:hAnsi="Verdana"/>
              </w:rPr>
            </w:pPr>
            <w:r>
              <w:rPr>
                <w:rFonts w:ascii="Verdana" w:hAnsi="Verdana"/>
              </w:rPr>
              <w:t>Propose an induction programme for members of the Audit Committee.</w:t>
            </w:r>
          </w:p>
        </w:tc>
      </w:tr>
    </w:tbl>
    <w:p w14:paraId="53B78268" w14:textId="77777777" w:rsidR="00E42868" w:rsidRDefault="00E42868" w:rsidP="001E3DD7"/>
    <w:p w14:paraId="7C7A09A8" w14:textId="70D1638C" w:rsidR="00613FA4" w:rsidRDefault="00613FA4" w:rsidP="001E3DD7"/>
    <w:p w14:paraId="2BE4D2E5" w14:textId="047B575D" w:rsidR="00613FA4" w:rsidRDefault="00613FA4" w:rsidP="001E3DD7"/>
    <w:p w14:paraId="0AD338CB" w14:textId="64368B73" w:rsidR="00613FA4" w:rsidRDefault="00613FA4" w:rsidP="001E3DD7"/>
    <w:p w14:paraId="25D8E4B6" w14:textId="0CCAF2C3" w:rsidR="009527E1" w:rsidRDefault="009527E1" w:rsidP="001E3DD7"/>
    <w:p w14:paraId="60CFD1BE" w14:textId="1FAE5AFD" w:rsidR="009527E1" w:rsidRDefault="009527E1" w:rsidP="001E3DD7"/>
    <w:p w14:paraId="7EE56423" w14:textId="413F96D0" w:rsidR="009527E1" w:rsidRDefault="009527E1" w:rsidP="001E3DD7"/>
    <w:p w14:paraId="3F898C65" w14:textId="1ADBC893" w:rsidR="009527E1" w:rsidRDefault="009527E1" w:rsidP="001E3DD7"/>
    <w:p w14:paraId="7CAA669F" w14:textId="77777777" w:rsidR="009527E1" w:rsidRDefault="009527E1" w:rsidP="001E3DD7"/>
    <w:p w14:paraId="5C691EB5" w14:textId="47CBEE47" w:rsidR="00AC2106" w:rsidRDefault="00AC2106" w:rsidP="001E3DD7"/>
    <w:p w14:paraId="000F478D" w14:textId="77777777" w:rsidR="009149E4" w:rsidRDefault="009149E4" w:rsidP="001E3DD7"/>
    <w:p w14:paraId="277EA72B" w14:textId="2148AA5E" w:rsidR="00253435" w:rsidRDefault="00253435" w:rsidP="001E3DD7"/>
    <w:p w14:paraId="2FF685E5" w14:textId="7D325128" w:rsidR="0044593F" w:rsidRDefault="0044593F" w:rsidP="001E3DD7"/>
    <w:p w14:paraId="600516B6" w14:textId="696ADDAC" w:rsidR="00AF2279" w:rsidRDefault="00AF2279" w:rsidP="001E3DD7"/>
    <w:p w14:paraId="4CBE5350" w14:textId="6D78AF20" w:rsidR="00506E65" w:rsidRDefault="00506E65" w:rsidP="00506E65"/>
    <w:p w14:paraId="6C556E5A" w14:textId="77777777" w:rsidR="00506E65" w:rsidRDefault="00506E65" w:rsidP="00506E65"/>
    <w:p w14:paraId="470DC78D" w14:textId="77777777" w:rsidR="00506E65" w:rsidRDefault="00506E65" w:rsidP="00506E65"/>
    <w:p w14:paraId="7E531D10" w14:textId="77777777" w:rsidR="00506E65" w:rsidRDefault="00506E65" w:rsidP="00506E65"/>
    <w:p w14:paraId="0617D049" w14:textId="70F8F982" w:rsidR="00AF2279" w:rsidRDefault="00AF2279" w:rsidP="001E3DD7"/>
    <w:p w14:paraId="185705C6" w14:textId="325CAEF1" w:rsidR="00506E65" w:rsidRDefault="00506E65" w:rsidP="001E3DD7"/>
    <w:p w14:paraId="28B030FD" w14:textId="7C7CEBF3" w:rsidR="00092982" w:rsidRDefault="00092982" w:rsidP="001E3DD7"/>
    <w:p w14:paraId="5F74BF5D" w14:textId="13084221" w:rsidR="00092982" w:rsidRDefault="00092982" w:rsidP="001E3DD7"/>
    <w:p w14:paraId="225AE2D9" w14:textId="05D33221" w:rsidR="00B3680E" w:rsidRDefault="00B3680E" w:rsidP="001E3DD7">
      <w:pPr>
        <w:rPr>
          <w:rFonts w:ascii="Verdana" w:hAnsi="Verdana"/>
        </w:rPr>
      </w:pPr>
    </w:p>
    <w:p w14:paraId="23E54D69" w14:textId="77777777" w:rsidR="00092982" w:rsidRDefault="00092982" w:rsidP="001E3DD7">
      <w:pPr>
        <w:rPr>
          <w:rFonts w:ascii="Verdana" w:hAnsi="Verdana"/>
        </w:rPr>
      </w:pPr>
    </w:p>
    <w:p w14:paraId="72DCC4EC" w14:textId="099633E9" w:rsidR="005F7E8E" w:rsidRDefault="005F7E8E" w:rsidP="001E3DD7">
      <w:pPr>
        <w:rPr>
          <w:rFonts w:ascii="Verdana" w:hAnsi="Verdana"/>
        </w:rPr>
      </w:pPr>
    </w:p>
    <w:p w14:paraId="14C52113" w14:textId="7D73B29D" w:rsidR="005F7E8E" w:rsidRDefault="005F7E8E" w:rsidP="001E3DD7">
      <w:pPr>
        <w:rPr>
          <w:rFonts w:ascii="Verdana" w:hAnsi="Verdana"/>
        </w:rPr>
      </w:pPr>
    </w:p>
    <w:p w14:paraId="5C286605" w14:textId="77777777" w:rsidR="005F7E8E" w:rsidRDefault="005F7E8E" w:rsidP="005F7E8E">
      <w:pPr>
        <w:rPr>
          <w:rFonts w:ascii="Verdana" w:hAnsi="Verdana"/>
        </w:rPr>
      </w:pPr>
    </w:p>
    <w:p w14:paraId="5F6B5CB5" w14:textId="3BF1C1A8" w:rsidR="005F7E8E" w:rsidRDefault="005F7E8E" w:rsidP="001E3DD7">
      <w:pPr>
        <w:rPr>
          <w:rFonts w:ascii="Verdana" w:hAnsi="Verdana"/>
        </w:rPr>
      </w:pPr>
    </w:p>
    <w:p w14:paraId="35AA7BB5" w14:textId="755DC3B5" w:rsidR="00F408F9" w:rsidRDefault="00F408F9" w:rsidP="001E3DD7">
      <w:pPr>
        <w:rPr>
          <w:rFonts w:ascii="Verdana" w:hAnsi="Verdana"/>
        </w:rPr>
      </w:pPr>
    </w:p>
    <w:p w14:paraId="208DA7BA" w14:textId="77777777" w:rsidR="00F408F9" w:rsidRDefault="00F408F9" w:rsidP="001E3DD7">
      <w:pPr>
        <w:rPr>
          <w:rFonts w:ascii="Verdana" w:hAnsi="Verdana"/>
        </w:rPr>
      </w:pPr>
    </w:p>
    <w:sectPr w:rsidR="00F408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ACF58" w14:textId="77777777" w:rsidR="006629EF" w:rsidRDefault="006629EF" w:rsidP="006629EF">
      <w:r>
        <w:separator/>
      </w:r>
    </w:p>
  </w:endnote>
  <w:endnote w:type="continuationSeparator" w:id="0">
    <w:p w14:paraId="7FBAE578" w14:textId="77777777" w:rsidR="006629EF" w:rsidRDefault="006629EF" w:rsidP="0066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ED3DD" w14:textId="77777777" w:rsidR="006629EF" w:rsidRDefault="006629EF" w:rsidP="006629EF">
      <w:r>
        <w:separator/>
      </w:r>
    </w:p>
  </w:footnote>
  <w:footnote w:type="continuationSeparator" w:id="0">
    <w:p w14:paraId="6A0B9DC4" w14:textId="77777777" w:rsidR="006629EF" w:rsidRDefault="006629EF" w:rsidP="00662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4028"/>
    <w:multiLevelType w:val="hybridMultilevel"/>
    <w:tmpl w:val="C47C5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D253D"/>
    <w:multiLevelType w:val="hybridMultilevel"/>
    <w:tmpl w:val="8C147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92D58"/>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65B92"/>
    <w:multiLevelType w:val="hybridMultilevel"/>
    <w:tmpl w:val="2C4CCA96"/>
    <w:lvl w:ilvl="0" w:tplc="8FBA5FD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A3255B"/>
    <w:multiLevelType w:val="hybridMultilevel"/>
    <w:tmpl w:val="1632B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36728C"/>
    <w:multiLevelType w:val="hybridMultilevel"/>
    <w:tmpl w:val="7B828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741F03"/>
    <w:multiLevelType w:val="hybridMultilevel"/>
    <w:tmpl w:val="D33AD4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4AA1AB9"/>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B40BE9"/>
    <w:multiLevelType w:val="hybridMultilevel"/>
    <w:tmpl w:val="45507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2C1736"/>
    <w:multiLevelType w:val="hybridMultilevel"/>
    <w:tmpl w:val="74847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4E3579"/>
    <w:multiLevelType w:val="hybridMultilevel"/>
    <w:tmpl w:val="4F329E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5C41EB"/>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83529C"/>
    <w:multiLevelType w:val="hybridMultilevel"/>
    <w:tmpl w:val="EA382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FD3718"/>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985BC6"/>
    <w:multiLevelType w:val="hybridMultilevel"/>
    <w:tmpl w:val="F93AC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0B6074"/>
    <w:multiLevelType w:val="hybridMultilevel"/>
    <w:tmpl w:val="84F663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88330D"/>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586330"/>
    <w:multiLevelType w:val="hybridMultilevel"/>
    <w:tmpl w:val="0B003A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5468B2"/>
    <w:multiLevelType w:val="hybridMultilevel"/>
    <w:tmpl w:val="884411EA"/>
    <w:lvl w:ilvl="0" w:tplc="8FBA5FDE">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585744"/>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D35C79"/>
    <w:multiLevelType w:val="hybridMultilevel"/>
    <w:tmpl w:val="957AE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BF6A07"/>
    <w:multiLevelType w:val="hybridMultilevel"/>
    <w:tmpl w:val="E5AC8990"/>
    <w:lvl w:ilvl="0" w:tplc="6E343A66">
      <w:start w:val="2"/>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CA5606"/>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A004F3"/>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
  </w:num>
  <w:num w:numId="3">
    <w:abstractNumId w:val="8"/>
  </w:num>
  <w:num w:numId="4">
    <w:abstractNumId w:val="14"/>
  </w:num>
  <w:num w:numId="5">
    <w:abstractNumId w:val="19"/>
  </w:num>
  <w:num w:numId="6">
    <w:abstractNumId w:val="22"/>
  </w:num>
  <w:num w:numId="7">
    <w:abstractNumId w:val="23"/>
  </w:num>
  <w:num w:numId="8">
    <w:abstractNumId w:val="13"/>
  </w:num>
  <w:num w:numId="9">
    <w:abstractNumId w:val="7"/>
  </w:num>
  <w:num w:numId="10">
    <w:abstractNumId w:val="16"/>
  </w:num>
  <w:num w:numId="11">
    <w:abstractNumId w:val="11"/>
  </w:num>
  <w:num w:numId="12">
    <w:abstractNumId w:val="21"/>
  </w:num>
  <w:num w:numId="13">
    <w:abstractNumId w:val="20"/>
  </w:num>
  <w:num w:numId="14">
    <w:abstractNumId w:val="9"/>
  </w:num>
  <w:num w:numId="15">
    <w:abstractNumId w:val="3"/>
  </w:num>
  <w:num w:numId="16">
    <w:abstractNumId w:val="18"/>
  </w:num>
  <w:num w:numId="17">
    <w:abstractNumId w:val="15"/>
  </w:num>
  <w:num w:numId="18">
    <w:abstractNumId w:val="4"/>
  </w:num>
  <w:num w:numId="19">
    <w:abstractNumId w:val="12"/>
  </w:num>
  <w:num w:numId="20">
    <w:abstractNumId w:val="6"/>
  </w:num>
  <w:num w:numId="21">
    <w:abstractNumId w:val="10"/>
  </w:num>
  <w:num w:numId="22">
    <w:abstractNumId w:val="1"/>
  </w:num>
  <w:num w:numId="23">
    <w:abstractNumId w:val="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44"/>
    <w:rsid w:val="00000B1E"/>
    <w:rsid w:val="0001068A"/>
    <w:rsid w:val="00014B21"/>
    <w:rsid w:val="00014DE5"/>
    <w:rsid w:val="0001734B"/>
    <w:rsid w:val="0002033F"/>
    <w:rsid w:val="00045068"/>
    <w:rsid w:val="000450F3"/>
    <w:rsid w:val="00046183"/>
    <w:rsid w:val="00046D92"/>
    <w:rsid w:val="000650CF"/>
    <w:rsid w:val="000659A2"/>
    <w:rsid w:val="00070ACD"/>
    <w:rsid w:val="00071E93"/>
    <w:rsid w:val="000737A1"/>
    <w:rsid w:val="000746F0"/>
    <w:rsid w:val="0007589E"/>
    <w:rsid w:val="00075F65"/>
    <w:rsid w:val="00084DE6"/>
    <w:rsid w:val="00087D0D"/>
    <w:rsid w:val="00092982"/>
    <w:rsid w:val="00093289"/>
    <w:rsid w:val="00093C1C"/>
    <w:rsid w:val="000A2BA7"/>
    <w:rsid w:val="000A305E"/>
    <w:rsid w:val="000A5108"/>
    <w:rsid w:val="000B4D05"/>
    <w:rsid w:val="000B51B3"/>
    <w:rsid w:val="000B67BB"/>
    <w:rsid w:val="000C09FF"/>
    <w:rsid w:val="000C0E89"/>
    <w:rsid w:val="000C355C"/>
    <w:rsid w:val="000C3E71"/>
    <w:rsid w:val="000C4217"/>
    <w:rsid w:val="000C4AF5"/>
    <w:rsid w:val="000C4DF1"/>
    <w:rsid w:val="000C693A"/>
    <w:rsid w:val="000D106C"/>
    <w:rsid w:val="000D2FAB"/>
    <w:rsid w:val="000D54B6"/>
    <w:rsid w:val="000F2E5A"/>
    <w:rsid w:val="000F42EC"/>
    <w:rsid w:val="000F712E"/>
    <w:rsid w:val="000F7B8E"/>
    <w:rsid w:val="00105BD9"/>
    <w:rsid w:val="00105C77"/>
    <w:rsid w:val="00106B4B"/>
    <w:rsid w:val="00111655"/>
    <w:rsid w:val="0011288E"/>
    <w:rsid w:val="001135A9"/>
    <w:rsid w:val="00122679"/>
    <w:rsid w:val="00124F68"/>
    <w:rsid w:val="00130DE9"/>
    <w:rsid w:val="00136E89"/>
    <w:rsid w:val="00142D27"/>
    <w:rsid w:val="0014424C"/>
    <w:rsid w:val="00152AA4"/>
    <w:rsid w:val="0015389C"/>
    <w:rsid w:val="0016277E"/>
    <w:rsid w:val="001654C2"/>
    <w:rsid w:val="001663E1"/>
    <w:rsid w:val="00174030"/>
    <w:rsid w:val="00192A58"/>
    <w:rsid w:val="0019349D"/>
    <w:rsid w:val="00194970"/>
    <w:rsid w:val="00196907"/>
    <w:rsid w:val="001A4173"/>
    <w:rsid w:val="001A6582"/>
    <w:rsid w:val="001B1F90"/>
    <w:rsid w:val="001B7401"/>
    <w:rsid w:val="001C0700"/>
    <w:rsid w:val="001C376C"/>
    <w:rsid w:val="001C5467"/>
    <w:rsid w:val="001C5CEE"/>
    <w:rsid w:val="001C6537"/>
    <w:rsid w:val="001D154D"/>
    <w:rsid w:val="001D387D"/>
    <w:rsid w:val="001D5792"/>
    <w:rsid w:val="001D69F0"/>
    <w:rsid w:val="001D6A14"/>
    <w:rsid w:val="001E39C2"/>
    <w:rsid w:val="001E3DD7"/>
    <w:rsid w:val="001E6BC3"/>
    <w:rsid w:val="001F0362"/>
    <w:rsid w:val="001F09C5"/>
    <w:rsid w:val="001F0A16"/>
    <w:rsid w:val="001F2571"/>
    <w:rsid w:val="001F27B5"/>
    <w:rsid w:val="001F2D5D"/>
    <w:rsid w:val="001F39DF"/>
    <w:rsid w:val="001F6A23"/>
    <w:rsid w:val="002253B9"/>
    <w:rsid w:val="00225B2A"/>
    <w:rsid w:val="002278B4"/>
    <w:rsid w:val="00230451"/>
    <w:rsid w:val="00235316"/>
    <w:rsid w:val="00236D41"/>
    <w:rsid w:val="00237E7D"/>
    <w:rsid w:val="00240162"/>
    <w:rsid w:val="0024192C"/>
    <w:rsid w:val="00244153"/>
    <w:rsid w:val="002467D4"/>
    <w:rsid w:val="00247051"/>
    <w:rsid w:val="00253435"/>
    <w:rsid w:val="002572F1"/>
    <w:rsid w:val="002609E4"/>
    <w:rsid w:val="00261239"/>
    <w:rsid w:val="0026130C"/>
    <w:rsid w:val="00285AE5"/>
    <w:rsid w:val="002872E2"/>
    <w:rsid w:val="00290402"/>
    <w:rsid w:val="002942FD"/>
    <w:rsid w:val="002A063B"/>
    <w:rsid w:val="002B205E"/>
    <w:rsid w:val="002B4AC1"/>
    <w:rsid w:val="002C275C"/>
    <w:rsid w:val="002D2153"/>
    <w:rsid w:val="002D7DD1"/>
    <w:rsid w:val="002E1341"/>
    <w:rsid w:val="002E452F"/>
    <w:rsid w:val="002E6164"/>
    <w:rsid w:val="002E709A"/>
    <w:rsid w:val="002F18D4"/>
    <w:rsid w:val="002F2E11"/>
    <w:rsid w:val="00300468"/>
    <w:rsid w:val="003022C5"/>
    <w:rsid w:val="0030784F"/>
    <w:rsid w:val="0031009C"/>
    <w:rsid w:val="00313A76"/>
    <w:rsid w:val="0032147C"/>
    <w:rsid w:val="003222F7"/>
    <w:rsid w:val="00325A8D"/>
    <w:rsid w:val="0032692D"/>
    <w:rsid w:val="00333B5E"/>
    <w:rsid w:val="00333D77"/>
    <w:rsid w:val="0033635E"/>
    <w:rsid w:val="00336BDA"/>
    <w:rsid w:val="003473E5"/>
    <w:rsid w:val="0035304B"/>
    <w:rsid w:val="00354D3F"/>
    <w:rsid w:val="003567AF"/>
    <w:rsid w:val="00356EB2"/>
    <w:rsid w:val="00357D02"/>
    <w:rsid w:val="00361AA7"/>
    <w:rsid w:val="003620F7"/>
    <w:rsid w:val="00364C92"/>
    <w:rsid w:val="0036721B"/>
    <w:rsid w:val="003704C0"/>
    <w:rsid w:val="00373324"/>
    <w:rsid w:val="00386CB6"/>
    <w:rsid w:val="003871A7"/>
    <w:rsid w:val="00390501"/>
    <w:rsid w:val="00390A6F"/>
    <w:rsid w:val="003A20F3"/>
    <w:rsid w:val="003B17A1"/>
    <w:rsid w:val="003B29B5"/>
    <w:rsid w:val="003B70E5"/>
    <w:rsid w:val="003C5512"/>
    <w:rsid w:val="003C6968"/>
    <w:rsid w:val="003C7856"/>
    <w:rsid w:val="003D593C"/>
    <w:rsid w:val="003D667F"/>
    <w:rsid w:val="003E016D"/>
    <w:rsid w:val="003E1387"/>
    <w:rsid w:val="003E52E0"/>
    <w:rsid w:val="003F2344"/>
    <w:rsid w:val="003F4D9E"/>
    <w:rsid w:val="003F6A2D"/>
    <w:rsid w:val="00402457"/>
    <w:rsid w:val="00402BBA"/>
    <w:rsid w:val="00404920"/>
    <w:rsid w:val="00404AAF"/>
    <w:rsid w:val="004102C1"/>
    <w:rsid w:val="00416E10"/>
    <w:rsid w:val="004211C1"/>
    <w:rsid w:val="00421743"/>
    <w:rsid w:val="00440ABE"/>
    <w:rsid w:val="0044247E"/>
    <w:rsid w:val="0044456E"/>
    <w:rsid w:val="004446AD"/>
    <w:rsid w:val="0044593F"/>
    <w:rsid w:val="00445FB4"/>
    <w:rsid w:val="0044668F"/>
    <w:rsid w:val="004474DE"/>
    <w:rsid w:val="00447D20"/>
    <w:rsid w:val="0045257F"/>
    <w:rsid w:val="00452BAB"/>
    <w:rsid w:val="00453484"/>
    <w:rsid w:val="00454AE2"/>
    <w:rsid w:val="0045734E"/>
    <w:rsid w:val="00460284"/>
    <w:rsid w:val="00463F8A"/>
    <w:rsid w:val="00464510"/>
    <w:rsid w:val="004677BC"/>
    <w:rsid w:val="00475B6C"/>
    <w:rsid w:val="0047637E"/>
    <w:rsid w:val="004801C1"/>
    <w:rsid w:val="00480E4C"/>
    <w:rsid w:val="00483E82"/>
    <w:rsid w:val="00485567"/>
    <w:rsid w:val="00491028"/>
    <w:rsid w:val="00491FC5"/>
    <w:rsid w:val="0049664D"/>
    <w:rsid w:val="004A53A7"/>
    <w:rsid w:val="004A5AF6"/>
    <w:rsid w:val="004A7D2D"/>
    <w:rsid w:val="004B09AD"/>
    <w:rsid w:val="004B0A3A"/>
    <w:rsid w:val="004C1BEA"/>
    <w:rsid w:val="004C1F85"/>
    <w:rsid w:val="004C21FD"/>
    <w:rsid w:val="004C2E77"/>
    <w:rsid w:val="004C429A"/>
    <w:rsid w:val="004C62D3"/>
    <w:rsid w:val="004D3322"/>
    <w:rsid w:val="004D696D"/>
    <w:rsid w:val="004D7AB5"/>
    <w:rsid w:val="004E177E"/>
    <w:rsid w:val="004E4553"/>
    <w:rsid w:val="004E553E"/>
    <w:rsid w:val="004E6944"/>
    <w:rsid w:val="004E6B7D"/>
    <w:rsid w:val="004F2566"/>
    <w:rsid w:val="004F4837"/>
    <w:rsid w:val="00503CF7"/>
    <w:rsid w:val="0050652E"/>
    <w:rsid w:val="00506E65"/>
    <w:rsid w:val="0050794E"/>
    <w:rsid w:val="00511D8F"/>
    <w:rsid w:val="005147A8"/>
    <w:rsid w:val="00516439"/>
    <w:rsid w:val="0051682F"/>
    <w:rsid w:val="00517FA2"/>
    <w:rsid w:val="00520832"/>
    <w:rsid w:val="00520A6C"/>
    <w:rsid w:val="00526892"/>
    <w:rsid w:val="00532DB1"/>
    <w:rsid w:val="005357B2"/>
    <w:rsid w:val="00541A4F"/>
    <w:rsid w:val="00553302"/>
    <w:rsid w:val="005622C8"/>
    <w:rsid w:val="005624B6"/>
    <w:rsid w:val="00562752"/>
    <w:rsid w:val="00564260"/>
    <w:rsid w:val="005667AD"/>
    <w:rsid w:val="005678BD"/>
    <w:rsid w:val="005700E5"/>
    <w:rsid w:val="005755FD"/>
    <w:rsid w:val="005855A5"/>
    <w:rsid w:val="00595D4C"/>
    <w:rsid w:val="005A24F9"/>
    <w:rsid w:val="005A584E"/>
    <w:rsid w:val="005A6865"/>
    <w:rsid w:val="005B2803"/>
    <w:rsid w:val="005C01C6"/>
    <w:rsid w:val="005C118F"/>
    <w:rsid w:val="005C177E"/>
    <w:rsid w:val="005C77F3"/>
    <w:rsid w:val="005D5408"/>
    <w:rsid w:val="005D7486"/>
    <w:rsid w:val="005E574D"/>
    <w:rsid w:val="005E58B1"/>
    <w:rsid w:val="005E5D19"/>
    <w:rsid w:val="005F7E8E"/>
    <w:rsid w:val="0060356A"/>
    <w:rsid w:val="00604BA8"/>
    <w:rsid w:val="00607AAF"/>
    <w:rsid w:val="00611D29"/>
    <w:rsid w:val="0061317E"/>
    <w:rsid w:val="00613F79"/>
    <w:rsid w:val="00613FA4"/>
    <w:rsid w:val="00615275"/>
    <w:rsid w:val="00620DF9"/>
    <w:rsid w:val="0062193D"/>
    <w:rsid w:val="0062593E"/>
    <w:rsid w:val="0063396E"/>
    <w:rsid w:val="00645BAB"/>
    <w:rsid w:val="006467F8"/>
    <w:rsid w:val="00646B64"/>
    <w:rsid w:val="00652CF7"/>
    <w:rsid w:val="00662716"/>
    <w:rsid w:val="006629EF"/>
    <w:rsid w:val="006641C2"/>
    <w:rsid w:val="00667041"/>
    <w:rsid w:val="00670F59"/>
    <w:rsid w:val="00672BCB"/>
    <w:rsid w:val="00674EB7"/>
    <w:rsid w:val="00676506"/>
    <w:rsid w:val="006774AD"/>
    <w:rsid w:val="00681B37"/>
    <w:rsid w:val="00682E93"/>
    <w:rsid w:val="00690C75"/>
    <w:rsid w:val="006960DA"/>
    <w:rsid w:val="006A0F3B"/>
    <w:rsid w:val="006A0F70"/>
    <w:rsid w:val="006A2BBC"/>
    <w:rsid w:val="006A5A4C"/>
    <w:rsid w:val="006A5B66"/>
    <w:rsid w:val="006A7D7F"/>
    <w:rsid w:val="006B209B"/>
    <w:rsid w:val="006B395A"/>
    <w:rsid w:val="006B53E5"/>
    <w:rsid w:val="006C0131"/>
    <w:rsid w:val="006C623F"/>
    <w:rsid w:val="006D08C2"/>
    <w:rsid w:val="006D615C"/>
    <w:rsid w:val="006E647A"/>
    <w:rsid w:val="006E6CB5"/>
    <w:rsid w:val="006E6E99"/>
    <w:rsid w:val="006F0CB6"/>
    <w:rsid w:val="006F1D37"/>
    <w:rsid w:val="006F5983"/>
    <w:rsid w:val="006F5DE9"/>
    <w:rsid w:val="0070631E"/>
    <w:rsid w:val="0071120D"/>
    <w:rsid w:val="007207D6"/>
    <w:rsid w:val="00721223"/>
    <w:rsid w:val="00733CAA"/>
    <w:rsid w:val="0073446A"/>
    <w:rsid w:val="00734F7A"/>
    <w:rsid w:val="00735614"/>
    <w:rsid w:val="0073726D"/>
    <w:rsid w:val="00740AC1"/>
    <w:rsid w:val="007419A6"/>
    <w:rsid w:val="00742F9D"/>
    <w:rsid w:val="00745789"/>
    <w:rsid w:val="007470FD"/>
    <w:rsid w:val="00750987"/>
    <w:rsid w:val="00753468"/>
    <w:rsid w:val="0076178E"/>
    <w:rsid w:val="007763F4"/>
    <w:rsid w:val="007840EE"/>
    <w:rsid w:val="007913F1"/>
    <w:rsid w:val="0079247D"/>
    <w:rsid w:val="00793D70"/>
    <w:rsid w:val="007941E7"/>
    <w:rsid w:val="0079462A"/>
    <w:rsid w:val="007B008B"/>
    <w:rsid w:val="007B3334"/>
    <w:rsid w:val="007B565C"/>
    <w:rsid w:val="007C05C2"/>
    <w:rsid w:val="007C0793"/>
    <w:rsid w:val="007C2A69"/>
    <w:rsid w:val="007C587F"/>
    <w:rsid w:val="007C7AEE"/>
    <w:rsid w:val="007D159E"/>
    <w:rsid w:val="007D268C"/>
    <w:rsid w:val="007D29CA"/>
    <w:rsid w:val="007E1310"/>
    <w:rsid w:val="007E22A3"/>
    <w:rsid w:val="007E2CA5"/>
    <w:rsid w:val="007E6A1F"/>
    <w:rsid w:val="007E7A0E"/>
    <w:rsid w:val="00802441"/>
    <w:rsid w:val="008071D5"/>
    <w:rsid w:val="00807CF4"/>
    <w:rsid w:val="00810539"/>
    <w:rsid w:val="0081485B"/>
    <w:rsid w:val="00824F51"/>
    <w:rsid w:val="008319FF"/>
    <w:rsid w:val="00832DBF"/>
    <w:rsid w:val="00834244"/>
    <w:rsid w:val="008354E2"/>
    <w:rsid w:val="008362A5"/>
    <w:rsid w:val="00837246"/>
    <w:rsid w:val="008408E0"/>
    <w:rsid w:val="00844A0B"/>
    <w:rsid w:val="00851E3D"/>
    <w:rsid w:val="008558AB"/>
    <w:rsid w:val="0085621B"/>
    <w:rsid w:val="00857D9F"/>
    <w:rsid w:val="0086139B"/>
    <w:rsid w:val="00867A6A"/>
    <w:rsid w:val="00872409"/>
    <w:rsid w:val="00873232"/>
    <w:rsid w:val="00873FC5"/>
    <w:rsid w:val="00887EA4"/>
    <w:rsid w:val="008924AA"/>
    <w:rsid w:val="00893FB8"/>
    <w:rsid w:val="00894A76"/>
    <w:rsid w:val="00894E07"/>
    <w:rsid w:val="008A47F2"/>
    <w:rsid w:val="008A77A2"/>
    <w:rsid w:val="008B4009"/>
    <w:rsid w:val="008C1EE0"/>
    <w:rsid w:val="008C25A1"/>
    <w:rsid w:val="008C5678"/>
    <w:rsid w:val="008D25DC"/>
    <w:rsid w:val="008E11DF"/>
    <w:rsid w:val="008E24FB"/>
    <w:rsid w:val="008E7F0E"/>
    <w:rsid w:val="008F02FB"/>
    <w:rsid w:val="008F1FAC"/>
    <w:rsid w:val="008F37CD"/>
    <w:rsid w:val="008F4343"/>
    <w:rsid w:val="008F7EE4"/>
    <w:rsid w:val="009008B1"/>
    <w:rsid w:val="00902C0F"/>
    <w:rsid w:val="009030DE"/>
    <w:rsid w:val="00903D2C"/>
    <w:rsid w:val="009100AA"/>
    <w:rsid w:val="009149E4"/>
    <w:rsid w:val="009203C0"/>
    <w:rsid w:val="009213D6"/>
    <w:rsid w:val="00926BE3"/>
    <w:rsid w:val="00927586"/>
    <w:rsid w:val="00927608"/>
    <w:rsid w:val="00930BB2"/>
    <w:rsid w:val="00931DC3"/>
    <w:rsid w:val="00947C4E"/>
    <w:rsid w:val="00947E04"/>
    <w:rsid w:val="009527E1"/>
    <w:rsid w:val="00953BBF"/>
    <w:rsid w:val="0096036D"/>
    <w:rsid w:val="00961E6F"/>
    <w:rsid w:val="00965778"/>
    <w:rsid w:val="00970519"/>
    <w:rsid w:val="00970693"/>
    <w:rsid w:val="00974E92"/>
    <w:rsid w:val="00977F44"/>
    <w:rsid w:val="00981295"/>
    <w:rsid w:val="00985059"/>
    <w:rsid w:val="009862A2"/>
    <w:rsid w:val="00986737"/>
    <w:rsid w:val="00991621"/>
    <w:rsid w:val="009A3585"/>
    <w:rsid w:val="009A4AD3"/>
    <w:rsid w:val="009A74F6"/>
    <w:rsid w:val="009B7528"/>
    <w:rsid w:val="009B7637"/>
    <w:rsid w:val="009C74F0"/>
    <w:rsid w:val="009D33CB"/>
    <w:rsid w:val="009D3E38"/>
    <w:rsid w:val="009D51B6"/>
    <w:rsid w:val="009D6E19"/>
    <w:rsid w:val="009D7B14"/>
    <w:rsid w:val="009D7F4D"/>
    <w:rsid w:val="009E1C87"/>
    <w:rsid w:val="009E36F7"/>
    <w:rsid w:val="009E4395"/>
    <w:rsid w:val="009E6E26"/>
    <w:rsid w:val="009E70D8"/>
    <w:rsid w:val="009F0EC0"/>
    <w:rsid w:val="009F2FA8"/>
    <w:rsid w:val="009F3CEE"/>
    <w:rsid w:val="009F44C0"/>
    <w:rsid w:val="009F6F5F"/>
    <w:rsid w:val="00A01AE4"/>
    <w:rsid w:val="00A11CA2"/>
    <w:rsid w:val="00A13565"/>
    <w:rsid w:val="00A24E95"/>
    <w:rsid w:val="00A26B46"/>
    <w:rsid w:val="00A3419D"/>
    <w:rsid w:val="00A54C3C"/>
    <w:rsid w:val="00A55399"/>
    <w:rsid w:val="00A556AE"/>
    <w:rsid w:val="00A60139"/>
    <w:rsid w:val="00A60152"/>
    <w:rsid w:val="00A65245"/>
    <w:rsid w:val="00A70519"/>
    <w:rsid w:val="00A72CC5"/>
    <w:rsid w:val="00A741FD"/>
    <w:rsid w:val="00A7760F"/>
    <w:rsid w:val="00A8163D"/>
    <w:rsid w:val="00A8643E"/>
    <w:rsid w:val="00A87995"/>
    <w:rsid w:val="00A90E8B"/>
    <w:rsid w:val="00A94374"/>
    <w:rsid w:val="00A97C83"/>
    <w:rsid w:val="00AA42DF"/>
    <w:rsid w:val="00AB1497"/>
    <w:rsid w:val="00AB2177"/>
    <w:rsid w:val="00AB7E66"/>
    <w:rsid w:val="00AC2106"/>
    <w:rsid w:val="00AC32D7"/>
    <w:rsid w:val="00AC3571"/>
    <w:rsid w:val="00AC4B1B"/>
    <w:rsid w:val="00AC55DF"/>
    <w:rsid w:val="00AC7C36"/>
    <w:rsid w:val="00AD6CED"/>
    <w:rsid w:val="00AE17E2"/>
    <w:rsid w:val="00AE1A13"/>
    <w:rsid w:val="00AE6860"/>
    <w:rsid w:val="00AF2279"/>
    <w:rsid w:val="00AF59BB"/>
    <w:rsid w:val="00B032C4"/>
    <w:rsid w:val="00B04956"/>
    <w:rsid w:val="00B06D03"/>
    <w:rsid w:val="00B106A2"/>
    <w:rsid w:val="00B13888"/>
    <w:rsid w:val="00B13B85"/>
    <w:rsid w:val="00B15B02"/>
    <w:rsid w:val="00B23FD5"/>
    <w:rsid w:val="00B3235E"/>
    <w:rsid w:val="00B3266D"/>
    <w:rsid w:val="00B32C1F"/>
    <w:rsid w:val="00B3521D"/>
    <w:rsid w:val="00B35F39"/>
    <w:rsid w:val="00B3680E"/>
    <w:rsid w:val="00B37E0C"/>
    <w:rsid w:val="00B420AC"/>
    <w:rsid w:val="00B460E4"/>
    <w:rsid w:val="00B50B48"/>
    <w:rsid w:val="00B50E75"/>
    <w:rsid w:val="00B51268"/>
    <w:rsid w:val="00B533AE"/>
    <w:rsid w:val="00B60F70"/>
    <w:rsid w:val="00B6324F"/>
    <w:rsid w:val="00B641E8"/>
    <w:rsid w:val="00B65D52"/>
    <w:rsid w:val="00B75B18"/>
    <w:rsid w:val="00B778B2"/>
    <w:rsid w:val="00B80C85"/>
    <w:rsid w:val="00B81FE1"/>
    <w:rsid w:val="00B8438B"/>
    <w:rsid w:val="00B85261"/>
    <w:rsid w:val="00B94854"/>
    <w:rsid w:val="00BA13EA"/>
    <w:rsid w:val="00BA2BEF"/>
    <w:rsid w:val="00BA434A"/>
    <w:rsid w:val="00BA46A1"/>
    <w:rsid w:val="00BA4735"/>
    <w:rsid w:val="00BA6FE6"/>
    <w:rsid w:val="00BB0B87"/>
    <w:rsid w:val="00BB271A"/>
    <w:rsid w:val="00BB2DFC"/>
    <w:rsid w:val="00BC04A8"/>
    <w:rsid w:val="00BC1D8F"/>
    <w:rsid w:val="00BC7B51"/>
    <w:rsid w:val="00BD0D81"/>
    <w:rsid w:val="00BD24ED"/>
    <w:rsid w:val="00BD3944"/>
    <w:rsid w:val="00BD4519"/>
    <w:rsid w:val="00BD4C57"/>
    <w:rsid w:val="00BD5D69"/>
    <w:rsid w:val="00BE016B"/>
    <w:rsid w:val="00BE0AD9"/>
    <w:rsid w:val="00BE1319"/>
    <w:rsid w:val="00BE39F3"/>
    <w:rsid w:val="00BE436E"/>
    <w:rsid w:val="00BE63B5"/>
    <w:rsid w:val="00BE7DC1"/>
    <w:rsid w:val="00C014F2"/>
    <w:rsid w:val="00C01A56"/>
    <w:rsid w:val="00C02638"/>
    <w:rsid w:val="00C02EF3"/>
    <w:rsid w:val="00C06465"/>
    <w:rsid w:val="00C07291"/>
    <w:rsid w:val="00C10098"/>
    <w:rsid w:val="00C13E7D"/>
    <w:rsid w:val="00C157F3"/>
    <w:rsid w:val="00C228DD"/>
    <w:rsid w:val="00C22D09"/>
    <w:rsid w:val="00C23050"/>
    <w:rsid w:val="00C30BBD"/>
    <w:rsid w:val="00C33B53"/>
    <w:rsid w:val="00C36E8F"/>
    <w:rsid w:val="00C41D2A"/>
    <w:rsid w:val="00C45D0C"/>
    <w:rsid w:val="00C45E67"/>
    <w:rsid w:val="00C5095C"/>
    <w:rsid w:val="00C50C52"/>
    <w:rsid w:val="00C56161"/>
    <w:rsid w:val="00C56B0E"/>
    <w:rsid w:val="00C608EA"/>
    <w:rsid w:val="00C6254A"/>
    <w:rsid w:val="00C62F4F"/>
    <w:rsid w:val="00C63C62"/>
    <w:rsid w:val="00C65174"/>
    <w:rsid w:val="00C65256"/>
    <w:rsid w:val="00C77758"/>
    <w:rsid w:val="00C81776"/>
    <w:rsid w:val="00C82AA2"/>
    <w:rsid w:val="00C82BCB"/>
    <w:rsid w:val="00C93170"/>
    <w:rsid w:val="00C93E2E"/>
    <w:rsid w:val="00C97C26"/>
    <w:rsid w:val="00CA0277"/>
    <w:rsid w:val="00CA20DA"/>
    <w:rsid w:val="00CA2913"/>
    <w:rsid w:val="00CA3061"/>
    <w:rsid w:val="00CA4516"/>
    <w:rsid w:val="00CB41F5"/>
    <w:rsid w:val="00CB7331"/>
    <w:rsid w:val="00CC0E4B"/>
    <w:rsid w:val="00CC1960"/>
    <w:rsid w:val="00CC5C6D"/>
    <w:rsid w:val="00CC5F44"/>
    <w:rsid w:val="00CC6C98"/>
    <w:rsid w:val="00CC76B2"/>
    <w:rsid w:val="00CD6768"/>
    <w:rsid w:val="00CE4706"/>
    <w:rsid w:val="00CE4A82"/>
    <w:rsid w:val="00CF18BC"/>
    <w:rsid w:val="00CF359D"/>
    <w:rsid w:val="00CF4154"/>
    <w:rsid w:val="00CF49A9"/>
    <w:rsid w:val="00D07434"/>
    <w:rsid w:val="00D10E91"/>
    <w:rsid w:val="00D10EA1"/>
    <w:rsid w:val="00D11E5B"/>
    <w:rsid w:val="00D15873"/>
    <w:rsid w:val="00D16287"/>
    <w:rsid w:val="00D1779D"/>
    <w:rsid w:val="00D23A25"/>
    <w:rsid w:val="00D25FA1"/>
    <w:rsid w:val="00D308DF"/>
    <w:rsid w:val="00D40C52"/>
    <w:rsid w:val="00D42970"/>
    <w:rsid w:val="00D4496D"/>
    <w:rsid w:val="00D4779B"/>
    <w:rsid w:val="00D50712"/>
    <w:rsid w:val="00D50B5B"/>
    <w:rsid w:val="00D54B47"/>
    <w:rsid w:val="00D618DB"/>
    <w:rsid w:val="00D6662E"/>
    <w:rsid w:val="00D75097"/>
    <w:rsid w:val="00D80821"/>
    <w:rsid w:val="00D808D7"/>
    <w:rsid w:val="00D820FE"/>
    <w:rsid w:val="00D82C9B"/>
    <w:rsid w:val="00D90687"/>
    <w:rsid w:val="00D91833"/>
    <w:rsid w:val="00D91876"/>
    <w:rsid w:val="00D963EE"/>
    <w:rsid w:val="00D96A91"/>
    <w:rsid w:val="00DA0EC6"/>
    <w:rsid w:val="00DA3B2E"/>
    <w:rsid w:val="00DA4E79"/>
    <w:rsid w:val="00DA6317"/>
    <w:rsid w:val="00DB02E1"/>
    <w:rsid w:val="00DB18A6"/>
    <w:rsid w:val="00DB3A35"/>
    <w:rsid w:val="00DB63C7"/>
    <w:rsid w:val="00DB79AF"/>
    <w:rsid w:val="00DC0CEC"/>
    <w:rsid w:val="00DC24B4"/>
    <w:rsid w:val="00DC30D9"/>
    <w:rsid w:val="00DC5E4B"/>
    <w:rsid w:val="00DD59E2"/>
    <w:rsid w:val="00DE4655"/>
    <w:rsid w:val="00DE5A7F"/>
    <w:rsid w:val="00DE5F4A"/>
    <w:rsid w:val="00DF1095"/>
    <w:rsid w:val="00DF7154"/>
    <w:rsid w:val="00E04BC2"/>
    <w:rsid w:val="00E04F7A"/>
    <w:rsid w:val="00E0559D"/>
    <w:rsid w:val="00E0585A"/>
    <w:rsid w:val="00E066BB"/>
    <w:rsid w:val="00E07B82"/>
    <w:rsid w:val="00E13C30"/>
    <w:rsid w:val="00E16B63"/>
    <w:rsid w:val="00E21D93"/>
    <w:rsid w:val="00E25FD0"/>
    <w:rsid w:val="00E26264"/>
    <w:rsid w:val="00E328D8"/>
    <w:rsid w:val="00E34EA1"/>
    <w:rsid w:val="00E37B31"/>
    <w:rsid w:val="00E42868"/>
    <w:rsid w:val="00E42BDB"/>
    <w:rsid w:val="00E430D8"/>
    <w:rsid w:val="00E53082"/>
    <w:rsid w:val="00E54B54"/>
    <w:rsid w:val="00E561FA"/>
    <w:rsid w:val="00E616A0"/>
    <w:rsid w:val="00E63545"/>
    <w:rsid w:val="00E64D61"/>
    <w:rsid w:val="00E66F0C"/>
    <w:rsid w:val="00E70944"/>
    <w:rsid w:val="00E7327F"/>
    <w:rsid w:val="00E73433"/>
    <w:rsid w:val="00E753CD"/>
    <w:rsid w:val="00E90947"/>
    <w:rsid w:val="00E92468"/>
    <w:rsid w:val="00E93DF3"/>
    <w:rsid w:val="00E94026"/>
    <w:rsid w:val="00E961F3"/>
    <w:rsid w:val="00EA1318"/>
    <w:rsid w:val="00EA1707"/>
    <w:rsid w:val="00EA267A"/>
    <w:rsid w:val="00EA6A82"/>
    <w:rsid w:val="00EA79FB"/>
    <w:rsid w:val="00EB1DEA"/>
    <w:rsid w:val="00EB4FBB"/>
    <w:rsid w:val="00EB5D0C"/>
    <w:rsid w:val="00EC7C7F"/>
    <w:rsid w:val="00ED0C1F"/>
    <w:rsid w:val="00ED139C"/>
    <w:rsid w:val="00ED72C6"/>
    <w:rsid w:val="00EE0A6C"/>
    <w:rsid w:val="00EE32D7"/>
    <w:rsid w:val="00EF2BE0"/>
    <w:rsid w:val="00F010E0"/>
    <w:rsid w:val="00F04BAA"/>
    <w:rsid w:val="00F059F3"/>
    <w:rsid w:val="00F061ED"/>
    <w:rsid w:val="00F07750"/>
    <w:rsid w:val="00F1220F"/>
    <w:rsid w:val="00F12955"/>
    <w:rsid w:val="00F130D7"/>
    <w:rsid w:val="00F16184"/>
    <w:rsid w:val="00F163DF"/>
    <w:rsid w:val="00F20F62"/>
    <w:rsid w:val="00F234D3"/>
    <w:rsid w:val="00F31790"/>
    <w:rsid w:val="00F32FDC"/>
    <w:rsid w:val="00F3490F"/>
    <w:rsid w:val="00F362E2"/>
    <w:rsid w:val="00F37E0F"/>
    <w:rsid w:val="00F408F9"/>
    <w:rsid w:val="00F42A7E"/>
    <w:rsid w:val="00F452AD"/>
    <w:rsid w:val="00F47190"/>
    <w:rsid w:val="00F519A7"/>
    <w:rsid w:val="00F51A5E"/>
    <w:rsid w:val="00F52A30"/>
    <w:rsid w:val="00F52EC9"/>
    <w:rsid w:val="00F61BC5"/>
    <w:rsid w:val="00F651F2"/>
    <w:rsid w:val="00F70205"/>
    <w:rsid w:val="00F76A8F"/>
    <w:rsid w:val="00F775C9"/>
    <w:rsid w:val="00F83693"/>
    <w:rsid w:val="00F83CB3"/>
    <w:rsid w:val="00F87D70"/>
    <w:rsid w:val="00F90DF1"/>
    <w:rsid w:val="00FA2E63"/>
    <w:rsid w:val="00FA6DE0"/>
    <w:rsid w:val="00FB1829"/>
    <w:rsid w:val="00FB2B87"/>
    <w:rsid w:val="00FB7A63"/>
    <w:rsid w:val="00FC01A4"/>
    <w:rsid w:val="00FC04E6"/>
    <w:rsid w:val="00FC4867"/>
    <w:rsid w:val="00FE01D8"/>
    <w:rsid w:val="00FE7E14"/>
    <w:rsid w:val="00FF11DF"/>
    <w:rsid w:val="00FF12DA"/>
    <w:rsid w:val="00FF219D"/>
    <w:rsid w:val="00FF5F02"/>
    <w:rsid w:val="00FF7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4C2DF"/>
  <w15:chartTrackingRefBased/>
  <w15:docId w15:val="{22BE5F37-9464-4264-8363-7D081782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DD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7F44"/>
    <w:pPr>
      <w:spacing w:after="0" w:line="240" w:lineRule="auto"/>
    </w:pPr>
  </w:style>
  <w:style w:type="table" w:styleId="TableGrid">
    <w:name w:val="Table Grid"/>
    <w:basedOn w:val="TableNormal"/>
    <w:uiPriority w:val="59"/>
    <w:rsid w:val="007E6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BDA"/>
    <w:pPr>
      <w:ind w:left="720"/>
    </w:pPr>
    <w:rPr>
      <w:rFonts w:ascii="Times New Roman" w:eastAsia="Times New Roman" w:hAnsi="Times New Roman"/>
      <w:b/>
      <w:sz w:val="24"/>
      <w:szCs w:val="24"/>
      <w:lang w:val="en-US"/>
    </w:rPr>
  </w:style>
  <w:style w:type="paragraph" w:styleId="BalloonText">
    <w:name w:val="Balloon Text"/>
    <w:basedOn w:val="Normal"/>
    <w:link w:val="BalloonTextChar"/>
    <w:uiPriority w:val="99"/>
    <w:semiHidden/>
    <w:unhideWhenUsed/>
    <w:rsid w:val="00D23A2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23A25"/>
    <w:rPr>
      <w:rFonts w:ascii="Times New Roman" w:eastAsia="Calibri" w:hAnsi="Times New Roman" w:cs="Times New Roman"/>
      <w:sz w:val="18"/>
      <w:szCs w:val="18"/>
    </w:rPr>
  </w:style>
  <w:style w:type="paragraph" w:customStyle="1" w:styleId="gmail-msonospacing">
    <w:name w:val="gmail-msonospacing"/>
    <w:basedOn w:val="Normal"/>
    <w:rsid w:val="00300468"/>
    <w:pPr>
      <w:spacing w:before="100" w:beforeAutospacing="1" w:after="100" w:afterAutospacing="1"/>
    </w:pPr>
    <w:rPr>
      <w:rFonts w:eastAsiaTheme="minorHAnsi" w:cs="Calibri"/>
      <w:lang w:eastAsia="en-GB"/>
    </w:rPr>
  </w:style>
  <w:style w:type="paragraph" w:customStyle="1" w:styleId="gmail-msonormal">
    <w:name w:val="gmail-msonormal"/>
    <w:basedOn w:val="Normal"/>
    <w:rsid w:val="00300468"/>
    <w:pPr>
      <w:spacing w:before="100" w:beforeAutospacing="1" w:after="100" w:afterAutospacing="1"/>
    </w:pPr>
    <w:rPr>
      <w:rFonts w:eastAsiaTheme="minorHAnsi" w:cs="Calibri"/>
      <w:lang w:eastAsia="en-GB"/>
    </w:rPr>
  </w:style>
  <w:style w:type="character" w:customStyle="1" w:styleId="hgkelc">
    <w:name w:val="hgkelc"/>
    <w:basedOn w:val="DefaultParagraphFont"/>
    <w:rsid w:val="00F51A5E"/>
  </w:style>
  <w:style w:type="paragraph" w:styleId="Header">
    <w:name w:val="header"/>
    <w:basedOn w:val="Normal"/>
    <w:link w:val="HeaderChar"/>
    <w:uiPriority w:val="99"/>
    <w:unhideWhenUsed/>
    <w:rsid w:val="006629EF"/>
    <w:pPr>
      <w:tabs>
        <w:tab w:val="center" w:pos="4513"/>
        <w:tab w:val="right" w:pos="9026"/>
      </w:tabs>
    </w:pPr>
  </w:style>
  <w:style w:type="character" w:customStyle="1" w:styleId="HeaderChar">
    <w:name w:val="Header Char"/>
    <w:basedOn w:val="DefaultParagraphFont"/>
    <w:link w:val="Header"/>
    <w:uiPriority w:val="99"/>
    <w:rsid w:val="006629EF"/>
    <w:rPr>
      <w:rFonts w:ascii="Calibri" w:eastAsia="Calibri" w:hAnsi="Calibri" w:cs="Times New Roman"/>
    </w:rPr>
  </w:style>
  <w:style w:type="paragraph" w:styleId="Footer">
    <w:name w:val="footer"/>
    <w:basedOn w:val="Normal"/>
    <w:link w:val="FooterChar"/>
    <w:uiPriority w:val="99"/>
    <w:unhideWhenUsed/>
    <w:rsid w:val="006629EF"/>
    <w:pPr>
      <w:tabs>
        <w:tab w:val="center" w:pos="4513"/>
        <w:tab w:val="right" w:pos="9026"/>
      </w:tabs>
    </w:pPr>
  </w:style>
  <w:style w:type="character" w:customStyle="1" w:styleId="FooterChar">
    <w:name w:val="Footer Char"/>
    <w:basedOn w:val="DefaultParagraphFont"/>
    <w:link w:val="Footer"/>
    <w:uiPriority w:val="99"/>
    <w:rsid w:val="006629EF"/>
    <w:rPr>
      <w:rFonts w:ascii="Calibri" w:eastAsia="Calibri" w:hAnsi="Calibri" w:cs="Times New Roman"/>
    </w:rPr>
  </w:style>
  <w:style w:type="character" w:customStyle="1" w:styleId="markedcontent">
    <w:name w:val="markedcontent"/>
    <w:basedOn w:val="DefaultParagraphFont"/>
    <w:rsid w:val="00AC4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7710">
      <w:bodyDiv w:val="1"/>
      <w:marLeft w:val="0"/>
      <w:marRight w:val="0"/>
      <w:marTop w:val="0"/>
      <w:marBottom w:val="0"/>
      <w:divBdr>
        <w:top w:val="none" w:sz="0" w:space="0" w:color="auto"/>
        <w:left w:val="none" w:sz="0" w:space="0" w:color="auto"/>
        <w:bottom w:val="none" w:sz="0" w:space="0" w:color="auto"/>
        <w:right w:val="none" w:sz="0" w:space="0" w:color="auto"/>
      </w:divBdr>
    </w:div>
    <w:div w:id="736824880">
      <w:bodyDiv w:val="1"/>
      <w:marLeft w:val="0"/>
      <w:marRight w:val="0"/>
      <w:marTop w:val="0"/>
      <w:marBottom w:val="0"/>
      <w:divBdr>
        <w:top w:val="none" w:sz="0" w:space="0" w:color="auto"/>
        <w:left w:val="none" w:sz="0" w:space="0" w:color="auto"/>
        <w:bottom w:val="none" w:sz="0" w:space="0" w:color="auto"/>
        <w:right w:val="none" w:sz="0" w:space="0" w:color="auto"/>
      </w:divBdr>
    </w:div>
    <w:div w:id="956374223">
      <w:bodyDiv w:val="1"/>
      <w:marLeft w:val="0"/>
      <w:marRight w:val="0"/>
      <w:marTop w:val="0"/>
      <w:marBottom w:val="0"/>
      <w:divBdr>
        <w:top w:val="none" w:sz="0" w:space="0" w:color="auto"/>
        <w:left w:val="none" w:sz="0" w:space="0" w:color="auto"/>
        <w:bottom w:val="none" w:sz="0" w:space="0" w:color="auto"/>
        <w:right w:val="none" w:sz="0" w:space="0" w:color="auto"/>
      </w:divBdr>
    </w:div>
    <w:div w:id="12925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C1060-5AFC-4785-9E16-22C2B02B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1386</TotalTime>
  <Pages>10</Pages>
  <Words>2617</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Bassett</dc:creator>
  <cp:keywords/>
  <dc:description/>
  <cp:lastModifiedBy>Robert</cp:lastModifiedBy>
  <cp:revision>56</cp:revision>
  <dcterms:created xsi:type="dcterms:W3CDTF">2019-12-06T18:34:00Z</dcterms:created>
  <dcterms:modified xsi:type="dcterms:W3CDTF">2021-06-22T11:57:00Z</dcterms:modified>
</cp:coreProperties>
</file>