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8DBF04" w14:textId="4ADCD844" w:rsidR="00626F4B" w:rsidRDefault="00626F4B" w:rsidP="00626F4B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CORPORATION OF SIR GEORGE MONOUX COLLEGE</w:t>
      </w:r>
    </w:p>
    <w:p w14:paraId="27E5AECF" w14:textId="77777777" w:rsidR="00626F4B" w:rsidRDefault="00626F4B" w:rsidP="00626F4B">
      <w:pPr>
        <w:jc w:val="center"/>
        <w:rPr>
          <w:rFonts w:ascii="Verdana" w:hAnsi="Verdana"/>
          <w:b/>
        </w:rPr>
      </w:pPr>
    </w:p>
    <w:p w14:paraId="4647AB39" w14:textId="77777777" w:rsidR="00CD65F2" w:rsidRDefault="00626F4B" w:rsidP="004D37CF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Minutes of the Meeting of the </w:t>
      </w:r>
      <w:r w:rsidR="00AA7B4E">
        <w:rPr>
          <w:rFonts w:ascii="Verdana" w:hAnsi="Verdana"/>
          <w:b/>
        </w:rPr>
        <w:t>External Relations</w:t>
      </w:r>
      <w:r>
        <w:rPr>
          <w:rFonts w:ascii="Verdana" w:hAnsi="Verdana"/>
          <w:b/>
        </w:rPr>
        <w:t xml:space="preserve"> Committee </w:t>
      </w:r>
    </w:p>
    <w:p w14:paraId="2E803062" w14:textId="0695D999" w:rsidR="00626F4B" w:rsidRDefault="00626F4B" w:rsidP="00CD65F2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held on </w:t>
      </w:r>
      <w:r w:rsidR="002D5B58">
        <w:rPr>
          <w:rFonts w:ascii="Verdana" w:hAnsi="Verdana"/>
          <w:b/>
        </w:rPr>
        <w:t xml:space="preserve">2 </w:t>
      </w:r>
      <w:r w:rsidR="000F5F64">
        <w:rPr>
          <w:rFonts w:ascii="Verdana" w:hAnsi="Verdana"/>
          <w:b/>
        </w:rPr>
        <w:t>February 2021</w:t>
      </w:r>
    </w:p>
    <w:p w14:paraId="524FC9FB" w14:textId="77777777" w:rsidR="00F454D9" w:rsidRDefault="00F454D9" w:rsidP="00626F4B">
      <w:pPr>
        <w:jc w:val="center"/>
        <w:rPr>
          <w:rFonts w:ascii="Verdana" w:hAnsi="Verdana"/>
          <w:b/>
        </w:rPr>
      </w:pPr>
    </w:p>
    <w:tbl>
      <w:tblPr>
        <w:tblW w:w="946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6"/>
        <w:gridCol w:w="7088"/>
      </w:tblGrid>
      <w:tr w:rsidR="00626F4B" w14:paraId="3029CBF4" w14:textId="77777777" w:rsidTr="00C600CB">
        <w:tc>
          <w:tcPr>
            <w:tcW w:w="23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CE836" w14:textId="77777777" w:rsidR="00626F4B" w:rsidRDefault="00626F4B" w:rsidP="005363B3">
            <w:pPr>
              <w:tabs>
                <w:tab w:val="left" w:pos="1455"/>
              </w:tabs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Present</w:t>
            </w:r>
            <w:r>
              <w:rPr>
                <w:rFonts w:ascii="Verdana" w:hAnsi="Verdana"/>
                <w:b/>
              </w:rPr>
              <w:tab/>
            </w:r>
          </w:p>
          <w:p w14:paraId="7DF51377" w14:textId="77777777" w:rsidR="00626F4B" w:rsidRDefault="00626F4B" w:rsidP="005363B3">
            <w:pPr>
              <w:rPr>
                <w:rFonts w:ascii="Verdana" w:hAnsi="Verdana"/>
                <w:b/>
              </w:rPr>
            </w:pPr>
          </w:p>
        </w:tc>
        <w:tc>
          <w:tcPr>
            <w:tcW w:w="70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8B0BF" w14:textId="193B3F70" w:rsidR="00626F4B" w:rsidRPr="00543365" w:rsidRDefault="00532D61" w:rsidP="005363B3">
            <w:pPr>
              <w:rPr>
                <w:rFonts w:ascii="Verdana" w:hAnsi="Verdana"/>
              </w:rPr>
            </w:pPr>
            <w:r w:rsidRPr="00543365">
              <w:rPr>
                <w:rFonts w:ascii="Verdana" w:hAnsi="Verdana"/>
              </w:rPr>
              <w:t>Stewart Maclean</w:t>
            </w:r>
            <w:r w:rsidR="00626F4B" w:rsidRPr="00543365">
              <w:rPr>
                <w:rFonts w:ascii="Verdana" w:hAnsi="Verdana"/>
              </w:rPr>
              <w:t xml:space="preserve"> (Chair), </w:t>
            </w:r>
            <w:r w:rsidR="008345F2" w:rsidRPr="00543365">
              <w:rPr>
                <w:rFonts w:ascii="Verdana" w:hAnsi="Verdana"/>
              </w:rPr>
              <w:t xml:space="preserve">Tom </w:t>
            </w:r>
            <w:proofErr w:type="spellStart"/>
            <w:r w:rsidR="008345F2" w:rsidRPr="00543365">
              <w:rPr>
                <w:rFonts w:ascii="Verdana" w:hAnsi="Verdana"/>
              </w:rPr>
              <w:t>Foakes</w:t>
            </w:r>
            <w:proofErr w:type="spellEnd"/>
            <w:r w:rsidR="008345F2" w:rsidRPr="00543365">
              <w:rPr>
                <w:rFonts w:ascii="Verdana" w:hAnsi="Verdana"/>
              </w:rPr>
              <w:t xml:space="preserve">, </w:t>
            </w:r>
            <w:r w:rsidR="002E7806">
              <w:rPr>
                <w:rFonts w:ascii="Verdana" w:hAnsi="Verdana"/>
              </w:rPr>
              <w:t xml:space="preserve">Farhana Juhera, </w:t>
            </w:r>
            <w:r w:rsidR="00E0491F" w:rsidRPr="00543365">
              <w:rPr>
                <w:rFonts w:ascii="Verdana" w:hAnsi="Verdana"/>
              </w:rPr>
              <w:t>Dav</w:t>
            </w:r>
            <w:r w:rsidR="00AB1F20" w:rsidRPr="00543365">
              <w:rPr>
                <w:rFonts w:ascii="Verdana" w:hAnsi="Verdana"/>
              </w:rPr>
              <w:t xml:space="preserve">id </w:t>
            </w:r>
            <w:proofErr w:type="spellStart"/>
            <w:r w:rsidR="00AB1F20" w:rsidRPr="00543365">
              <w:rPr>
                <w:rFonts w:ascii="Verdana" w:hAnsi="Verdana"/>
              </w:rPr>
              <w:t>Vasse</w:t>
            </w:r>
            <w:proofErr w:type="spellEnd"/>
            <w:r w:rsidR="00B425CD">
              <w:rPr>
                <w:rFonts w:ascii="Verdana" w:hAnsi="Verdana"/>
              </w:rPr>
              <w:t>, Sara Whittaker</w:t>
            </w:r>
            <w:r w:rsidR="00626F4B" w:rsidRPr="00543365">
              <w:rPr>
                <w:rFonts w:ascii="Verdana" w:hAnsi="Verdana"/>
              </w:rPr>
              <w:t xml:space="preserve">. </w:t>
            </w:r>
          </w:p>
          <w:p w14:paraId="08A15440" w14:textId="77777777" w:rsidR="00626F4B" w:rsidRDefault="00626F4B" w:rsidP="005363B3">
            <w:pPr>
              <w:rPr>
                <w:rFonts w:ascii="Verdana" w:hAnsi="Verdana"/>
              </w:rPr>
            </w:pPr>
          </w:p>
        </w:tc>
      </w:tr>
      <w:tr w:rsidR="00626F4B" w14:paraId="11C5FDBC" w14:textId="77777777" w:rsidTr="00C600CB">
        <w:tc>
          <w:tcPr>
            <w:tcW w:w="23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22C07" w14:textId="2D55B9DB" w:rsidR="00626F4B" w:rsidRDefault="00413682" w:rsidP="005363B3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In Attendance</w:t>
            </w:r>
          </w:p>
        </w:tc>
        <w:tc>
          <w:tcPr>
            <w:tcW w:w="70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FE0F5" w14:textId="3311EFEB" w:rsidR="00626F4B" w:rsidRDefault="008C2D18" w:rsidP="005363B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James Gould (Vice</w:t>
            </w:r>
            <w:r w:rsidR="00651D04">
              <w:rPr>
                <w:rFonts w:ascii="Verdana" w:hAnsi="Verdana"/>
              </w:rPr>
              <w:t>-</w:t>
            </w:r>
            <w:r>
              <w:rPr>
                <w:rFonts w:ascii="Verdana" w:hAnsi="Verdana"/>
              </w:rPr>
              <w:t xml:space="preserve">Principal: </w:t>
            </w:r>
            <w:r w:rsidRPr="00FE7EDC">
              <w:rPr>
                <w:rFonts w:ascii="Verdana" w:hAnsi="Verdana"/>
              </w:rPr>
              <w:t>Student S</w:t>
            </w:r>
            <w:r>
              <w:rPr>
                <w:rFonts w:ascii="Verdana" w:hAnsi="Verdana"/>
              </w:rPr>
              <w:t>ervices and Recruitment</w:t>
            </w:r>
            <w:r w:rsidR="00626F4B">
              <w:rPr>
                <w:rFonts w:ascii="Verdana" w:hAnsi="Verdana"/>
              </w:rPr>
              <w:t>)</w:t>
            </w:r>
            <w:r w:rsidR="00953ACF">
              <w:rPr>
                <w:rFonts w:ascii="Verdana" w:hAnsi="Verdana"/>
              </w:rPr>
              <w:t>, Robert Smith (Clerk to the Corporation</w:t>
            </w:r>
            <w:r w:rsidR="00232C98">
              <w:rPr>
                <w:rFonts w:ascii="Verdana" w:hAnsi="Verdana"/>
              </w:rPr>
              <w:t>)</w:t>
            </w:r>
            <w:r w:rsidR="002D5B58">
              <w:rPr>
                <w:rFonts w:ascii="Verdana" w:hAnsi="Verdana"/>
              </w:rPr>
              <w:t>.</w:t>
            </w:r>
          </w:p>
        </w:tc>
      </w:tr>
    </w:tbl>
    <w:p w14:paraId="73A3C9F8" w14:textId="77777777" w:rsidR="00626F4B" w:rsidRDefault="00626F4B" w:rsidP="00626F4B">
      <w:pPr>
        <w:rPr>
          <w:rFonts w:ascii="Verdana" w:hAnsi="Verdana"/>
          <w:b/>
        </w:rPr>
      </w:pPr>
    </w:p>
    <w:tbl>
      <w:tblPr>
        <w:tblW w:w="946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9"/>
        <w:gridCol w:w="8935"/>
      </w:tblGrid>
      <w:tr w:rsidR="00626F4B" w14:paraId="64A738ED" w14:textId="77777777" w:rsidTr="00C600CB">
        <w:tc>
          <w:tcPr>
            <w:tcW w:w="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82388" w14:textId="77777777" w:rsidR="00626F4B" w:rsidRDefault="00626F4B" w:rsidP="005363B3">
            <w:pPr>
              <w:pStyle w:val="NoSpacing"/>
              <w:rPr>
                <w:b/>
              </w:rPr>
            </w:pPr>
            <w:r>
              <w:rPr>
                <w:b/>
              </w:rPr>
              <w:t>1</w:t>
            </w:r>
          </w:p>
          <w:p w14:paraId="1AC7FCBD" w14:textId="77777777" w:rsidR="00626F4B" w:rsidRDefault="00626F4B" w:rsidP="005363B3">
            <w:pPr>
              <w:pStyle w:val="NoSpacing"/>
              <w:rPr>
                <w:b/>
              </w:rPr>
            </w:pPr>
          </w:p>
          <w:p w14:paraId="05379A88" w14:textId="77777777" w:rsidR="00626F4B" w:rsidRDefault="00626F4B" w:rsidP="005363B3">
            <w:pPr>
              <w:pStyle w:val="NoSpacing"/>
              <w:rPr>
                <w:b/>
              </w:rPr>
            </w:pPr>
          </w:p>
        </w:tc>
        <w:tc>
          <w:tcPr>
            <w:tcW w:w="89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00BE7" w14:textId="1B559461" w:rsidR="00626F4B" w:rsidRDefault="00626F4B" w:rsidP="005363B3">
            <w:pPr>
              <w:pStyle w:val="NoSpacing"/>
              <w:rPr>
                <w:b/>
              </w:rPr>
            </w:pPr>
            <w:r>
              <w:rPr>
                <w:b/>
              </w:rPr>
              <w:t>Apologies for Absence</w:t>
            </w:r>
            <w:r w:rsidR="005D35E5">
              <w:rPr>
                <w:b/>
              </w:rPr>
              <w:t xml:space="preserve"> </w:t>
            </w:r>
            <w:r w:rsidR="00E261ED">
              <w:rPr>
                <w:b/>
              </w:rPr>
              <w:t>&amp; Quoracy</w:t>
            </w:r>
          </w:p>
          <w:p w14:paraId="6B45751B" w14:textId="77777777" w:rsidR="00626F4B" w:rsidRDefault="00626F4B" w:rsidP="005363B3">
            <w:pPr>
              <w:pStyle w:val="NoSpacing"/>
            </w:pPr>
          </w:p>
          <w:p w14:paraId="77DA966F" w14:textId="7622343F" w:rsidR="00ED217D" w:rsidRDefault="000F5F64" w:rsidP="005363B3">
            <w:pPr>
              <w:pStyle w:val="NoSpacing"/>
            </w:pPr>
            <w:r>
              <w:t>Apologies were received from the following member</w:t>
            </w:r>
            <w:r w:rsidR="009F2F4A">
              <w:t>s</w:t>
            </w:r>
            <w:r>
              <w:t xml:space="preserve"> of the Corporation: </w:t>
            </w:r>
            <w:r w:rsidR="009F2F4A">
              <w:t xml:space="preserve">Talia Chirouf, </w:t>
            </w:r>
            <w:r>
              <w:t>Maurine Lewin.</w:t>
            </w:r>
          </w:p>
          <w:p w14:paraId="42BCEB9A" w14:textId="77777777" w:rsidR="00626F4B" w:rsidRDefault="00626F4B" w:rsidP="00870364">
            <w:pPr>
              <w:pStyle w:val="NoSpacing"/>
            </w:pPr>
          </w:p>
        </w:tc>
      </w:tr>
      <w:tr w:rsidR="00626F4B" w14:paraId="04C558D7" w14:textId="77777777" w:rsidTr="00C600CB">
        <w:tc>
          <w:tcPr>
            <w:tcW w:w="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FCEF6" w14:textId="77777777" w:rsidR="00626F4B" w:rsidRDefault="00626F4B" w:rsidP="005363B3">
            <w:pPr>
              <w:pStyle w:val="NoSpacing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9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39EA9" w14:textId="77777777" w:rsidR="00626F4B" w:rsidRDefault="00626F4B" w:rsidP="005363B3">
            <w:pPr>
              <w:pStyle w:val="NoSpacing"/>
              <w:rPr>
                <w:b/>
              </w:rPr>
            </w:pPr>
            <w:r>
              <w:rPr>
                <w:b/>
              </w:rPr>
              <w:t>Declarations of Interest</w:t>
            </w:r>
          </w:p>
          <w:p w14:paraId="4D1ABDCB" w14:textId="77777777" w:rsidR="00626F4B" w:rsidRDefault="00626F4B" w:rsidP="005363B3">
            <w:pPr>
              <w:pStyle w:val="NoSpacing"/>
            </w:pPr>
          </w:p>
          <w:p w14:paraId="15EFED17" w14:textId="77777777" w:rsidR="00626F4B" w:rsidRDefault="00626F4B" w:rsidP="005363B3">
            <w:pPr>
              <w:pStyle w:val="NoSpacing"/>
            </w:pPr>
            <w:r>
              <w:t>None.</w:t>
            </w:r>
          </w:p>
          <w:p w14:paraId="306744C0" w14:textId="77777777" w:rsidR="00626F4B" w:rsidRDefault="00626F4B" w:rsidP="005363B3">
            <w:pPr>
              <w:pStyle w:val="NoSpacing"/>
            </w:pPr>
          </w:p>
        </w:tc>
      </w:tr>
      <w:tr w:rsidR="00504FAF" w14:paraId="4300FB80" w14:textId="77777777" w:rsidTr="00C600CB">
        <w:tc>
          <w:tcPr>
            <w:tcW w:w="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21741" w14:textId="52B0F006" w:rsidR="00504FAF" w:rsidRDefault="00504FAF" w:rsidP="005363B3">
            <w:pPr>
              <w:pStyle w:val="NoSpacing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9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CCB25" w14:textId="6A1F14D6" w:rsidR="00953ACF" w:rsidRDefault="007F3FF7" w:rsidP="00953ACF">
            <w:pPr>
              <w:rPr>
                <w:rFonts w:ascii="Verdana" w:hAnsi="Verdana"/>
                <w:b/>
              </w:rPr>
            </w:pPr>
            <w:r w:rsidRPr="00FE6148">
              <w:rPr>
                <w:rFonts w:ascii="Verdana" w:hAnsi="Verdana"/>
                <w:b/>
              </w:rPr>
              <w:t xml:space="preserve">Draft Minutes of the Previous Meeting (Ordinary Business): </w:t>
            </w:r>
            <w:r w:rsidR="000F5F64">
              <w:rPr>
                <w:rFonts w:ascii="Verdana" w:hAnsi="Verdana"/>
                <w:b/>
              </w:rPr>
              <w:t>2 Decembe</w:t>
            </w:r>
            <w:r w:rsidR="002D5B58">
              <w:rPr>
                <w:rFonts w:ascii="Verdana" w:hAnsi="Verdana"/>
                <w:b/>
              </w:rPr>
              <w:t>r</w:t>
            </w:r>
            <w:r w:rsidR="00953ACF">
              <w:rPr>
                <w:rFonts w:ascii="Verdana" w:hAnsi="Verdana"/>
                <w:b/>
              </w:rPr>
              <w:t xml:space="preserve"> 2020</w:t>
            </w:r>
          </w:p>
          <w:p w14:paraId="491B33EE" w14:textId="100A2615" w:rsidR="00504FAF" w:rsidRDefault="00504FAF" w:rsidP="005363B3">
            <w:pPr>
              <w:pStyle w:val="NoSpacing"/>
              <w:rPr>
                <w:b/>
              </w:rPr>
            </w:pPr>
          </w:p>
          <w:p w14:paraId="7FD7BD9F" w14:textId="77777777" w:rsidR="00816A70" w:rsidRPr="00CA1B35" w:rsidRDefault="00816A70" w:rsidP="00816A7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It was</w:t>
            </w:r>
            <w:r w:rsidRPr="00CA1B35">
              <w:rPr>
                <w:rFonts w:ascii="Verdana" w:hAnsi="Verdana"/>
              </w:rPr>
              <w:t xml:space="preserve"> note</w:t>
            </w:r>
            <w:r>
              <w:rPr>
                <w:rFonts w:ascii="Verdana" w:hAnsi="Verdana"/>
              </w:rPr>
              <w:t>d that the draft minutes had been approved</w:t>
            </w:r>
            <w:r w:rsidRPr="00CA1B35">
              <w:rPr>
                <w:rFonts w:ascii="Verdana" w:hAnsi="Verdana"/>
              </w:rPr>
              <w:t xml:space="preserve"> by the Chair of the Co</w:t>
            </w:r>
            <w:r>
              <w:rPr>
                <w:rFonts w:ascii="Verdana" w:hAnsi="Verdana"/>
              </w:rPr>
              <w:t>mmittee</w:t>
            </w:r>
            <w:r w:rsidRPr="00CA1B35">
              <w:rPr>
                <w:rFonts w:ascii="Verdana" w:hAnsi="Verdana"/>
              </w:rPr>
              <w:t xml:space="preserve"> for circulation.</w:t>
            </w:r>
          </w:p>
          <w:p w14:paraId="12926E48" w14:textId="77777777" w:rsidR="00816A70" w:rsidRDefault="00816A70" w:rsidP="00816A70">
            <w:pPr>
              <w:pStyle w:val="NoSpacing"/>
            </w:pPr>
          </w:p>
          <w:p w14:paraId="169D7AD4" w14:textId="4EBF9521" w:rsidR="00816A70" w:rsidRDefault="00816A70" w:rsidP="00816A70">
            <w:pPr>
              <w:pStyle w:val="NoSpacing"/>
            </w:pPr>
            <w:r w:rsidRPr="008D40C1">
              <w:t xml:space="preserve">The minutes were approved as a correct record of the business transacted, and </w:t>
            </w:r>
            <w:r w:rsidRPr="00B152B1">
              <w:rPr>
                <w:i/>
              </w:rPr>
              <w:t>prima facie</w:t>
            </w:r>
            <w:r w:rsidRPr="008D40C1">
              <w:t xml:space="preserve"> evidence of the proceedings to which they relate</w:t>
            </w:r>
            <w:r w:rsidR="00DA51C3">
              <w:t>.</w:t>
            </w:r>
          </w:p>
          <w:p w14:paraId="6942CEB6" w14:textId="610CF4E1" w:rsidR="0081701D" w:rsidRDefault="0081701D" w:rsidP="005363B3">
            <w:pPr>
              <w:pStyle w:val="NoSpacing"/>
              <w:rPr>
                <w:b/>
              </w:rPr>
            </w:pPr>
          </w:p>
        </w:tc>
      </w:tr>
      <w:tr w:rsidR="00504FAF" w14:paraId="0E57A065" w14:textId="77777777" w:rsidTr="00C600CB">
        <w:tc>
          <w:tcPr>
            <w:tcW w:w="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D401C" w14:textId="68F4EBE5" w:rsidR="00504FAF" w:rsidRDefault="00504FAF" w:rsidP="005363B3">
            <w:pPr>
              <w:pStyle w:val="NoSpacing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9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DC9BA" w14:textId="77777777" w:rsidR="000F5F64" w:rsidRDefault="0081701D" w:rsidP="000F5F64">
            <w:pPr>
              <w:rPr>
                <w:rFonts w:ascii="Verdana" w:hAnsi="Verdana"/>
                <w:b/>
              </w:rPr>
            </w:pPr>
            <w:r w:rsidRPr="00FE6148">
              <w:rPr>
                <w:rFonts w:ascii="Verdana" w:hAnsi="Verdana"/>
                <w:b/>
              </w:rPr>
              <w:t xml:space="preserve">Matters Arising from the Draft Minutes (Ordinary Business): </w:t>
            </w:r>
            <w:r w:rsidR="000F5F64">
              <w:rPr>
                <w:rFonts w:ascii="Verdana" w:hAnsi="Verdana"/>
                <w:b/>
              </w:rPr>
              <w:t>2 December 2020</w:t>
            </w:r>
          </w:p>
          <w:p w14:paraId="637818DC" w14:textId="0BE0B233" w:rsidR="00903D20" w:rsidRDefault="00903D20" w:rsidP="00A610AD">
            <w:pPr>
              <w:pStyle w:val="NormalWeb"/>
            </w:pPr>
          </w:p>
          <w:p w14:paraId="0554AEBD" w14:textId="5708EA04" w:rsidR="00A610AD" w:rsidRPr="00A610AD" w:rsidRDefault="000F5F64" w:rsidP="00A610AD">
            <w:pPr>
              <w:pStyle w:val="NormalWeb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None.</w:t>
            </w:r>
          </w:p>
          <w:p w14:paraId="52512725" w14:textId="4F337D24" w:rsidR="00A610AD" w:rsidRPr="00816A70" w:rsidRDefault="00A610AD" w:rsidP="00A610AD">
            <w:pPr>
              <w:pStyle w:val="NormalWeb"/>
            </w:pPr>
          </w:p>
        </w:tc>
      </w:tr>
      <w:tr w:rsidR="000F5F64" w:rsidRPr="005D6214" w14:paraId="6EADDBB8" w14:textId="77777777" w:rsidTr="00C600CB">
        <w:tc>
          <w:tcPr>
            <w:tcW w:w="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27A86" w14:textId="1ED30CB2" w:rsidR="000F5F64" w:rsidRDefault="000F5F64" w:rsidP="005363B3">
            <w:pPr>
              <w:pStyle w:val="NoSpacing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9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30133" w14:textId="77777777" w:rsidR="000F5F64" w:rsidRDefault="000F5F64" w:rsidP="000F5F64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Risk Management Report</w:t>
            </w:r>
          </w:p>
          <w:p w14:paraId="0509B537" w14:textId="77777777" w:rsidR="000F5F64" w:rsidRDefault="000F5F64" w:rsidP="002D5B58">
            <w:pPr>
              <w:rPr>
                <w:rFonts w:ascii="Verdana" w:hAnsi="Verdana"/>
                <w:b/>
              </w:rPr>
            </w:pPr>
          </w:p>
          <w:p w14:paraId="593B27F5" w14:textId="2193442A" w:rsidR="000F5F64" w:rsidRDefault="000F5F64" w:rsidP="000F5F64">
            <w:pPr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It was noted</w:t>
            </w:r>
            <w:r w:rsidRPr="00B57A06">
              <w:rPr>
                <w:rFonts w:ascii="Verdana" w:hAnsi="Verdana"/>
                <w:bCs/>
              </w:rPr>
              <w:t xml:space="preserve"> </w:t>
            </w:r>
            <w:r>
              <w:rPr>
                <w:rFonts w:ascii="Verdana" w:hAnsi="Verdana"/>
                <w:bCs/>
              </w:rPr>
              <w:t>that the Board level</w:t>
            </w:r>
            <w:r w:rsidRPr="00B57A06">
              <w:rPr>
                <w:rFonts w:ascii="Verdana" w:hAnsi="Verdana"/>
                <w:bCs/>
              </w:rPr>
              <w:t xml:space="preserve"> risk falling within the remit of the Committee</w:t>
            </w:r>
            <w:r>
              <w:rPr>
                <w:rFonts w:ascii="Verdana" w:hAnsi="Verdana"/>
                <w:bCs/>
              </w:rPr>
              <w:t xml:space="preserve"> is considered under Agendum 6 below</w:t>
            </w:r>
            <w:r w:rsidRPr="00B57A06">
              <w:rPr>
                <w:rFonts w:ascii="Verdana" w:hAnsi="Verdana"/>
                <w:bCs/>
              </w:rPr>
              <w:t>.</w:t>
            </w:r>
          </w:p>
          <w:p w14:paraId="4D78CDAD" w14:textId="77777777" w:rsidR="000F5F64" w:rsidRDefault="000F5F64" w:rsidP="000F5F64">
            <w:pPr>
              <w:rPr>
                <w:rFonts w:ascii="Verdana" w:hAnsi="Verdana"/>
                <w:bCs/>
              </w:rPr>
            </w:pPr>
          </w:p>
          <w:p w14:paraId="2E77405D" w14:textId="4A29C72C" w:rsidR="000F5F64" w:rsidRPr="00B57A06" w:rsidRDefault="000F5F64" w:rsidP="000F5F64">
            <w:pPr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No other risks needing to be drawn to the attention of the Audit Committee were identified in the course of the meeting.</w:t>
            </w:r>
          </w:p>
          <w:p w14:paraId="488342FE" w14:textId="6C54A0C0" w:rsidR="000F5F64" w:rsidRDefault="000F5F64" w:rsidP="002D5B58">
            <w:pPr>
              <w:rPr>
                <w:rFonts w:ascii="Verdana" w:hAnsi="Verdana"/>
                <w:b/>
              </w:rPr>
            </w:pPr>
          </w:p>
        </w:tc>
      </w:tr>
      <w:tr w:rsidR="00346D1D" w:rsidRPr="005D6214" w14:paraId="13E4C6D6" w14:textId="77777777" w:rsidTr="00C600CB">
        <w:tc>
          <w:tcPr>
            <w:tcW w:w="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1F514" w14:textId="503153F8" w:rsidR="00346D1D" w:rsidRDefault="000F5F64" w:rsidP="005363B3">
            <w:pPr>
              <w:pStyle w:val="NoSpacing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9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2AF60" w14:textId="77777777" w:rsidR="000F5F64" w:rsidRDefault="000F5F64" w:rsidP="000F5F64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Communications and Marketing, with Special Reference to Student Recruitment 2021-22 in the Context of the Public Health Emergency</w:t>
            </w:r>
          </w:p>
          <w:p w14:paraId="7BCE9247" w14:textId="77777777" w:rsidR="00346D1D" w:rsidRDefault="00346D1D" w:rsidP="00953ACF">
            <w:pPr>
              <w:rPr>
                <w:rFonts w:ascii="Verdana" w:hAnsi="Verdana"/>
                <w:b/>
              </w:rPr>
            </w:pPr>
          </w:p>
          <w:p w14:paraId="361E071B" w14:textId="643AA882" w:rsidR="00346D1D" w:rsidRDefault="00232C98" w:rsidP="00953ACF">
            <w:pPr>
              <w:rPr>
                <w:rFonts w:ascii="Verdana" w:hAnsi="Verdana"/>
              </w:rPr>
            </w:pPr>
            <w:r>
              <w:rPr>
                <w:rFonts w:ascii="Verdana" w:hAnsi="Verdana"/>
                <w:bCs/>
              </w:rPr>
              <w:t xml:space="preserve">A report prepared by the </w:t>
            </w:r>
            <w:r>
              <w:rPr>
                <w:rFonts w:ascii="Verdana" w:hAnsi="Verdana"/>
              </w:rPr>
              <w:t xml:space="preserve">Vice-Principal: </w:t>
            </w:r>
            <w:r w:rsidRPr="00FE7EDC">
              <w:rPr>
                <w:rFonts w:ascii="Verdana" w:hAnsi="Verdana"/>
              </w:rPr>
              <w:t>Student S</w:t>
            </w:r>
            <w:r>
              <w:rPr>
                <w:rFonts w:ascii="Verdana" w:hAnsi="Verdana"/>
              </w:rPr>
              <w:t>ervices and Recruitment</w:t>
            </w:r>
            <w:r w:rsidR="00D606E9">
              <w:rPr>
                <w:rFonts w:ascii="Verdana" w:hAnsi="Verdana"/>
              </w:rPr>
              <w:t>, together with an attendant schematic,</w:t>
            </w:r>
            <w:r>
              <w:rPr>
                <w:rFonts w:ascii="Verdana" w:hAnsi="Verdana"/>
              </w:rPr>
              <w:t xml:space="preserve"> was received and considered.</w:t>
            </w:r>
          </w:p>
          <w:p w14:paraId="6A6B2CA4" w14:textId="2C9C740F" w:rsidR="00232C98" w:rsidRDefault="00232C98" w:rsidP="00953ACF">
            <w:pPr>
              <w:rPr>
                <w:rFonts w:ascii="Verdana" w:hAnsi="Verdana"/>
                <w:bCs/>
              </w:rPr>
            </w:pPr>
          </w:p>
          <w:p w14:paraId="3363BA09" w14:textId="5811750E" w:rsidR="002D5B58" w:rsidRPr="00346D1D" w:rsidRDefault="00232C98" w:rsidP="00232C98">
            <w:pPr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It was noted that:</w:t>
            </w:r>
          </w:p>
        </w:tc>
      </w:tr>
    </w:tbl>
    <w:p w14:paraId="27450A0E" w14:textId="77777777" w:rsidR="000F5F64" w:rsidRDefault="000F5F64" w:rsidP="00626F4B">
      <w:pPr>
        <w:rPr>
          <w:color w:val="FF0000"/>
        </w:rPr>
      </w:pPr>
    </w:p>
    <w:tbl>
      <w:tblPr>
        <w:tblStyle w:val="TableGrid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312"/>
        <w:gridCol w:w="8618"/>
      </w:tblGrid>
      <w:tr w:rsidR="00346D1D" w:rsidRPr="002F412F" w14:paraId="013494D9" w14:textId="77777777" w:rsidTr="00C600CB">
        <w:tc>
          <w:tcPr>
            <w:tcW w:w="534" w:type="dxa"/>
          </w:tcPr>
          <w:p w14:paraId="53229DB4" w14:textId="77777777" w:rsidR="00346D1D" w:rsidRPr="002F412F" w:rsidRDefault="00346D1D" w:rsidP="007A6234">
            <w:pPr>
              <w:rPr>
                <w:rFonts w:ascii="Verdana" w:hAnsi="Verdana"/>
                <w:color w:val="FF0000"/>
              </w:rPr>
            </w:pPr>
          </w:p>
        </w:tc>
        <w:tc>
          <w:tcPr>
            <w:tcW w:w="312" w:type="dxa"/>
          </w:tcPr>
          <w:p w14:paraId="7208D1F6" w14:textId="77777777" w:rsidR="00346D1D" w:rsidRPr="00495EDD" w:rsidRDefault="00346D1D" w:rsidP="007A6234">
            <w:pPr>
              <w:rPr>
                <w:rFonts w:ascii="Verdana" w:hAnsi="Verdana"/>
                <w:b/>
              </w:rPr>
            </w:pPr>
            <w:r w:rsidRPr="00495EDD">
              <w:rPr>
                <w:rFonts w:ascii="Verdana" w:hAnsi="Verdana"/>
                <w:b/>
              </w:rPr>
              <w:t>.</w:t>
            </w:r>
          </w:p>
        </w:tc>
        <w:tc>
          <w:tcPr>
            <w:tcW w:w="8618" w:type="dxa"/>
          </w:tcPr>
          <w:p w14:paraId="721A79CC" w14:textId="091BB514" w:rsidR="000F5F64" w:rsidRPr="00495EDD" w:rsidRDefault="000F5F64" w:rsidP="000F5F64">
            <w:pPr>
              <w:rPr>
                <w:rFonts w:ascii="Verdana" w:hAnsi="Verdana"/>
              </w:rPr>
            </w:pPr>
            <w:r w:rsidRPr="00495EDD">
              <w:rPr>
                <w:rFonts w:ascii="Verdana" w:hAnsi="Verdana"/>
              </w:rPr>
              <w:t xml:space="preserve">the pace of applications and offers had continued to pick up since the December 2020 meeting, with both applications and offers tracking above </w:t>
            </w:r>
            <w:r w:rsidRPr="00495EDD">
              <w:rPr>
                <w:rFonts w:ascii="Verdana" w:hAnsi="Verdana"/>
              </w:rPr>
              <w:lastRenderedPageBreak/>
              <w:t xml:space="preserve">the projected level and </w:t>
            </w:r>
            <w:r w:rsidR="007B0BF5">
              <w:rPr>
                <w:rFonts w:ascii="Verdana" w:hAnsi="Verdana"/>
              </w:rPr>
              <w:t xml:space="preserve">on a </w:t>
            </w:r>
            <w:r w:rsidR="005F1C4D">
              <w:rPr>
                <w:rFonts w:ascii="Verdana" w:hAnsi="Verdana"/>
              </w:rPr>
              <w:t>comparabl</w:t>
            </w:r>
            <w:r w:rsidR="007B0BF5">
              <w:rPr>
                <w:rFonts w:ascii="Verdana" w:hAnsi="Verdana"/>
              </w:rPr>
              <w:t>e basis</w:t>
            </w:r>
            <w:r w:rsidRPr="00495EDD">
              <w:rPr>
                <w:rFonts w:ascii="Verdana" w:hAnsi="Verdana"/>
              </w:rPr>
              <w:t xml:space="preserve"> </w:t>
            </w:r>
            <w:r w:rsidR="005F1C4D">
              <w:rPr>
                <w:rFonts w:ascii="Verdana" w:hAnsi="Verdana"/>
              </w:rPr>
              <w:t>with</w:t>
            </w:r>
            <w:r w:rsidRPr="00495EDD">
              <w:rPr>
                <w:rFonts w:ascii="Verdana" w:hAnsi="Verdana"/>
              </w:rPr>
              <w:t xml:space="preserve"> previous academic years;</w:t>
            </w:r>
          </w:p>
          <w:p w14:paraId="5CB75B40" w14:textId="62BAAF3B" w:rsidR="00781AE3" w:rsidRPr="00495EDD" w:rsidRDefault="00781AE3" w:rsidP="007A6234">
            <w:pPr>
              <w:pStyle w:val="NoSpacing"/>
            </w:pPr>
          </w:p>
        </w:tc>
      </w:tr>
      <w:tr w:rsidR="00346D1D" w:rsidRPr="007C2BF3" w14:paraId="1FDAF7E7" w14:textId="77777777" w:rsidTr="00C600CB">
        <w:tc>
          <w:tcPr>
            <w:tcW w:w="534" w:type="dxa"/>
          </w:tcPr>
          <w:p w14:paraId="593F0034" w14:textId="77777777" w:rsidR="00346D1D" w:rsidRPr="002F412F" w:rsidRDefault="00346D1D" w:rsidP="007A6234">
            <w:pPr>
              <w:rPr>
                <w:rFonts w:ascii="Verdana" w:hAnsi="Verdana"/>
                <w:color w:val="FF0000"/>
              </w:rPr>
            </w:pPr>
          </w:p>
        </w:tc>
        <w:tc>
          <w:tcPr>
            <w:tcW w:w="312" w:type="dxa"/>
          </w:tcPr>
          <w:p w14:paraId="60F7ADA5" w14:textId="77777777" w:rsidR="00346D1D" w:rsidRPr="00495EDD" w:rsidRDefault="00346D1D" w:rsidP="007A6234">
            <w:pPr>
              <w:rPr>
                <w:rFonts w:ascii="Verdana" w:hAnsi="Verdana"/>
                <w:b/>
              </w:rPr>
            </w:pPr>
            <w:r w:rsidRPr="00495EDD">
              <w:rPr>
                <w:rFonts w:ascii="Verdana" w:hAnsi="Verdana"/>
                <w:b/>
              </w:rPr>
              <w:t>.</w:t>
            </w:r>
          </w:p>
        </w:tc>
        <w:tc>
          <w:tcPr>
            <w:tcW w:w="8618" w:type="dxa"/>
          </w:tcPr>
          <w:p w14:paraId="4470CBE9" w14:textId="460AF86F" w:rsidR="000F5F64" w:rsidRPr="00495EDD" w:rsidRDefault="000F5F64" w:rsidP="000F5F64">
            <w:pPr>
              <w:rPr>
                <w:rFonts w:ascii="Verdana" w:hAnsi="Verdana"/>
              </w:rPr>
            </w:pPr>
            <w:r w:rsidRPr="00495EDD">
              <w:rPr>
                <w:rFonts w:ascii="Verdana" w:hAnsi="Verdana"/>
              </w:rPr>
              <w:t xml:space="preserve">given the minimal level of school liaison activity and restrictions on open days </w:t>
            </w:r>
            <w:r w:rsidR="00495EDD" w:rsidRPr="00495EDD">
              <w:rPr>
                <w:rFonts w:ascii="Verdana" w:hAnsi="Verdana"/>
              </w:rPr>
              <w:t>owing to the public health emergency</w:t>
            </w:r>
            <w:r w:rsidRPr="00495EDD">
              <w:rPr>
                <w:rFonts w:ascii="Verdana" w:hAnsi="Verdana"/>
              </w:rPr>
              <w:t xml:space="preserve">, the increase in applications </w:t>
            </w:r>
            <w:r w:rsidR="005F1C4D">
              <w:rPr>
                <w:rFonts w:ascii="Verdana" w:hAnsi="Verdana"/>
              </w:rPr>
              <w:t>attests to</w:t>
            </w:r>
            <w:r w:rsidRPr="00495EDD">
              <w:rPr>
                <w:rFonts w:ascii="Verdana" w:hAnsi="Verdana"/>
              </w:rPr>
              <w:t xml:space="preserve"> </w:t>
            </w:r>
            <w:r w:rsidR="00495EDD" w:rsidRPr="00495EDD">
              <w:rPr>
                <w:rFonts w:ascii="Verdana" w:hAnsi="Verdana"/>
              </w:rPr>
              <w:t xml:space="preserve">the </w:t>
            </w:r>
            <w:r w:rsidRPr="00495EDD">
              <w:rPr>
                <w:rFonts w:ascii="Verdana" w:hAnsi="Verdana"/>
              </w:rPr>
              <w:t xml:space="preserve">success </w:t>
            </w:r>
            <w:r w:rsidR="00495EDD" w:rsidRPr="00495EDD">
              <w:rPr>
                <w:rFonts w:ascii="Verdana" w:hAnsi="Verdana"/>
              </w:rPr>
              <w:t>of the</w:t>
            </w:r>
            <w:r w:rsidRPr="00495EDD">
              <w:rPr>
                <w:rFonts w:ascii="Verdana" w:hAnsi="Verdana"/>
              </w:rPr>
              <w:t xml:space="preserve"> Apply Online campaign</w:t>
            </w:r>
            <w:r w:rsidR="009350F0">
              <w:rPr>
                <w:rFonts w:ascii="Verdana" w:hAnsi="Verdana"/>
              </w:rPr>
              <w:t xml:space="preserve"> featuring</w:t>
            </w:r>
            <w:r w:rsidR="00495EDD" w:rsidRPr="00495EDD">
              <w:rPr>
                <w:rFonts w:ascii="Verdana" w:hAnsi="Verdana"/>
              </w:rPr>
              <w:t xml:space="preserve"> an </w:t>
            </w:r>
            <w:r w:rsidR="003A6523" w:rsidRPr="00495EDD">
              <w:rPr>
                <w:rFonts w:ascii="Verdana" w:hAnsi="Verdana"/>
              </w:rPr>
              <w:t xml:space="preserve">application form </w:t>
            </w:r>
            <w:r w:rsidR="003A6523">
              <w:rPr>
                <w:rFonts w:ascii="Verdana" w:hAnsi="Verdana"/>
              </w:rPr>
              <w:t xml:space="preserve">which is </w:t>
            </w:r>
            <w:r w:rsidR="00495EDD" w:rsidRPr="00495EDD">
              <w:rPr>
                <w:rFonts w:ascii="Verdana" w:hAnsi="Verdana"/>
              </w:rPr>
              <w:t>easier to complete</w:t>
            </w:r>
            <w:r w:rsidRPr="00495EDD">
              <w:rPr>
                <w:rFonts w:ascii="Verdana" w:hAnsi="Verdana"/>
              </w:rPr>
              <w:t xml:space="preserve">, </w:t>
            </w:r>
            <w:r w:rsidR="00495EDD" w:rsidRPr="00495EDD">
              <w:rPr>
                <w:rFonts w:ascii="Verdana" w:hAnsi="Verdana"/>
              </w:rPr>
              <w:t>the</w:t>
            </w:r>
            <w:r w:rsidRPr="00495EDD">
              <w:rPr>
                <w:rFonts w:ascii="Verdana" w:hAnsi="Verdana"/>
              </w:rPr>
              <w:t xml:space="preserve"> new online prospectus and a series of virtual events</w:t>
            </w:r>
            <w:r w:rsidR="00495EDD" w:rsidRPr="00495EDD">
              <w:rPr>
                <w:rFonts w:ascii="Verdana" w:hAnsi="Verdana"/>
              </w:rPr>
              <w:t>;</w:t>
            </w:r>
          </w:p>
          <w:p w14:paraId="18CD87AF" w14:textId="51A7C031" w:rsidR="00232C98" w:rsidRPr="00495EDD" w:rsidRDefault="00232C98" w:rsidP="007A6234">
            <w:pPr>
              <w:pStyle w:val="NoSpacing"/>
            </w:pPr>
          </w:p>
        </w:tc>
      </w:tr>
      <w:tr w:rsidR="00781AE3" w:rsidRPr="007C2BF3" w14:paraId="6150A34D" w14:textId="77777777" w:rsidTr="00C600CB">
        <w:tc>
          <w:tcPr>
            <w:tcW w:w="534" w:type="dxa"/>
          </w:tcPr>
          <w:p w14:paraId="286E0EC3" w14:textId="77777777" w:rsidR="00781AE3" w:rsidRPr="002F412F" w:rsidRDefault="00781AE3" w:rsidP="007A6234">
            <w:pPr>
              <w:rPr>
                <w:rFonts w:ascii="Verdana" w:hAnsi="Verdana"/>
                <w:color w:val="FF0000"/>
              </w:rPr>
            </w:pPr>
          </w:p>
        </w:tc>
        <w:tc>
          <w:tcPr>
            <w:tcW w:w="312" w:type="dxa"/>
          </w:tcPr>
          <w:p w14:paraId="21390949" w14:textId="6FA9C1BD" w:rsidR="00781AE3" w:rsidRPr="00495EDD" w:rsidRDefault="00781AE3" w:rsidP="007A6234">
            <w:pPr>
              <w:rPr>
                <w:rFonts w:ascii="Verdana" w:hAnsi="Verdana"/>
                <w:b/>
              </w:rPr>
            </w:pPr>
            <w:r w:rsidRPr="00495EDD">
              <w:rPr>
                <w:rFonts w:ascii="Verdana" w:hAnsi="Verdana"/>
                <w:b/>
              </w:rPr>
              <w:t>.</w:t>
            </w:r>
          </w:p>
        </w:tc>
        <w:tc>
          <w:tcPr>
            <w:tcW w:w="8618" w:type="dxa"/>
          </w:tcPr>
          <w:p w14:paraId="5EBAEB51" w14:textId="770BC458" w:rsidR="00B44384" w:rsidRPr="00495EDD" w:rsidRDefault="00495EDD" w:rsidP="007A6234">
            <w:pPr>
              <w:pStyle w:val="NoSpacing"/>
            </w:pPr>
            <w:r w:rsidRPr="00495EDD">
              <w:t xml:space="preserve">offers remain the key metric to </w:t>
            </w:r>
            <w:r w:rsidR="009350F0">
              <w:t>monitor</w:t>
            </w:r>
            <w:r w:rsidRPr="00495EDD">
              <w:t>, with their number having accelerated such that the offer rate (67%)</w:t>
            </w:r>
            <w:r w:rsidR="003A6523">
              <w:t>,</w:t>
            </w:r>
            <w:r w:rsidRPr="00495EDD">
              <w:t xml:space="preserve"> represent</w:t>
            </w:r>
            <w:r w:rsidR="003A6523">
              <w:t>ing</w:t>
            </w:r>
            <w:r w:rsidRPr="00495EDD">
              <w:t xml:space="preserve"> a significant improvement since the December meeting, </w:t>
            </w:r>
            <w:r w:rsidR="003A6523">
              <w:t>is</w:t>
            </w:r>
            <w:r w:rsidRPr="00495EDD">
              <w:t xml:space="preserve"> well above the conversion rates of the telephone interviews </w:t>
            </w:r>
            <w:r w:rsidR="003A6523">
              <w:t xml:space="preserve">conducted </w:t>
            </w:r>
            <w:r w:rsidRPr="00495EDD">
              <w:t>last summer, and in line with conversion from face-to-face interviews in previous years;</w:t>
            </w:r>
          </w:p>
          <w:p w14:paraId="24260313" w14:textId="55B6BE9A" w:rsidR="00495EDD" w:rsidRPr="00495EDD" w:rsidRDefault="00495EDD" w:rsidP="007A6234">
            <w:pPr>
              <w:pStyle w:val="NoSpacing"/>
            </w:pPr>
          </w:p>
        </w:tc>
      </w:tr>
      <w:tr w:rsidR="00781AE3" w:rsidRPr="007C2BF3" w14:paraId="32E4E085" w14:textId="77777777" w:rsidTr="00C600CB">
        <w:tc>
          <w:tcPr>
            <w:tcW w:w="534" w:type="dxa"/>
          </w:tcPr>
          <w:p w14:paraId="6D95B209" w14:textId="77777777" w:rsidR="00781AE3" w:rsidRPr="002F412F" w:rsidRDefault="00781AE3" w:rsidP="007A6234">
            <w:pPr>
              <w:rPr>
                <w:rFonts w:ascii="Verdana" w:hAnsi="Verdana"/>
                <w:color w:val="FF0000"/>
              </w:rPr>
            </w:pPr>
          </w:p>
        </w:tc>
        <w:tc>
          <w:tcPr>
            <w:tcW w:w="312" w:type="dxa"/>
          </w:tcPr>
          <w:p w14:paraId="22DC0725" w14:textId="5E7A5004" w:rsidR="00781AE3" w:rsidRPr="002F412F" w:rsidRDefault="00781AE3" w:rsidP="007A6234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.</w:t>
            </w:r>
          </w:p>
        </w:tc>
        <w:tc>
          <w:tcPr>
            <w:tcW w:w="8618" w:type="dxa"/>
          </w:tcPr>
          <w:p w14:paraId="664F6E5D" w14:textId="65AB9EEE" w:rsidR="00495EDD" w:rsidRPr="00495EDD" w:rsidRDefault="00495EDD" w:rsidP="00495EDD">
            <w:pPr>
              <w:rPr>
                <w:rFonts w:ascii="Verdana" w:hAnsi="Verdana"/>
              </w:rPr>
            </w:pPr>
            <w:r w:rsidRPr="00495EDD">
              <w:rPr>
                <w:rFonts w:ascii="Verdana" w:hAnsi="Verdana"/>
              </w:rPr>
              <w:t>the incentive scheme</w:t>
            </w:r>
            <w:r>
              <w:rPr>
                <w:rFonts w:ascii="Verdana" w:hAnsi="Verdana"/>
              </w:rPr>
              <w:t xml:space="preserve"> operated</w:t>
            </w:r>
            <w:r w:rsidRPr="00495EDD">
              <w:rPr>
                <w:rFonts w:ascii="Verdana" w:hAnsi="Verdana"/>
              </w:rPr>
              <w:t xml:space="preserve"> during December </w:t>
            </w:r>
            <w:r>
              <w:rPr>
                <w:rFonts w:ascii="Verdana" w:hAnsi="Verdana"/>
              </w:rPr>
              <w:t>had been</w:t>
            </w:r>
            <w:r w:rsidRPr="00495EDD">
              <w:rPr>
                <w:rFonts w:ascii="Verdana" w:hAnsi="Verdana"/>
              </w:rPr>
              <w:t xml:space="preserve"> taken up </w:t>
            </w:r>
            <w:r w:rsidR="005F1C4D">
              <w:rPr>
                <w:rFonts w:ascii="Verdana" w:hAnsi="Verdana"/>
              </w:rPr>
              <w:t xml:space="preserve">by around 15% of the 220 </w:t>
            </w:r>
            <w:r w:rsidRPr="00495EDD">
              <w:rPr>
                <w:rFonts w:ascii="Verdana" w:hAnsi="Verdana"/>
              </w:rPr>
              <w:t xml:space="preserve">offer holders </w:t>
            </w:r>
            <w:r>
              <w:rPr>
                <w:rFonts w:ascii="Verdana" w:hAnsi="Verdana"/>
              </w:rPr>
              <w:t xml:space="preserve">who, in order </w:t>
            </w:r>
            <w:r w:rsidRPr="00495EDD">
              <w:rPr>
                <w:rFonts w:ascii="Verdana" w:hAnsi="Verdana"/>
              </w:rPr>
              <w:t xml:space="preserve">to receive their incentive, completed a short survey </w:t>
            </w:r>
            <w:r w:rsidR="003A6523">
              <w:rPr>
                <w:rFonts w:ascii="Verdana" w:hAnsi="Verdana"/>
              </w:rPr>
              <w:t>about</w:t>
            </w:r>
            <w:r w:rsidRPr="00495EDD">
              <w:rPr>
                <w:rFonts w:ascii="Verdana" w:hAnsi="Verdana"/>
              </w:rPr>
              <w:t xml:space="preserve"> their experience</w:t>
            </w:r>
            <w:r>
              <w:rPr>
                <w:rFonts w:ascii="Verdana" w:hAnsi="Verdana"/>
              </w:rPr>
              <w:t>, the outcome of which,</w:t>
            </w:r>
            <w:r w:rsidRPr="00495EDD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>w</w:t>
            </w:r>
            <w:r w:rsidRPr="00495EDD">
              <w:rPr>
                <w:rFonts w:ascii="Verdana" w:hAnsi="Verdana"/>
              </w:rPr>
              <w:t xml:space="preserve">hilst not intended to be statistically significant, reported </w:t>
            </w:r>
            <w:r w:rsidR="005F1C4D">
              <w:rPr>
                <w:rFonts w:ascii="Verdana" w:hAnsi="Verdana"/>
              </w:rPr>
              <w:t>all bar one</w:t>
            </w:r>
            <w:r>
              <w:rPr>
                <w:rFonts w:ascii="Verdana" w:hAnsi="Verdana"/>
              </w:rPr>
              <w:t xml:space="preserve"> as</w:t>
            </w:r>
            <w:r w:rsidRPr="00495EDD">
              <w:rPr>
                <w:rFonts w:ascii="Verdana" w:hAnsi="Verdana"/>
              </w:rPr>
              <w:t xml:space="preserve"> either ‘satisfied’ or ‘very satisfied’ with the interview experience, </w:t>
            </w:r>
            <w:r w:rsidR="005F1C4D">
              <w:rPr>
                <w:rFonts w:ascii="Verdana" w:hAnsi="Verdana"/>
              </w:rPr>
              <w:t>with</w:t>
            </w:r>
            <w:r w:rsidRPr="00495EDD">
              <w:rPr>
                <w:rFonts w:ascii="Verdana" w:hAnsi="Verdana"/>
              </w:rPr>
              <w:t xml:space="preserve"> the same number reporting they would recommend the college to a friend</w:t>
            </w:r>
            <w:r w:rsidR="008573B4">
              <w:rPr>
                <w:rFonts w:ascii="Verdana" w:hAnsi="Verdana"/>
              </w:rPr>
              <w:t>;</w:t>
            </w:r>
          </w:p>
          <w:p w14:paraId="6E0AE44A" w14:textId="22C356DD" w:rsidR="008963A3" w:rsidRPr="00495EDD" w:rsidRDefault="008963A3" w:rsidP="007A6234">
            <w:pPr>
              <w:pStyle w:val="NoSpacing"/>
            </w:pPr>
          </w:p>
        </w:tc>
      </w:tr>
      <w:tr w:rsidR="00495EDD" w:rsidRPr="007C2BF3" w14:paraId="5BBBEB66" w14:textId="77777777" w:rsidTr="00C600CB">
        <w:tc>
          <w:tcPr>
            <w:tcW w:w="534" w:type="dxa"/>
          </w:tcPr>
          <w:p w14:paraId="5407A0F4" w14:textId="77777777" w:rsidR="00495EDD" w:rsidRPr="002F412F" w:rsidRDefault="00495EDD" w:rsidP="007A6234">
            <w:pPr>
              <w:rPr>
                <w:rFonts w:ascii="Verdana" w:hAnsi="Verdana"/>
                <w:color w:val="FF0000"/>
              </w:rPr>
            </w:pPr>
          </w:p>
        </w:tc>
        <w:tc>
          <w:tcPr>
            <w:tcW w:w="312" w:type="dxa"/>
          </w:tcPr>
          <w:p w14:paraId="43B68875" w14:textId="10ABE95B" w:rsidR="00495EDD" w:rsidRDefault="00495EDD" w:rsidP="007A6234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.</w:t>
            </w:r>
          </w:p>
        </w:tc>
        <w:tc>
          <w:tcPr>
            <w:tcW w:w="8618" w:type="dxa"/>
          </w:tcPr>
          <w:p w14:paraId="745957C3" w14:textId="5E090BE2" w:rsidR="00495EDD" w:rsidRPr="000400AD" w:rsidRDefault="00495EDD" w:rsidP="007A6234">
            <w:pPr>
              <w:pStyle w:val="NoSpacing"/>
              <w:rPr>
                <w:i/>
                <w:iCs/>
              </w:rPr>
            </w:pPr>
            <w:r w:rsidRPr="008573B4">
              <w:t xml:space="preserve">the improved </w:t>
            </w:r>
            <w:r w:rsidR="008D405D">
              <w:t xml:space="preserve">application-to-offer </w:t>
            </w:r>
            <w:r w:rsidRPr="008573B4">
              <w:t>conversion rate</w:t>
            </w:r>
            <w:r w:rsidR="008D405D">
              <w:t xml:space="preserve"> by comparison with the previous year</w:t>
            </w:r>
            <w:r w:rsidRPr="008573B4">
              <w:t xml:space="preserve"> had continued during January, largely owing, it is believed, to a change in the scheduling of telephone interviews, Year 11 students </w:t>
            </w:r>
            <w:r w:rsidR="008573B4" w:rsidRPr="008573B4">
              <w:t xml:space="preserve">being </w:t>
            </w:r>
            <w:r w:rsidRPr="008573B4">
              <w:t>more likely to be at home and</w:t>
            </w:r>
            <w:r w:rsidR="008573B4" w:rsidRPr="008573B4">
              <w:t xml:space="preserve"> </w:t>
            </w:r>
            <w:r w:rsidR="008D405D">
              <w:t>to have</w:t>
            </w:r>
            <w:r w:rsidRPr="008573B4">
              <w:t xml:space="preserve"> an appetite </w:t>
            </w:r>
            <w:r w:rsidR="008D405D">
              <w:t>for securing</w:t>
            </w:r>
            <w:r w:rsidRPr="008573B4">
              <w:t xml:space="preserve"> a sixth form place in these uncertain times</w:t>
            </w:r>
            <w:r w:rsidR="008573B4" w:rsidRPr="008573B4">
              <w:t>;</w:t>
            </w:r>
            <w:r w:rsidR="000400AD">
              <w:t xml:space="preserve"> </w:t>
            </w:r>
            <w:r w:rsidR="000400AD">
              <w:rPr>
                <w:i/>
                <w:iCs/>
              </w:rPr>
              <w:t>and</w:t>
            </w:r>
          </w:p>
          <w:p w14:paraId="4C9DC5D9" w14:textId="11513B37" w:rsidR="008573B4" w:rsidRPr="008573B4" w:rsidRDefault="008573B4" w:rsidP="007A6234">
            <w:pPr>
              <w:pStyle w:val="NoSpacing"/>
            </w:pPr>
          </w:p>
        </w:tc>
      </w:tr>
      <w:tr w:rsidR="00495EDD" w:rsidRPr="007C2BF3" w14:paraId="13E13A17" w14:textId="77777777" w:rsidTr="00C600CB">
        <w:tc>
          <w:tcPr>
            <w:tcW w:w="534" w:type="dxa"/>
          </w:tcPr>
          <w:p w14:paraId="53429287" w14:textId="77777777" w:rsidR="00495EDD" w:rsidRPr="002F412F" w:rsidRDefault="00495EDD" w:rsidP="007A6234">
            <w:pPr>
              <w:rPr>
                <w:rFonts w:ascii="Verdana" w:hAnsi="Verdana"/>
                <w:color w:val="FF0000"/>
              </w:rPr>
            </w:pPr>
          </w:p>
        </w:tc>
        <w:tc>
          <w:tcPr>
            <w:tcW w:w="312" w:type="dxa"/>
          </w:tcPr>
          <w:p w14:paraId="3BFC2327" w14:textId="2E23FC83" w:rsidR="00495EDD" w:rsidRDefault="00495EDD" w:rsidP="007A6234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.</w:t>
            </w:r>
          </w:p>
        </w:tc>
        <w:tc>
          <w:tcPr>
            <w:tcW w:w="8618" w:type="dxa"/>
          </w:tcPr>
          <w:p w14:paraId="52DD6E67" w14:textId="416AA42D" w:rsidR="008573B4" w:rsidRPr="008573B4" w:rsidRDefault="008573B4" w:rsidP="008573B4">
            <w:pPr>
              <w:rPr>
                <w:rFonts w:ascii="Verdana" w:hAnsi="Verdana"/>
              </w:rPr>
            </w:pPr>
            <w:r w:rsidRPr="008573B4">
              <w:rPr>
                <w:rFonts w:ascii="Verdana" w:hAnsi="Verdana"/>
              </w:rPr>
              <w:t>a small backlog for scheduled interviews</w:t>
            </w:r>
            <w:r>
              <w:rPr>
                <w:rFonts w:ascii="Verdana" w:hAnsi="Verdana"/>
              </w:rPr>
              <w:t>, w</w:t>
            </w:r>
            <w:r w:rsidRPr="008573B4">
              <w:rPr>
                <w:rFonts w:ascii="Verdana" w:hAnsi="Verdana"/>
              </w:rPr>
              <w:t xml:space="preserve">hilst not too large to be problematic for the student experience, </w:t>
            </w:r>
            <w:r>
              <w:rPr>
                <w:rFonts w:ascii="Verdana" w:hAnsi="Verdana"/>
              </w:rPr>
              <w:t>demonstrates</w:t>
            </w:r>
            <w:r w:rsidRPr="008573B4">
              <w:rPr>
                <w:rFonts w:ascii="Verdana" w:hAnsi="Verdana"/>
              </w:rPr>
              <w:t xml:space="preserve"> that there is </w:t>
            </w:r>
            <w:r>
              <w:rPr>
                <w:rFonts w:ascii="Verdana" w:hAnsi="Verdana"/>
              </w:rPr>
              <w:t>sufficient</w:t>
            </w:r>
            <w:r w:rsidRPr="008573B4">
              <w:rPr>
                <w:rFonts w:ascii="Verdana" w:hAnsi="Verdana"/>
              </w:rPr>
              <w:t xml:space="preserve"> demand to </w:t>
            </w:r>
            <w:r>
              <w:rPr>
                <w:rFonts w:ascii="Verdana" w:hAnsi="Verdana"/>
              </w:rPr>
              <w:t>fulfil</w:t>
            </w:r>
            <w:r w:rsidRPr="008573B4">
              <w:rPr>
                <w:rFonts w:ascii="Verdana" w:hAnsi="Verdana"/>
              </w:rPr>
              <w:t xml:space="preserve"> the target for offers in February</w:t>
            </w:r>
            <w:r>
              <w:rPr>
                <w:rFonts w:ascii="Verdana" w:hAnsi="Verdana"/>
              </w:rPr>
              <w:t xml:space="preserve"> </w:t>
            </w:r>
            <w:r w:rsidR="009350F0">
              <w:rPr>
                <w:rFonts w:ascii="Verdana" w:hAnsi="Verdana"/>
              </w:rPr>
              <w:t>(</w:t>
            </w:r>
            <w:r>
              <w:rPr>
                <w:rFonts w:ascii="Verdana" w:hAnsi="Verdana"/>
              </w:rPr>
              <w:t>d</w:t>
            </w:r>
            <w:r w:rsidRPr="008573B4">
              <w:rPr>
                <w:rFonts w:ascii="Verdana" w:hAnsi="Verdana"/>
              </w:rPr>
              <w:t xml:space="preserve">uring January 135 interviews </w:t>
            </w:r>
            <w:r>
              <w:rPr>
                <w:rFonts w:ascii="Verdana" w:hAnsi="Verdana"/>
              </w:rPr>
              <w:t>had been</w:t>
            </w:r>
            <w:r w:rsidRPr="008573B4">
              <w:rPr>
                <w:rFonts w:ascii="Verdana" w:hAnsi="Verdana"/>
              </w:rPr>
              <w:t xml:space="preserve"> scheduled each week</w:t>
            </w:r>
            <w:r>
              <w:rPr>
                <w:rFonts w:ascii="Verdana" w:hAnsi="Verdana"/>
              </w:rPr>
              <w:t>,</w:t>
            </w:r>
            <w:r w:rsidRPr="008573B4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 xml:space="preserve">which </w:t>
            </w:r>
            <w:r w:rsidR="009350F0">
              <w:rPr>
                <w:rFonts w:ascii="Verdana" w:hAnsi="Verdana"/>
              </w:rPr>
              <w:t>is expected to</w:t>
            </w:r>
            <w:r w:rsidRPr="008573B4">
              <w:rPr>
                <w:rFonts w:ascii="Verdana" w:hAnsi="Verdana"/>
              </w:rPr>
              <w:t xml:space="preserve"> rise to 200</w:t>
            </w:r>
            <w:r w:rsidR="00833FCB">
              <w:rPr>
                <w:rFonts w:ascii="Verdana" w:hAnsi="Verdana"/>
              </w:rPr>
              <w:t xml:space="preserve"> per week</w:t>
            </w:r>
            <w:r>
              <w:rPr>
                <w:rFonts w:ascii="Verdana" w:hAnsi="Verdana"/>
              </w:rPr>
              <w:t xml:space="preserve"> in February</w:t>
            </w:r>
            <w:r w:rsidR="009350F0">
              <w:rPr>
                <w:rFonts w:ascii="Verdana" w:hAnsi="Verdana"/>
              </w:rPr>
              <w:t>)</w:t>
            </w:r>
            <w:r>
              <w:rPr>
                <w:rFonts w:ascii="Verdana" w:hAnsi="Verdana"/>
              </w:rPr>
              <w:t>.</w:t>
            </w:r>
          </w:p>
        </w:tc>
      </w:tr>
    </w:tbl>
    <w:p w14:paraId="4818C041" w14:textId="77777777" w:rsidR="009C081E" w:rsidRDefault="009C081E" w:rsidP="00626F4B">
      <w:pPr>
        <w:rPr>
          <w:color w:val="FF0000"/>
        </w:rPr>
      </w:pPr>
    </w:p>
    <w:tbl>
      <w:tblPr>
        <w:tblW w:w="946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9"/>
        <w:gridCol w:w="8935"/>
      </w:tblGrid>
      <w:tr w:rsidR="008573B4" w:rsidRPr="00346D1D" w14:paraId="7CC1CA08" w14:textId="77777777" w:rsidTr="00C600CB">
        <w:tc>
          <w:tcPr>
            <w:tcW w:w="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5CF9E" w14:textId="575A62CB" w:rsidR="008573B4" w:rsidRDefault="008573B4" w:rsidP="00FD3C9C">
            <w:pPr>
              <w:pStyle w:val="NoSpacing"/>
              <w:rPr>
                <w:b/>
              </w:rPr>
            </w:pPr>
          </w:p>
        </w:tc>
        <w:tc>
          <w:tcPr>
            <w:tcW w:w="89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7DD4E" w14:textId="282FB59D" w:rsidR="008573B4" w:rsidRPr="00346D1D" w:rsidRDefault="000400AD" w:rsidP="00FD3C9C">
            <w:pPr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In relation to specific initiatives, it was noted that:</w:t>
            </w:r>
          </w:p>
        </w:tc>
      </w:tr>
    </w:tbl>
    <w:p w14:paraId="41FAA8F4" w14:textId="48308164" w:rsidR="000F5F64" w:rsidRDefault="000F5F64" w:rsidP="00626F4B">
      <w:pPr>
        <w:rPr>
          <w:color w:val="FF0000"/>
        </w:rPr>
      </w:pPr>
    </w:p>
    <w:tbl>
      <w:tblPr>
        <w:tblStyle w:val="TableGrid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312"/>
        <w:gridCol w:w="8618"/>
      </w:tblGrid>
      <w:tr w:rsidR="008573B4" w14:paraId="5B9A28F6" w14:textId="77777777" w:rsidTr="00C600CB">
        <w:tc>
          <w:tcPr>
            <w:tcW w:w="534" w:type="dxa"/>
          </w:tcPr>
          <w:p w14:paraId="05C95C88" w14:textId="77777777" w:rsidR="008573B4" w:rsidRPr="002F412F" w:rsidRDefault="008573B4" w:rsidP="00FD3C9C">
            <w:pPr>
              <w:rPr>
                <w:rFonts w:ascii="Verdana" w:hAnsi="Verdana"/>
                <w:color w:val="FF0000"/>
              </w:rPr>
            </w:pPr>
          </w:p>
        </w:tc>
        <w:tc>
          <w:tcPr>
            <w:tcW w:w="312" w:type="dxa"/>
          </w:tcPr>
          <w:p w14:paraId="18EF8E60" w14:textId="77777777" w:rsidR="008573B4" w:rsidRDefault="008573B4" w:rsidP="00FD3C9C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.</w:t>
            </w:r>
          </w:p>
        </w:tc>
        <w:tc>
          <w:tcPr>
            <w:tcW w:w="8618" w:type="dxa"/>
          </w:tcPr>
          <w:p w14:paraId="6E26BADD" w14:textId="5D381AD6" w:rsidR="000400AD" w:rsidRPr="000400AD" w:rsidRDefault="000400AD" w:rsidP="000400AD">
            <w:pPr>
              <w:pStyle w:val="PlainText"/>
              <w:rPr>
                <w:rFonts w:ascii="Verdana" w:hAnsi="Verdana"/>
                <w:i/>
                <w:iCs/>
              </w:rPr>
            </w:pPr>
            <w:r>
              <w:rPr>
                <w:rFonts w:ascii="Verdana" w:hAnsi="Verdana"/>
              </w:rPr>
              <w:t xml:space="preserve">a </w:t>
            </w:r>
            <w:r w:rsidRPr="000400AD">
              <w:rPr>
                <w:rFonts w:ascii="Verdana" w:hAnsi="Verdana"/>
              </w:rPr>
              <w:t xml:space="preserve">new college promotion video and web prospectus had been soft-launched on the website before the end of the </w:t>
            </w:r>
            <w:r>
              <w:rPr>
                <w:rFonts w:ascii="Verdana" w:hAnsi="Verdana"/>
              </w:rPr>
              <w:t>Autumn</w:t>
            </w:r>
            <w:r w:rsidRPr="000400AD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>T</w:t>
            </w:r>
            <w:r w:rsidRPr="000400AD">
              <w:rPr>
                <w:rFonts w:ascii="Verdana" w:hAnsi="Verdana"/>
              </w:rPr>
              <w:t>erm;</w:t>
            </w:r>
            <w:r>
              <w:rPr>
                <w:rFonts w:ascii="Verdana" w:hAnsi="Verdana"/>
              </w:rPr>
              <w:t xml:space="preserve"> </w:t>
            </w:r>
            <w:r w:rsidRPr="000400AD">
              <w:rPr>
                <w:rFonts w:ascii="Verdana" w:hAnsi="Verdana"/>
                <w:i/>
                <w:iCs/>
              </w:rPr>
              <w:t>and</w:t>
            </w:r>
          </w:p>
          <w:p w14:paraId="3935AF7D" w14:textId="77777777" w:rsidR="008573B4" w:rsidRPr="000400AD" w:rsidRDefault="008573B4" w:rsidP="000400AD">
            <w:pPr>
              <w:rPr>
                <w:rFonts w:ascii="Verdana" w:hAnsi="Verdana"/>
              </w:rPr>
            </w:pPr>
          </w:p>
        </w:tc>
      </w:tr>
      <w:tr w:rsidR="008573B4" w:rsidRPr="000400AD" w14:paraId="17FF110F" w14:textId="77777777" w:rsidTr="00C600CB">
        <w:tc>
          <w:tcPr>
            <w:tcW w:w="534" w:type="dxa"/>
          </w:tcPr>
          <w:p w14:paraId="44223FBB" w14:textId="77777777" w:rsidR="008573B4" w:rsidRPr="000400AD" w:rsidRDefault="008573B4" w:rsidP="00FD3C9C">
            <w:pPr>
              <w:rPr>
                <w:rFonts w:ascii="Verdana" w:hAnsi="Verdana"/>
                <w:color w:val="FF0000"/>
              </w:rPr>
            </w:pPr>
          </w:p>
        </w:tc>
        <w:tc>
          <w:tcPr>
            <w:tcW w:w="312" w:type="dxa"/>
          </w:tcPr>
          <w:p w14:paraId="70F3C505" w14:textId="77777777" w:rsidR="008573B4" w:rsidRPr="000400AD" w:rsidRDefault="008573B4" w:rsidP="00FD3C9C">
            <w:pPr>
              <w:rPr>
                <w:rFonts w:ascii="Verdana" w:hAnsi="Verdana"/>
                <w:b/>
              </w:rPr>
            </w:pPr>
            <w:r w:rsidRPr="000400AD">
              <w:rPr>
                <w:rFonts w:ascii="Verdana" w:hAnsi="Verdana"/>
                <w:b/>
              </w:rPr>
              <w:t>.</w:t>
            </w:r>
          </w:p>
        </w:tc>
        <w:tc>
          <w:tcPr>
            <w:tcW w:w="8618" w:type="dxa"/>
          </w:tcPr>
          <w:p w14:paraId="52DA33B9" w14:textId="39596292" w:rsidR="008573B4" w:rsidRPr="000400AD" w:rsidRDefault="000400AD" w:rsidP="000400AD">
            <w:pPr>
              <w:rPr>
                <w:rFonts w:ascii="Verdana" w:hAnsi="Verdana"/>
              </w:rPr>
            </w:pPr>
            <w:r w:rsidRPr="000400AD">
              <w:rPr>
                <w:rFonts w:ascii="Verdana" w:hAnsi="Verdana"/>
              </w:rPr>
              <w:t xml:space="preserve">prospective students are being “kept warm” with interactive sessions, updates per pathway area and competitions - as part of this, ‘My </w:t>
            </w:r>
            <w:proofErr w:type="spellStart"/>
            <w:r w:rsidRPr="000400AD">
              <w:rPr>
                <w:rFonts w:ascii="Verdana" w:hAnsi="Verdana"/>
              </w:rPr>
              <w:t>Monoux</w:t>
            </w:r>
            <w:proofErr w:type="spellEnd"/>
            <w:r w:rsidRPr="000400AD">
              <w:rPr>
                <w:rFonts w:ascii="Verdana" w:hAnsi="Verdana"/>
              </w:rPr>
              <w:t xml:space="preserve">’ had been launched (a digital “keep warm” platform for </w:t>
            </w:r>
            <w:r w:rsidR="003A6523">
              <w:rPr>
                <w:rFonts w:ascii="Verdana" w:hAnsi="Verdana"/>
              </w:rPr>
              <w:t>those</w:t>
            </w:r>
            <w:r w:rsidRPr="000400AD">
              <w:rPr>
                <w:rFonts w:ascii="Verdana" w:hAnsi="Verdana"/>
              </w:rPr>
              <w:t xml:space="preserve"> hold</w:t>
            </w:r>
            <w:r w:rsidR="003A6523">
              <w:rPr>
                <w:rFonts w:ascii="Verdana" w:hAnsi="Verdana"/>
              </w:rPr>
              <w:t>ing offers</w:t>
            </w:r>
            <w:r w:rsidRPr="000400AD">
              <w:rPr>
                <w:rFonts w:ascii="Verdana" w:hAnsi="Verdana"/>
              </w:rPr>
              <w:t>).</w:t>
            </w:r>
          </w:p>
        </w:tc>
      </w:tr>
    </w:tbl>
    <w:p w14:paraId="07E0B0A0" w14:textId="33293AA6" w:rsidR="000F5F64" w:rsidRDefault="000F5F64" w:rsidP="00626F4B">
      <w:pPr>
        <w:rPr>
          <w:color w:val="FF0000"/>
        </w:rPr>
      </w:pPr>
    </w:p>
    <w:tbl>
      <w:tblPr>
        <w:tblW w:w="946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9"/>
        <w:gridCol w:w="8935"/>
      </w:tblGrid>
      <w:tr w:rsidR="00833FCB" w:rsidRPr="000400AD" w14:paraId="53A395AA" w14:textId="77777777" w:rsidTr="00C600CB">
        <w:tc>
          <w:tcPr>
            <w:tcW w:w="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4A8C7" w14:textId="77777777" w:rsidR="00833FCB" w:rsidRPr="000400AD" w:rsidRDefault="00833FCB" w:rsidP="00C2076C">
            <w:pPr>
              <w:pStyle w:val="NoSpacing"/>
              <w:rPr>
                <w:b/>
              </w:rPr>
            </w:pPr>
          </w:p>
        </w:tc>
        <w:tc>
          <w:tcPr>
            <w:tcW w:w="89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BCAD5" w14:textId="10C0927B" w:rsidR="00833FCB" w:rsidRDefault="00833FCB" w:rsidP="00C2076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It was also noted that the College</w:t>
            </w:r>
            <w:r w:rsidRPr="000400AD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 xml:space="preserve">is </w:t>
            </w:r>
            <w:r w:rsidRPr="000400AD">
              <w:rPr>
                <w:rFonts w:ascii="Verdana" w:hAnsi="Verdana"/>
              </w:rPr>
              <w:t xml:space="preserve">currently considering what impact the revised GCSE process this year </w:t>
            </w:r>
            <w:r>
              <w:rPr>
                <w:rFonts w:ascii="Verdana" w:hAnsi="Verdana"/>
              </w:rPr>
              <w:t>may</w:t>
            </w:r>
            <w:r w:rsidRPr="000400AD">
              <w:rPr>
                <w:rFonts w:ascii="Verdana" w:hAnsi="Verdana"/>
              </w:rPr>
              <w:t xml:space="preserve"> have on enrolment. </w:t>
            </w:r>
            <w:r>
              <w:rPr>
                <w:rFonts w:ascii="Verdana" w:hAnsi="Verdana"/>
              </w:rPr>
              <w:t xml:space="preserve"> </w:t>
            </w:r>
            <w:r w:rsidRPr="000400AD">
              <w:rPr>
                <w:rFonts w:ascii="Verdana" w:hAnsi="Verdana"/>
              </w:rPr>
              <w:t xml:space="preserve">The current consultation proposes that results will be released from mid-July. This presents an opportunity for Year 11’s to have </w:t>
            </w:r>
            <w:r>
              <w:rPr>
                <w:rFonts w:ascii="Verdana" w:hAnsi="Verdana"/>
              </w:rPr>
              <w:t>a measure of</w:t>
            </w:r>
            <w:r w:rsidRPr="000400AD">
              <w:rPr>
                <w:rFonts w:ascii="Verdana" w:hAnsi="Verdana"/>
              </w:rPr>
              <w:t xml:space="preserve"> security </w:t>
            </w:r>
            <w:r>
              <w:rPr>
                <w:rFonts w:ascii="Verdana" w:hAnsi="Verdana"/>
              </w:rPr>
              <w:t>concerning</w:t>
            </w:r>
            <w:r w:rsidRPr="000400AD">
              <w:rPr>
                <w:rFonts w:ascii="Verdana" w:hAnsi="Verdana"/>
              </w:rPr>
              <w:t xml:space="preserve"> their </w:t>
            </w:r>
            <w:r w:rsidR="003A6523">
              <w:rPr>
                <w:rFonts w:ascii="Verdana" w:hAnsi="Verdana"/>
              </w:rPr>
              <w:t xml:space="preserve">College </w:t>
            </w:r>
            <w:r w:rsidRPr="000400AD">
              <w:rPr>
                <w:rFonts w:ascii="Verdana" w:hAnsi="Verdana"/>
              </w:rPr>
              <w:t xml:space="preserve">place </w:t>
            </w:r>
            <w:r>
              <w:rPr>
                <w:rFonts w:ascii="Verdana" w:hAnsi="Verdana"/>
              </w:rPr>
              <w:t xml:space="preserve">at an </w:t>
            </w:r>
            <w:r w:rsidRPr="000400AD">
              <w:rPr>
                <w:rFonts w:ascii="Verdana" w:hAnsi="Verdana"/>
              </w:rPr>
              <w:t>earlier</w:t>
            </w:r>
            <w:r>
              <w:rPr>
                <w:rFonts w:ascii="Verdana" w:hAnsi="Verdana"/>
              </w:rPr>
              <w:t xml:space="preserve"> date</w:t>
            </w:r>
            <w:r w:rsidRPr="000400AD">
              <w:rPr>
                <w:rFonts w:ascii="Verdana" w:hAnsi="Verdana"/>
              </w:rPr>
              <w:t xml:space="preserve"> than in a normal year. </w:t>
            </w:r>
            <w:r w:rsidR="009F2F4A">
              <w:rPr>
                <w:rFonts w:ascii="Verdana" w:hAnsi="Verdana"/>
              </w:rPr>
              <w:t xml:space="preserve">  The College is developing models to deal with a variety of dates for the release of examination results</w:t>
            </w:r>
            <w:r w:rsidR="00DA1406">
              <w:rPr>
                <w:rFonts w:ascii="Verdana" w:hAnsi="Verdana"/>
              </w:rPr>
              <w:t>, including arrangements for staffing.</w:t>
            </w:r>
          </w:p>
          <w:p w14:paraId="3C4146FD" w14:textId="77777777" w:rsidR="00833FCB" w:rsidRDefault="00833FCB" w:rsidP="00C2076C">
            <w:pPr>
              <w:rPr>
                <w:rFonts w:ascii="Verdana" w:hAnsi="Verdana"/>
                <w:bCs/>
              </w:rPr>
            </w:pPr>
          </w:p>
          <w:p w14:paraId="0A6D3029" w14:textId="37D84597" w:rsidR="00833FCB" w:rsidRDefault="009F2F4A" w:rsidP="009F2F4A">
            <w:pPr>
              <w:rPr>
                <w:rFonts w:ascii="Verdana" w:hAnsi="Verdana"/>
              </w:rPr>
            </w:pPr>
            <w:r>
              <w:rPr>
                <w:rFonts w:ascii="Verdana" w:hAnsi="Verdana"/>
                <w:bCs/>
              </w:rPr>
              <w:t xml:space="preserve">The </w:t>
            </w:r>
            <w:r w:rsidR="00671D7B">
              <w:rPr>
                <w:rFonts w:ascii="Verdana" w:hAnsi="Verdana"/>
              </w:rPr>
              <w:t xml:space="preserve">Vice-Principal: </w:t>
            </w:r>
            <w:r w:rsidR="00671D7B" w:rsidRPr="00FE7EDC">
              <w:rPr>
                <w:rFonts w:ascii="Verdana" w:hAnsi="Verdana"/>
              </w:rPr>
              <w:t>Student S</w:t>
            </w:r>
            <w:r w:rsidR="00671D7B">
              <w:rPr>
                <w:rFonts w:ascii="Verdana" w:hAnsi="Verdana"/>
              </w:rPr>
              <w:t xml:space="preserve">ervices and Recruitment observed that the College has developed a reputational strength for online learning and maintaining positive contacts with students, both of which may </w:t>
            </w:r>
            <w:r w:rsidR="003A6523">
              <w:rPr>
                <w:rFonts w:ascii="Verdana" w:hAnsi="Verdana"/>
              </w:rPr>
              <w:t>assist</w:t>
            </w:r>
            <w:r w:rsidR="00671D7B">
              <w:rPr>
                <w:rFonts w:ascii="Verdana" w:hAnsi="Verdana"/>
              </w:rPr>
              <w:t xml:space="preserve"> recruitment.</w:t>
            </w:r>
          </w:p>
          <w:p w14:paraId="5D4E00AB" w14:textId="147C8D12" w:rsidR="00671D7B" w:rsidRDefault="00671D7B" w:rsidP="009F2F4A">
            <w:pPr>
              <w:rPr>
                <w:rFonts w:ascii="Verdana" w:hAnsi="Verdana"/>
              </w:rPr>
            </w:pPr>
          </w:p>
          <w:p w14:paraId="093CBA11" w14:textId="44943D35" w:rsidR="00671D7B" w:rsidRDefault="00671D7B" w:rsidP="009F2F4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The Principal drew attention to the risk in terms of enrolment numbers of lower internal progression resulting from the effects of Centre-Assessed Grades on the </w:t>
            </w:r>
            <w:r w:rsidR="00C600CB">
              <w:rPr>
                <w:rFonts w:ascii="Verdana" w:hAnsi="Verdana"/>
              </w:rPr>
              <w:t>quality</w:t>
            </w:r>
            <w:r>
              <w:rPr>
                <w:rFonts w:ascii="Verdana" w:hAnsi="Verdana"/>
              </w:rPr>
              <w:t xml:space="preserve"> of students </w:t>
            </w:r>
            <w:r w:rsidR="003A6523">
              <w:rPr>
                <w:rFonts w:ascii="Verdana" w:hAnsi="Verdana"/>
              </w:rPr>
              <w:t>entering the College</w:t>
            </w:r>
            <w:r>
              <w:rPr>
                <w:rFonts w:ascii="Verdana" w:hAnsi="Verdana"/>
              </w:rPr>
              <w:t xml:space="preserve"> in 2020, and of the College</w:t>
            </w:r>
            <w:r w:rsidR="003A6523">
              <w:rPr>
                <w:rFonts w:ascii="Verdana" w:hAnsi="Verdana"/>
              </w:rPr>
              <w:t>’</w:t>
            </w:r>
            <w:r>
              <w:rPr>
                <w:rFonts w:ascii="Verdana" w:hAnsi="Verdana"/>
              </w:rPr>
              <w:t>s own equivalent processes in determining progress</w:t>
            </w:r>
            <w:r w:rsidR="003A6523">
              <w:rPr>
                <w:rFonts w:ascii="Verdana" w:hAnsi="Verdana"/>
              </w:rPr>
              <w:t>ion</w:t>
            </w:r>
            <w:r>
              <w:rPr>
                <w:rFonts w:ascii="Verdana" w:hAnsi="Verdana"/>
              </w:rPr>
              <w:t xml:space="preserve"> between </w:t>
            </w:r>
            <w:r w:rsidR="003A6523">
              <w:rPr>
                <w:rFonts w:ascii="Verdana" w:hAnsi="Verdana"/>
              </w:rPr>
              <w:t xml:space="preserve">the first and second </w:t>
            </w:r>
            <w:r>
              <w:rPr>
                <w:rFonts w:ascii="Verdana" w:hAnsi="Verdana"/>
              </w:rPr>
              <w:t>years</w:t>
            </w:r>
            <w:r w:rsidR="003A6523">
              <w:rPr>
                <w:rFonts w:ascii="Verdana" w:hAnsi="Verdana"/>
              </w:rPr>
              <w:t xml:space="preserve"> of vocational programmes</w:t>
            </w:r>
            <w:r>
              <w:rPr>
                <w:rFonts w:ascii="Verdana" w:hAnsi="Verdana"/>
              </w:rPr>
              <w:t xml:space="preserve">.  He </w:t>
            </w:r>
            <w:r w:rsidR="003A6523">
              <w:rPr>
                <w:rFonts w:ascii="Verdana" w:hAnsi="Verdana"/>
              </w:rPr>
              <w:t xml:space="preserve">expressed concern that </w:t>
            </w:r>
            <w:r>
              <w:rPr>
                <w:rFonts w:ascii="Verdana" w:hAnsi="Verdana"/>
              </w:rPr>
              <w:t xml:space="preserve">the level of student engagement may </w:t>
            </w:r>
            <w:r w:rsidR="003A6523">
              <w:rPr>
                <w:rFonts w:ascii="Verdana" w:hAnsi="Verdana"/>
              </w:rPr>
              <w:t xml:space="preserve">also </w:t>
            </w:r>
            <w:r>
              <w:rPr>
                <w:rFonts w:ascii="Verdana" w:hAnsi="Verdana"/>
              </w:rPr>
              <w:t xml:space="preserve">be </w:t>
            </w:r>
            <w:r w:rsidR="003A6523">
              <w:rPr>
                <w:rFonts w:ascii="Verdana" w:hAnsi="Verdana"/>
              </w:rPr>
              <w:t>adversely affected</w:t>
            </w:r>
            <w:r>
              <w:rPr>
                <w:rFonts w:ascii="Verdana" w:hAnsi="Verdana"/>
              </w:rPr>
              <w:t xml:space="preserve"> by the further national lockdown, leading to poorer </w:t>
            </w:r>
            <w:r w:rsidR="003A6523">
              <w:rPr>
                <w:rFonts w:ascii="Verdana" w:hAnsi="Verdana"/>
              </w:rPr>
              <w:t xml:space="preserve">overall </w:t>
            </w:r>
            <w:r>
              <w:rPr>
                <w:rFonts w:ascii="Verdana" w:hAnsi="Verdana"/>
              </w:rPr>
              <w:t>performance</w:t>
            </w:r>
            <w:r w:rsidR="003A6523">
              <w:rPr>
                <w:rFonts w:ascii="Verdana" w:hAnsi="Verdana"/>
              </w:rPr>
              <w:t xml:space="preserve"> among students due to progress</w:t>
            </w:r>
            <w:r w:rsidR="00C600CB">
              <w:rPr>
                <w:rFonts w:ascii="Verdana" w:hAnsi="Verdana"/>
              </w:rPr>
              <w:t xml:space="preserve"> within the College</w:t>
            </w:r>
            <w:r w:rsidR="003A6523">
              <w:rPr>
                <w:rFonts w:ascii="Verdana" w:hAnsi="Verdana"/>
              </w:rPr>
              <w:t xml:space="preserve"> in the current year</w:t>
            </w:r>
            <w:r>
              <w:rPr>
                <w:rFonts w:ascii="Verdana" w:hAnsi="Verdana"/>
              </w:rPr>
              <w:t>.</w:t>
            </w:r>
          </w:p>
          <w:p w14:paraId="5DA03FC2" w14:textId="67BACC8B" w:rsidR="00671D7B" w:rsidRDefault="00671D7B" w:rsidP="009F2F4A">
            <w:pPr>
              <w:rPr>
                <w:rFonts w:ascii="Verdana" w:hAnsi="Verdana"/>
              </w:rPr>
            </w:pPr>
          </w:p>
          <w:p w14:paraId="0445CCE3" w14:textId="29EBD682" w:rsidR="00671D7B" w:rsidRDefault="00671D7B" w:rsidP="009F2F4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It was stated that the estimates in this regard should be quantifiable by late March, but that at present an estimate of 50 fewer students would be a reasonable expectation.  The outcome is not, however, </w:t>
            </w:r>
            <w:r w:rsidR="003A6523">
              <w:rPr>
                <w:rFonts w:ascii="Verdana" w:hAnsi="Verdana"/>
              </w:rPr>
              <w:t>anticipa</w:t>
            </w:r>
            <w:r>
              <w:rPr>
                <w:rFonts w:ascii="Verdana" w:hAnsi="Verdana"/>
              </w:rPr>
              <w:t xml:space="preserve">ted to reduce overall enrolment </w:t>
            </w:r>
            <w:r w:rsidR="003A6523">
              <w:rPr>
                <w:rFonts w:ascii="Verdana" w:hAnsi="Verdana"/>
              </w:rPr>
              <w:t xml:space="preserve">numbers </w:t>
            </w:r>
            <w:r>
              <w:rPr>
                <w:rFonts w:ascii="Verdana" w:hAnsi="Verdana"/>
              </w:rPr>
              <w:t>below the target of 1,820.</w:t>
            </w:r>
          </w:p>
          <w:p w14:paraId="7832F228" w14:textId="5580F2DA" w:rsidR="00671D7B" w:rsidRDefault="00671D7B" w:rsidP="009F2F4A">
            <w:pPr>
              <w:rPr>
                <w:rFonts w:ascii="Verdana" w:hAnsi="Verdana"/>
              </w:rPr>
            </w:pPr>
          </w:p>
          <w:p w14:paraId="621481FF" w14:textId="2B111F0E" w:rsidR="00671D7B" w:rsidRDefault="00671D7B" w:rsidP="009F2F4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The Chair of the Committee asked if students might be able to repeat years.  It was noted that funding had been </w:t>
            </w:r>
            <w:r w:rsidR="003A6523">
              <w:rPr>
                <w:rFonts w:ascii="Verdana" w:hAnsi="Verdana"/>
              </w:rPr>
              <w:t xml:space="preserve">made </w:t>
            </w:r>
            <w:r>
              <w:rPr>
                <w:rFonts w:ascii="Verdana" w:hAnsi="Verdana"/>
              </w:rPr>
              <w:t xml:space="preserve">available by the </w:t>
            </w:r>
            <w:r w:rsidR="003A6523">
              <w:rPr>
                <w:rFonts w:ascii="Verdana" w:hAnsi="Verdana"/>
              </w:rPr>
              <w:t>G</w:t>
            </w:r>
            <w:r>
              <w:rPr>
                <w:rFonts w:ascii="Verdana" w:hAnsi="Verdana"/>
              </w:rPr>
              <w:t xml:space="preserve">overnment for this purpose, but that repeat years are not without educational disadvantages (e.g. maintaining engagement over those parts of the syllabus which the student has already </w:t>
            </w:r>
            <w:r w:rsidR="003A6523">
              <w:rPr>
                <w:rFonts w:ascii="Verdana" w:hAnsi="Verdana"/>
              </w:rPr>
              <w:t>studied</w:t>
            </w:r>
            <w:r>
              <w:rPr>
                <w:rFonts w:ascii="Verdana" w:hAnsi="Verdana"/>
              </w:rPr>
              <w:t xml:space="preserve"> in a face-to-face </w:t>
            </w:r>
            <w:r w:rsidR="003A6523">
              <w:rPr>
                <w:rFonts w:ascii="Verdana" w:hAnsi="Verdana"/>
              </w:rPr>
              <w:t>context</w:t>
            </w:r>
            <w:r>
              <w:rPr>
                <w:rFonts w:ascii="Verdana" w:hAnsi="Verdana"/>
              </w:rPr>
              <w:t>).</w:t>
            </w:r>
          </w:p>
          <w:p w14:paraId="7A0B1D52" w14:textId="77777777" w:rsidR="00671D7B" w:rsidRDefault="00671D7B" w:rsidP="009F2F4A">
            <w:pPr>
              <w:rPr>
                <w:rFonts w:ascii="Verdana" w:hAnsi="Verdana"/>
              </w:rPr>
            </w:pPr>
          </w:p>
          <w:p w14:paraId="5A45E193" w14:textId="1CC0842C" w:rsidR="00DA1406" w:rsidRDefault="00671D7B" w:rsidP="009F2F4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It was agreed that </w:t>
            </w:r>
            <w:r w:rsidR="00DA1406">
              <w:rPr>
                <w:rFonts w:ascii="Verdana" w:hAnsi="Verdana"/>
              </w:rPr>
              <w:t xml:space="preserve">a second year without formal examinations is likely to exacerbate the problem in the future, though assessment processes </w:t>
            </w:r>
            <w:r w:rsidR="003A6523">
              <w:rPr>
                <w:rFonts w:ascii="Verdana" w:hAnsi="Verdana"/>
              </w:rPr>
              <w:t>are expected to</w:t>
            </w:r>
            <w:r w:rsidR="00DA1406">
              <w:rPr>
                <w:rFonts w:ascii="Verdana" w:hAnsi="Verdana"/>
              </w:rPr>
              <w:t xml:space="preserve"> be more rigorous in 2021 than in 2020.</w:t>
            </w:r>
          </w:p>
          <w:p w14:paraId="7E19600D" w14:textId="77777777" w:rsidR="00DA1406" w:rsidRDefault="00DA1406" w:rsidP="009F2F4A">
            <w:pPr>
              <w:rPr>
                <w:rFonts w:ascii="Verdana" w:hAnsi="Verdana"/>
              </w:rPr>
            </w:pPr>
          </w:p>
          <w:p w14:paraId="4EF16B96" w14:textId="122F012F" w:rsidR="00671D7B" w:rsidRDefault="00DA1406" w:rsidP="009F2F4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It was noted that applications are projected to </w:t>
            </w:r>
            <w:r w:rsidR="003A6523">
              <w:rPr>
                <w:rFonts w:ascii="Verdana" w:hAnsi="Verdana"/>
              </w:rPr>
              <w:t>be received</w:t>
            </w:r>
            <w:r>
              <w:rPr>
                <w:rFonts w:ascii="Verdana" w:hAnsi="Verdana"/>
              </w:rPr>
              <w:t xml:space="preserve"> more evenly over the 2020-21 year than in 2019-20, with offers </w:t>
            </w:r>
            <w:r w:rsidR="00091C4E">
              <w:rPr>
                <w:rFonts w:ascii="Verdana" w:hAnsi="Verdana"/>
              </w:rPr>
              <w:t>showing a similar pattern</w:t>
            </w:r>
            <w:r>
              <w:rPr>
                <w:rFonts w:ascii="Verdana" w:hAnsi="Verdana"/>
              </w:rPr>
              <w:t>.</w:t>
            </w:r>
            <w:r w:rsidR="00671D7B">
              <w:rPr>
                <w:rFonts w:ascii="Verdana" w:hAnsi="Verdana"/>
              </w:rPr>
              <w:t xml:space="preserve"> </w:t>
            </w:r>
          </w:p>
          <w:p w14:paraId="681ACEA9" w14:textId="6777192F" w:rsidR="00DA1406" w:rsidRDefault="00DA1406" w:rsidP="009F2F4A">
            <w:pPr>
              <w:rPr>
                <w:rFonts w:ascii="Verdana" w:hAnsi="Verdana"/>
              </w:rPr>
            </w:pPr>
          </w:p>
          <w:p w14:paraId="5F0E2093" w14:textId="6830DF41" w:rsidR="00DA1406" w:rsidRDefault="00DA1406" w:rsidP="009F2F4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It was reported that the College is benefitting from having studied how </w:t>
            </w:r>
            <w:r w:rsidR="00C600CB">
              <w:rPr>
                <w:rFonts w:ascii="Verdana" w:hAnsi="Verdana"/>
              </w:rPr>
              <w:t>a range of</w:t>
            </w:r>
            <w:r>
              <w:rPr>
                <w:rFonts w:ascii="Verdana" w:hAnsi="Verdana"/>
              </w:rPr>
              <w:t xml:space="preserve"> higher education institutions are dealing with student recruitment during the public health emergency.</w:t>
            </w:r>
          </w:p>
          <w:p w14:paraId="6298D341" w14:textId="1BED51F0" w:rsidR="00DA1406" w:rsidRDefault="00DA1406" w:rsidP="009F2F4A">
            <w:pPr>
              <w:rPr>
                <w:rFonts w:ascii="Verdana" w:hAnsi="Verdana"/>
              </w:rPr>
            </w:pPr>
          </w:p>
          <w:p w14:paraId="3E58117C" w14:textId="54348341" w:rsidR="00671D7B" w:rsidRPr="00DA1406" w:rsidRDefault="00DA1406" w:rsidP="009F2F4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It was acknowledged that a risk attends the reduction in face-to-face recruitment by comparison with years when students</w:t>
            </w:r>
            <w:r w:rsidR="00091C4E">
              <w:rPr>
                <w:rFonts w:ascii="Verdana" w:hAnsi="Verdana"/>
              </w:rPr>
              <w:t xml:space="preserve"> visit the College and</w:t>
            </w:r>
            <w:r>
              <w:rPr>
                <w:rFonts w:ascii="Verdana" w:hAnsi="Verdana"/>
              </w:rPr>
              <w:t xml:space="preserve"> meet their prospective teachers.</w:t>
            </w:r>
          </w:p>
        </w:tc>
      </w:tr>
    </w:tbl>
    <w:p w14:paraId="26A0D2C7" w14:textId="77777777" w:rsidR="00833FCB" w:rsidRDefault="00833FCB" w:rsidP="00626F4B">
      <w:pPr>
        <w:rPr>
          <w:color w:val="FF0000"/>
        </w:rPr>
      </w:pPr>
    </w:p>
    <w:tbl>
      <w:tblPr>
        <w:tblW w:w="946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9"/>
        <w:gridCol w:w="8935"/>
      </w:tblGrid>
      <w:tr w:rsidR="00D606E9" w:rsidRPr="00346D1D" w14:paraId="4BE87636" w14:textId="77777777" w:rsidTr="00C600CB">
        <w:tc>
          <w:tcPr>
            <w:tcW w:w="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4AC43" w14:textId="4F145955" w:rsidR="00D606E9" w:rsidRDefault="00D606E9" w:rsidP="00242FEC">
            <w:pPr>
              <w:pStyle w:val="NoSpacing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9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E5F1E" w14:textId="77777777" w:rsidR="00D606E9" w:rsidRDefault="00D606E9" w:rsidP="00D606E9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Work Experience, with Special Reference to the Effects on this Activity of the Public Health Emergency</w:t>
            </w:r>
          </w:p>
          <w:p w14:paraId="43131A01" w14:textId="77777777" w:rsidR="00D606E9" w:rsidRDefault="00D606E9" w:rsidP="00242FEC">
            <w:pPr>
              <w:rPr>
                <w:rFonts w:ascii="Verdana" w:hAnsi="Verdana"/>
                <w:b/>
              </w:rPr>
            </w:pPr>
          </w:p>
          <w:p w14:paraId="4ED9720D" w14:textId="77777777" w:rsidR="00D606E9" w:rsidRPr="00D606E9" w:rsidRDefault="00D606E9" w:rsidP="00242FEC">
            <w:pPr>
              <w:rPr>
                <w:rFonts w:ascii="Verdana" w:hAnsi="Verdana"/>
              </w:rPr>
            </w:pPr>
            <w:r w:rsidRPr="00D606E9">
              <w:rPr>
                <w:rFonts w:ascii="Verdana" w:hAnsi="Verdana"/>
                <w:bCs/>
              </w:rPr>
              <w:t xml:space="preserve">A report prepared by the </w:t>
            </w:r>
            <w:r w:rsidRPr="00D606E9">
              <w:rPr>
                <w:rFonts w:ascii="Verdana" w:hAnsi="Verdana"/>
              </w:rPr>
              <w:t>Vice-Principal: Student Services and Recruitment was received and considered.</w:t>
            </w:r>
          </w:p>
          <w:p w14:paraId="06F946D3" w14:textId="77777777" w:rsidR="00D606E9" w:rsidRPr="00D606E9" w:rsidRDefault="00D606E9" w:rsidP="00242FEC">
            <w:pPr>
              <w:rPr>
                <w:rFonts w:ascii="Verdana" w:hAnsi="Verdana"/>
                <w:bCs/>
              </w:rPr>
            </w:pPr>
          </w:p>
          <w:p w14:paraId="7B33C647" w14:textId="6AAA6C24" w:rsidR="00D606E9" w:rsidRPr="00D606E9" w:rsidRDefault="00D606E9" w:rsidP="00D606E9">
            <w:pPr>
              <w:rPr>
                <w:rFonts w:ascii="Verdana" w:hAnsi="Verdana"/>
              </w:rPr>
            </w:pPr>
            <w:r w:rsidRPr="00D606E9">
              <w:rPr>
                <w:rFonts w:ascii="Verdana" w:hAnsi="Verdana"/>
              </w:rPr>
              <w:t xml:space="preserve">It was reported that the College had received confirmation that it is not expected to meet its target for Industry Placements in the 2020-21 year, but is required to engage in capacity building in advance of the </w:t>
            </w:r>
            <w:r w:rsidR="009350F0">
              <w:rPr>
                <w:rFonts w:ascii="Verdana" w:hAnsi="Verdana"/>
              </w:rPr>
              <w:t>2021-22</w:t>
            </w:r>
            <w:r w:rsidRPr="00D606E9">
              <w:rPr>
                <w:rFonts w:ascii="Verdana" w:hAnsi="Verdana"/>
              </w:rPr>
              <w:t xml:space="preserve"> year.</w:t>
            </w:r>
          </w:p>
          <w:p w14:paraId="57FD7620" w14:textId="77777777" w:rsidR="00D606E9" w:rsidRPr="00D606E9" w:rsidRDefault="00D606E9" w:rsidP="00242FEC">
            <w:pPr>
              <w:rPr>
                <w:rFonts w:ascii="Verdana" w:hAnsi="Verdana"/>
                <w:bCs/>
              </w:rPr>
            </w:pPr>
          </w:p>
          <w:p w14:paraId="515E644C" w14:textId="49C79903" w:rsidR="00D606E9" w:rsidRPr="00D606E9" w:rsidRDefault="00D606E9" w:rsidP="00D606E9">
            <w:pPr>
              <w:rPr>
                <w:rFonts w:ascii="Verdana" w:hAnsi="Verdana"/>
              </w:rPr>
            </w:pPr>
            <w:r w:rsidRPr="00D606E9">
              <w:rPr>
                <w:rFonts w:ascii="Verdana" w:hAnsi="Verdana"/>
              </w:rPr>
              <w:lastRenderedPageBreak/>
              <w:t xml:space="preserve">If some limited face-to-face opportunities </w:t>
            </w:r>
            <w:r w:rsidR="00833FCB">
              <w:rPr>
                <w:rFonts w:ascii="Verdana" w:hAnsi="Verdana"/>
              </w:rPr>
              <w:t>become</w:t>
            </w:r>
            <w:r w:rsidRPr="00D606E9">
              <w:rPr>
                <w:rFonts w:ascii="Verdana" w:hAnsi="Verdana"/>
              </w:rPr>
              <w:t xml:space="preserve"> possible later</w:t>
            </w:r>
            <w:r w:rsidR="00C600CB">
              <w:rPr>
                <w:rFonts w:ascii="Verdana" w:hAnsi="Verdana"/>
              </w:rPr>
              <w:t xml:space="preserve"> in</w:t>
            </w:r>
            <w:r w:rsidRPr="00D606E9">
              <w:rPr>
                <w:rFonts w:ascii="Verdana" w:hAnsi="Verdana"/>
              </w:rPr>
              <w:t xml:space="preserve"> this academic year, it is intended that they be prioritised to accommodate groups </w:t>
            </w:r>
            <w:r w:rsidR="009350F0">
              <w:rPr>
                <w:rFonts w:ascii="Verdana" w:hAnsi="Verdana"/>
              </w:rPr>
              <w:t>for whom</w:t>
            </w:r>
            <w:r w:rsidRPr="00D606E9">
              <w:rPr>
                <w:rFonts w:ascii="Verdana" w:hAnsi="Verdana"/>
              </w:rPr>
              <w:t xml:space="preserve"> work experience would significantly aid progression (for example students </w:t>
            </w:r>
            <w:r w:rsidR="00833FCB">
              <w:rPr>
                <w:rFonts w:ascii="Verdana" w:hAnsi="Verdana"/>
              </w:rPr>
              <w:t>aiming</w:t>
            </w:r>
            <w:r w:rsidRPr="00D606E9">
              <w:rPr>
                <w:rFonts w:ascii="Verdana" w:hAnsi="Verdana"/>
              </w:rPr>
              <w:t xml:space="preserve"> to pursue Nursing or Physiotherapy). </w:t>
            </w:r>
            <w:r w:rsidR="00833FCB">
              <w:rPr>
                <w:rFonts w:ascii="Verdana" w:hAnsi="Verdana"/>
              </w:rPr>
              <w:t xml:space="preserve"> </w:t>
            </w:r>
            <w:r w:rsidRPr="00D606E9">
              <w:rPr>
                <w:rFonts w:ascii="Verdana" w:hAnsi="Verdana"/>
              </w:rPr>
              <w:t>However, this would need to be</w:t>
            </w:r>
            <w:r w:rsidR="00091C4E">
              <w:rPr>
                <w:rFonts w:ascii="Verdana" w:hAnsi="Verdana"/>
              </w:rPr>
              <w:t xml:space="preserve"> arranged</w:t>
            </w:r>
            <w:r w:rsidRPr="00D606E9">
              <w:rPr>
                <w:rFonts w:ascii="Verdana" w:hAnsi="Verdana"/>
              </w:rPr>
              <w:t xml:space="preserve"> on an </w:t>
            </w:r>
            <w:r w:rsidRPr="00C600CB">
              <w:rPr>
                <w:rFonts w:ascii="Verdana" w:hAnsi="Verdana"/>
                <w:i/>
                <w:iCs/>
              </w:rPr>
              <w:t>ad</w:t>
            </w:r>
            <w:r w:rsidR="00C600CB">
              <w:rPr>
                <w:rFonts w:ascii="Verdana" w:hAnsi="Verdana"/>
                <w:i/>
                <w:iCs/>
              </w:rPr>
              <w:t xml:space="preserve"> </w:t>
            </w:r>
            <w:r w:rsidRPr="00C600CB">
              <w:rPr>
                <w:rFonts w:ascii="Verdana" w:hAnsi="Verdana"/>
                <w:i/>
                <w:iCs/>
              </w:rPr>
              <w:t>hoc</w:t>
            </w:r>
            <w:r w:rsidRPr="00D606E9">
              <w:rPr>
                <w:rFonts w:ascii="Verdana" w:hAnsi="Verdana"/>
              </w:rPr>
              <w:t xml:space="preserve"> basis </w:t>
            </w:r>
            <w:r w:rsidR="00091C4E">
              <w:rPr>
                <w:rFonts w:ascii="Verdana" w:hAnsi="Verdana"/>
              </w:rPr>
              <w:t>in response to</w:t>
            </w:r>
            <w:r w:rsidRPr="00D606E9">
              <w:rPr>
                <w:rFonts w:ascii="Verdana" w:hAnsi="Verdana"/>
              </w:rPr>
              <w:t xml:space="preserve"> individual opportunities, rather than</w:t>
            </w:r>
            <w:r w:rsidR="00091C4E">
              <w:rPr>
                <w:rFonts w:ascii="Verdana" w:hAnsi="Verdana"/>
              </w:rPr>
              <w:t xml:space="preserve"> </w:t>
            </w:r>
            <w:r w:rsidR="00C600CB">
              <w:rPr>
                <w:rFonts w:ascii="Verdana" w:hAnsi="Verdana"/>
              </w:rPr>
              <w:t>by</w:t>
            </w:r>
            <w:r w:rsidRPr="00D606E9">
              <w:rPr>
                <w:rFonts w:ascii="Verdana" w:hAnsi="Verdana"/>
              </w:rPr>
              <w:t xml:space="preserve"> a ‘block-booking’ system for whole classes.</w:t>
            </w:r>
          </w:p>
          <w:p w14:paraId="39D4306B" w14:textId="1C5241C7" w:rsidR="00D606E9" w:rsidRPr="00D606E9" w:rsidRDefault="00D606E9" w:rsidP="00D606E9">
            <w:pPr>
              <w:rPr>
                <w:rFonts w:ascii="Verdana" w:hAnsi="Verdana"/>
              </w:rPr>
            </w:pPr>
          </w:p>
          <w:p w14:paraId="7F0A3B53" w14:textId="3524C973" w:rsidR="00D606E9" w:rsidRPr="00D606E9" w:rsidRDefault="00D606E9" w:rsidP="00D606E9">
            <w:pPr>
              <w:rPr>
                <w:rFonts w:ascii="Verdana" w:hAnsi="Verdana"/>
              </w:rPr>
            </w:pPr>
            <w:r w:rsidRPr="00D606E9">
              <w:rPr>
                <w:rFonts w:ascii="Verdana" w:hAnsi="Verdana"/>
              </w:rPr>
              <w:t xml:space="preserve">Even if </w:t>
            </w:r>
            <w:r>
              <w:rPr>
                <w:rFonts w:ascii="Verdana" w:hAnsi="Verdana"/>
              </w:rPr>
              <w:t>public health</w:t>
            </w:r>
            <w:r w:rsidRPr="00D606E9">
              <w:rPr>
                <w:rFonts w:ascii="Verdana" w:hAnsi="Verdana"/>
              </w:rPr>
              <w:t xml:space="preserve"> restrictions are not </w:t>
            </w:r>
            <w:r w:rsidR="00833FCB">
              <w:rPr>
                <w:rFonts w:ascii="Verdana" w:hAnsi="Verdana"/>
              </w:rPr>
              <w:t>imposed</w:t>
            </w:r>
            <w:r w:rsidRPr="00D606E9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 xml:space="preserve">during the </w:t>
            </w:r>
            <w:r w:rsidRPr="00D606E9">
              <w:rPr>
                <w:rFonts w:ascii="Verdana" w:hAnsi="Verdana"/>
              </w:rPr>
              <w:t xml:space="preserve">next academic year, the low number of placements </w:t>
            </w:r>
            <w:r>
              <w:rPr>
                <w:rFonts w:ascii="Verdana" w:hAnsi="Verdana"/>
              </w:rPr>
              <w:t>in 2020-21</w:t>
            </w:r>
            <w:r w:rsidRPr="00D606E9">
              <w:rPr>
                <w:rFonts w:ascii="Verdana" w:hAnsi="Verdana"/>
              </w:rPr>
              <w:t xml:space="preserve"> will continue to have an impact on </w:t>
            </w:r>
            <w:r>
              <w:rPr>
                <w:rFonts w:ascii="Verdana" w:hAnsi="Verdana"/>
              </w:rPr>
              <w:t>achiev</w:t>
            </w:r>
            <w:r w:rsidRPr="00D606E9">
              <w:rPr>
                <w:rFonts w:ascii="Verdana" w:hAnsi="Verdana"/>
              </w:rPr>
              <w:t xml:space="preserve">ing the 80% KPI target </w:t>
            </w:r>
            <w:r>
              <w:rPr>
                <w:rFonts w:ascii="Verdana" w:hAnsi="Verdana"/>
              </w:rPr>
              <w:t xml:space="preserve">in 2021-22, </w:t>
            </w:r>
            <w:r w:rsidRPr="00D606E9">
              <w:rPr>
                <w:rFonts w:ascii="Verdana" w:hAnsi="Verdana"/>
              </w:rPr>
              <w:t>because progressing students will not have completed a work experience placement and</w:t>
            </w:r>
            <w:r>
              <w:rPr>
                <w:rFonts w:ascii="Verdana" w:hAnsi="Verdana"/>
              </w:rPr>
              <w:t xml:space="preserve"> the College will</w:t>
            </w:r>
            <w:r w:rsidRPr="00D606E9">
              <w:rPr>
                <w:rFonts w:ascii="Verdana" w:hAnsi="Verdana"/>
              </w:rPr>
              <w:t xml:space="preserve"> therefore be starting </w:t>
            </w:r>
            <w:r>
              <w:rPr>
                <w:rFonts w:ascii="Verdana" w:hAnsi="Verdana"/>
              </w:rPr>
              <w:t>the</w:t>
            </w:r>
            <w:r w:rsidRPr="00D606E9">
              <w:rPr>
                <w:rFonts w:ascii="Verdana" w:hAnsi="Verdana"/>
              </w:rPr>
              <w:t xml:space="preserve"> year from a lower base position. </w:t>
            </w:r>
          </w:p>
          <w:p w14:paraId="1AB23F05" w14:textId="14ECD15F" w:rsidR="00D606E9" w:rsidRDefault="00D606E9" w:rsidP="00D606E9">
            <w:pPr>
              <w:rPr>
                <w:rFonts w:ascii="Verdana" w:hAnsi="Verdana"/>
              </w:rPr>
            </w:pPr>
          </w:p>
          <w:p w14:paraId="241EC7EC" w14:textId="0AF5AB82" w:rsidR="00D606E9" w:rsidRPr="00E46694" w:rsidRDefault="009350F0" w:rsidP="00242FE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 the light</w:t>
            </w:r>
            <w:r w:rsidR="00E46694">
              <w:rPr>
                <w:rFonts w:ascii="Verdana" w:hAnsi="Verdana"/>
              </w:rPr>
              <w:t xml:space="preserve"> of the factors rehearsed above, it was further reported that:</w:t>
            </w:r>
          </w:p>
        </w:tc>
      </w:tr>
    </w:tbl>
    <w:p w14:paraId="4842E85A" w14:textId="49D8AC8C" w:rsidR="000F5F64" w:rsidRDefault="000F5F64" w:rsidP="00626F4B">
      <w:pPr>
        <w:rPr>
          <w:color w:val="FF0000"/>
        </w:rPr>
      </w:pPr>
    </w:p>
    <w:tbl>
      <w:tblPr>
        <w:tblStyle w:val="TableGrid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312"/>
        <w:gridCol w:w="8618"/>
      </w:tblGrid>
      <w:tr w:rsidR="00D606E9" w:rsidRPr="00495EDD" w14:paraId="40C1B2D7" w14:textId="77777777" w:rsidTr="00C600CB">
        <w:tc>
          <w:tcPr>
            <w:tcW w:w="534" w:type="dxa"/>
          </w:tcPr>
          <w:p w14:paraId="4DE43124" w14:textId="77777777" w:rsidR="00D606E9" w:rsidRPr="002F412F" w:rsidRDefault="00D606E9" w:rsidP="00242FEC">
            <w:pPr>
              <w:rPr>
                <w:rFonts w:ascii="Verdana" w:hAnsi="Verdana"/>
                <w:color w:val="FF0000"/>
              </w:rPr>
            </w:pPr>
          </w:p>
        </w:tc>
        <w:tc>
          <w:tcPr>
            <w:tcW w:w="312" w:type="dxa"/>
          </w:tcPr>
          <w:p w14:paraId="463E0D44" w14:textId="77777777" w:rsidR="00D606E9" w:rsidRPr="00495EDD" w:rsidRDefault="00D606E9" w:rsidP="00242FEC">
            <w:pPr>
              <w:rPr>
                <w:rFonts w:ascii="Verdana" w:hAnsi="Verdana"/>
                <w:b/>
              </w:rPr>
            </w:pPr>
            <w:r w:rsidRPr="00495EDD">
              <w:rPr>
                <w:rFonts w:ascii="Verdana" w:hAnsi="Verdana"/>
                <w:b/>
              </w:rPr>
              <w:t>.</w:t>
            </w:r>
          </w:p>
        </w:tc>
        <w:tc>
          <w:tcPr>
            <w:tcW w:w="8618" w:type="dxa"/>
          </w:tcPr>
          <w:p w14:paraId="4BBE9190" w14:textId="794216A8" w:rsidR="00D606E9" w:rsidRPr="00E46694" w:rsidRDefault="00E46694" w:rsidP="00242FEC">
            <w:pPr>
              <w:pStyle w:val="NoSpacing"/>
            </w:pPr>
            <w:r w:rsidRPr="00E46694">
              <w:t xml:space="preserve">Work Experience Projects are being delivered at a rate comparable </w:t>
            </w:r>
            <w:r w:rsidR="00833FCB">
              <w:t>with</w:t>
            </w:r>
            <w:r w:rsidRPr="00E46694">
              <w:t xml:space="preserve"> previous academic years</w:t>
            </w:r>
            <w:r w:rsidR="00984752">
              <w:t xml:space="preserve"> (with an expectation that the 80% target will be achieved)</w:t>
            </w:r>
            <w:r w:rsidRPr="00E46694">
              <w:t>, giving opportunities for students to gain an understanding of the workplace as part of their curriculum;</w:t>
            </w:r>
          </w:p>
          <w:p w14:paraId="07A0D96C" w14:textId="40850FDE" w:rsidR="00E46694" w:rsidRPr="00E46694" w:rsidRDefault="00E46694" w:rsidP="00242FEC">
            <w:pPr>
              <w:pStyle w:val="NoSpacing"/>
            </w:pPr>
          </w:p>
        </w:tc>
      </w:tr>
      <w:tr w:rsidR="00D606E9" w:rsidRPr="00495EDD" w14:paraId="4559B394" w14:textId="77777777" w:rsidTr="00C600CB">
        <w:tc>
          <w:tcPr>
            <w:tcW w:w="534" w:type="dxa"/>
          </w:tcPr>
          <w:p w14:paraId="61F6BB32" w14:textId="77777777" w:rsidR="00D606E9" w:rsidRPr="002F412F" w:rsidRDefault="00D606E9" w:rsidP="00242FEC">
            <w:pPr>
              <w:rPr>
                <w:rFonts w:ascii="Verdana" w:hAnsi="Verdana"/>
                <w:color w:val="FF0000"/>
              </w:rPr>
            </w:pPr>
          </w:p>
        </w:tc>
        <w:tc>
          <w:tcPr>
            <w:tcW w:w="312" w:type="dxa"/>
          </w:tcPr>
          <w:p w14:paraId="517845E1" w14:textId="77777777" w:rsidR="00D606E9" w:rsidRPr="00495EDD" w:rsidRDefault="00D606E9" w:rsidP="00242FEC">
            <w:pPr>
              <w:rPr>
                <w:rFonts w:ascii="Verdana" w:hAnsi="Verdana"/>
                <w:b/>
              </w:rPr>
            </w:pPr>
            <w:r w:rsidRPr="00495EDD">
              <w:rPr>
                <w:rFonts w:ascii="Verdana" w:hAnsi="Verdana"/>
                <w:b/>
              </w:rPr>
              <w:t>.</w:t>
            </w:r>
          </w:p>
        </w:tc>
        <w:tc>
          <w:tcPr>
            <w:tcW w:w="8618" w:type="dxa"/>
          </w:tcPr>
          <w:p w14:paraId="7BE30B3E" w14:textId="695EACE2" w:rsidR="00E46694" w:rsidRPr="00E46694" w:rsidRDefault="00E46694" w:rsidP="00E46694">
            <w:pPr>
              <w:rPr>
                <w:rFonts w:ascii="Verdana" w:hAnsi="Verdana"/>
                <w:i/>
                <w:iCs/>
              </w:rPr>
            </w:pPr>
            <w:r w:rsidRPr="00E46694">
              <w:rPr>
                <w:rFonts w:ascii="Verdana" w:hAnsi="Verdana"/>
              </w:rPr>
              <w:t xml:space="preserve">under the Employability Passport scheme. each week a group of students are targeted who either missed their work experience placement last year as a result of </w:t>
            </w:r>
            <w:r w:rsidR="00833FCB">
              <w:rPr>
                <w:rFonts w:ascii="Verdana" w:hAnsi="Verdana"/>
              </w:rPr>
              <w:t>the pandemic</w:t>
            </w:r>
            <w:r w:rsidRPr="00E46694">
              <w:rPr>
                <w:rFonts w:ascii="Verdana" w:hAnsi="Verdana"/>
              </w:rPr>
              <w:t xml:space="preserve"> or who were due to take it up this academic year - the Passport consists of a daily online activity linked to employability skills, and a YouTube Live assembly with a group of employers linked to their pathway which, whilst not a substitute for a work experience placement, does address key skills students </w:t>
            </w:r>
            <w:r w:rsidR="00833FCB">
              <w:rPr>
                <w:rFonts w:ascii="Verdana" w:hAnsi="Verdana"/>
              </w:rPr>
              <w:t>are</w:t>
            </w:r>
            <w:r w:rsidRPr="00E46694">
              <w:rPr>
                <w:rFonts w:ascii="Verdana" w:hAnsi="Verdana"/>
              </w:rPr>
              <w:t xml:space="preserve"> expected to develop on a placement, such as communication, emotional intelligence, networking and presentations; </w:t>
            </w:r>
            <w:r>
              <w:rPr>
                <w:rFonts w:ascii="Verdana" w:hAnsi="Verdana"/>
                <w:i/>
                <w:iCs/>
              </w:rPr>
              <w:t>and</w:t>
            </w:r>
          </w:p>
          <w:p w14:paraId="224ED54D" w14:textId="559234B4" w:rsidR="00091C4E" w:rsidRPr="00E46694" w:rsidRDefault="00091C4E" w:rsidP="00242FEC">
            <w:pPr>
              <w:pStyle w:val="NoSpacing"/>
            </w:pPr>
          </w:p>
        </w:tc>
      </w:tr>
      <w:tr w:rsidR="00D606E9" w:rsidRPr="00495EDD" w14:paraId="077FCD17" w14:textId="77777777" w:rsidTr="00C600CB">
        <w:tc>
          <w:tcPr>
            <w:tcW w:w="534" w:type="dxa"/>
          </w:tcPr>
          <w:p w14:paraId="1D4B0EFB" w14:textId="77777777" w:rsidR="00D606E9" w:rsidRPr="002F412F" w:rsidRDefault="00D606E9" w:rsidP="00242FEC">
            <w:pPr>
              <w:rPr>
                <w:rFonts w:ascii="Verdana" w:hAnsi="Verdana"/>
                <w:color w:val="FF0000"/>
              </w:rPr>
            </w:pPr>
          </w:p>
        </w:tc>
        <w:tc>
          <w:tcPr>
            <w:tcW w:w="312" w:type="dxa"/>
          </w:tcPr>
          <w:p w14:paraId="638A8155" w14:textId="77777777" w:rsidR="00D606E9" w:rsidRPr="002F412F" w:rsidRDefault="00D606E9" w:rsidP="00242FEC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.</w:t>
            </w:r>
          </w:p>
        </w:tc>
        <w:tc>
          <w:tcPr>
            <w:tcW w:w="8618" w:type="dxa"/>
          </w:tcPr>
          <w:p w14:paraId="6A4C2DA4" w14:textId="643A01C4" w:rsidR="00D606E9" w:rsidRPr="00E46694" w:rsidRDefault="00E46694" w:rsidP="00E46694">
            <w:pPr>
              <w:rPr>
                <w:rFonts w:ascii="Verdana" w:hAnsi="Verdana"/>
                <w:u w:val="single"/>
              </w:rPr>
            </w:pPr>
            <w:r>
              <w:rPr>
                <w:rFonts w:ascii="Verdana" w:hAnsi="Verdana"/>
              </w:rPr>
              <w:t>the College’s</w:t>
            </w:r>
            <w:r w:rsidRPr="00E46694">
              <w:rPr>
                <w:rFonts w:ascii="Verdana" w:hAnsi="Verdana"/>
              </w:rPr>
              <w:t xml:space="preserve"> annual Careers and HE Fair (25</w:t>
            </w:r>
            <w:r w:rsidR="009350F0">
              <w:rPr>
                <w:rFonts w:ascii="Verdana" w:hAnsi="Verdana"/>
              </w:rPr>
              <w:t>-26</w:t>
            </w:r>
            <w:r w:rsidRPr="00E46694">
              <w:rPr>
                <w:rFonts w:ascii="Verdana" w:hAnsi="Verdana"/>
              </w:rPr>
              <w:t xml:space="preserve"> Feb</w:t>
            </w:r>
            <w:r w:rsidR="009350F0">
              <w:rPr>
                <w:rFonts w:ascii="Verdana" w:hAnsi="Verdana"/>
              </w:rPr>
              <w:t>ruary</w:t>
            </w:r>
            <w:r w:rsidRPr="00E46694">
              <w:rPr>
                <w:rFonts w:ascii="Verdana" w:hAnsi="Verdana"/>
              </w:rPr>
              <w:t>) and Progression Passport (4</w:t>
            </w:r>
            <w:r w:rsidR="009350F0">
              <w:rPr>
                <w:rFonts w:ascii="Verdana" w:hAnsi="Verdana"/>
              </w:rPr>
              <w:t>-5</w:t>
            </w:r>
            <w:r w:rsidRPr="00E46694">
              <w:rPr>
                <w:rFonts w:ascii="Verdana" w:hAnsi="Verdana"/>
              </w:rPr>
              <w:t xml:space="preserve"> March)</w:t>
            </w:r>
            <w:r>
              <w:rPr>
                <w:rFonts w:ascii="Verdana" w:hAnsi="Verdana"/>
              </w:rPr>
              <w:t xml:space="preserve"> </w:t>
            </w:r>
            <w:r w:rsidRPr="00E46694">
              <w:rPr>
                <w:rFonts w:ascii="Verdana" w:hAnsi="Verdana"/>
              </w:rPr>
              <w:t xml:space="preserve">will include a range of </w:t>
            </w:r>
            <w:r w:rsidR="00091C4E">
              <w:rPr>
                <w:rFonts w:ascii="Verdana" w:hAnsi="Verdana"/>
              </w:rPr>
              <w:t xml:space="preserve">online </w:t>
            </w:r>
            <w:r w:rsidRPr="00E46694">
              <w:rPr>
                <w:rFonts w:ascii="Verdana" w:hAnsi="Verdana"/>
              </w:rPr>
              <w:t>talks from employers and alumni</w:t>
            </w:r>
            <w:r>
              <w:rPr>
                <w:rFonts w:ascii="Verdana" w:hAnsi="Verdana"/>
              </w:rPr>
              <w:t xml:space="preserve">, </w:t>
            </w:r>
            <w:r w:rsidRPr="00E46694">
              <w:rPr>
                <w:rFonts w:ascii="Verdana" w:hAnsi="Verdana"/>
              </w:rPr>
              <w:t>in addition to students reflecting on their ambitions and options after</w:t>
            </w:r>
            <w:r w:rsidR="009E6FFB">
              <w:rPr>
                <w:rFonts w:ascii="Verdana" w:hAnsi="Verdana"/>
              </w:rPr>
              <w:t xml:space="preserve"> leaving the College</w:t>
            </w:r>
            <w:r w:rsidRPr="00E46694">
              <w:rPr>
                <w:rFonts w:ascii="Verdana" w:hAnsi="Verdana"/>
              </w:rPr>
              <w:t xml:space="preserve">. </w:t>
            </w:r>
          </w:p>
        </w:tc>
      </w:tr>
    </w:tbl>
    <w:p w14:paraId="6F338011" w14:textId="77777777" w:rsidR="009C081E" w:rsidRDefault="009C081E" w:rsidP="00626F4B">
      <w:pPr>
        <w:rPr>
          <w:color w:val="FF0000"/>
        </w:rPr>
      </w:pPr>
    </w:p>
    <w:tbl>
      <w:tblPr>
        <w:tblW w:w="946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9"/>
        <w:gridCol w:w="8935"/>
      </w:tblGrid>
      <w:tr w:rsidR="00E46694" w:rsidRPr="000400AD" w14:paraId="1745F8AC" w14:textId="77777777" w:rsidTr="00C600CB">
        <w:tc>
          <w:tcPr>
            <w:tcW w:w="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17BA4" w14:textId="77777777" w:rsidR="00E46694" w:rsidRPr="000400AD" w:rsidRDefault="00E46694" w:rsidP="00242FEC">
            <w:pPr>
              <w:pStyle w:val="NoSpacing"/>
              <w:rPr>
                <w:b/>
              </w:rPr>
            </w:pPr>
          </w:p>
        </w:tc>
        <w:tc>
          <w:tcPr>
            <w:tcW w:w="89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2CD6C" w14:textId="215B45EB" w:rsidR="00E46694" w:rsidRDefault="00984752" w:rsidP="00E46694">
            <w:pPr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 xml:space="preserve">Members discussed the impact of T levels on work placements against a background of the pandemic during which the College’s ability to nurture </w:t>
            </w:r>
            <w:r w:rsidR="009C081E">
              <w:rPr>
                <w:rFonts w:ascii="Verdana" w:hAnsi="Verdana"/>
                <w:bCs/>
              </w:rPr>
              <w:t xml:space="preserve">and develop continuing </w:t>
            </w:r>
            <w:r>
              <w:rPr>
                <w:rFonts w:ascii="Verdana" w:hAnsi="Verdana"/>
                <w:bCs/>
              </w:rPr>
              <w:t>relationships with employers is necessarily restricted.  It was felt to be a particular risk were the present vocational qualifications</w:t>
            </w:r>
            <w:r w:rsidR="00091C4E">
              <w:rPr>
                <w:rFonts w:ascii="Verdana" w:hAnsi="Verdana"/>
                <w:bCs/>
              </w:rPr>
              <w:t xml:space="preserve"> to be</w:t>
            </w:r>
            <w:r>
              <w:rPr>
                <w:rFonts w:ascii="Verdana" w:hAnsi="Verdana"/>
                <w:bCs/>
              </w:rPr>
              <w:t xml:space="preserve"> </w:t>
            </w:r>
            <w:r w:rsidR="009C081E">
              <w:rPr>
                <w:rFonts w:ascii="Verdana" w:hAnsi="Verdana"/>
                <w:bCs/>
              </w:rPr>
              <w:t xml:space="preserve">abruptly </w:t>
            </w:r>
            <w:r>
              <w:rPr>
                <w:rFonts w:ascii="Verdana" w:hAnsi="Verdana"/>
                <w:bCs/>
              </w:rPr>
              <w:t xml:space="preserve">withdrawn.  Government plans and the dates of their implementation are not yet known, though a rolling transition is </w:t>
            </w:r>
            <w:r w:rsidR="009C081E">
              <w:rPr>
                <w:rFonts w:ascii="Verdana" w:hAnsi="Verdana"/>
                <w:bCs/>
              </w:rPr>
              <w:t xml:space="preserve">currently </w:t>
            </w:r>
            <w:r>
              <w:rPr>
                <w:rFonts w:ascii="Verdana" w:hAnsi="Verdana"/>
                <w:bCs/>
              </w:rPr>
              <w:t>anticipated.</w:t>
            </w:r>
            <w:r w:rsidR="009C081E">
              <w:rPr>
                <w:rFonts w:ascii="Verdana" w:hAnsi="Verdana"/>
                <w:bCs/>
              </w:rPr>
              <w:t xml:space="preserve">   It was noted that college representative bodies (A</w:t>
            </w:r>
            <w:r w:rsidR="00091C4E">
              <w:rPr>
                <w:rFonts w:ascii="Verdana" w:hAnsi="Verdana"/>
                <w:bCs/>
              </w:rPr>
              <w:t xml:space="preserve">ssociation </w:t>
            </w:r>
            <w:r w:rsidR="009C081E">
              <w:rPr>
                <w:rFonts w:ascii="Verdana" w:hAnsi="Verdana"/>
                <w:bCs/>
              </w:rPr>
              <w:t>o</w:t>
            </w:r>
            <w:r w:rsidR="00091C4E">
              <w:rPr>
                <w:rFonts w:ascii="Verdana" w:hAnsi="Verdana"/>
                <w:bCs/>
              </w:rPr>
              <w:t xml:space="preserve">f </w:t>
            </w:r>
            <w:r w:rsidR="009C081E">
              <w:rPr>
                <w:rFonts w:ascii="Verdana" w:hAnsi="Verdana"/>
                <w:bCs/>
              </w:rPr>
              <w:t>C</w:t>
            </w:r>
            <w:r w:rsidR="00091C4E">
              <w:rPr>
                <w:rFonts w:ascii="Verdana" w:hAnsi="Verdana"/>
                <w:bCs/>
              </w:rPr>
              <w:t>olleges</w:t>
            </w:r>
            <w:r w:rsidR="009C081E">
              <w:rPr>
                <w:rFonts w:ascii="Verdana" w:hAnsi="Verdana"/>
                <w:bCs/>
              </w:rPr>
              <w:t xml:space="preserve"> and S</w:t>
            </w:r>
            <w:r w:rsidR="00091C4E">
              <w:rPr>
                <w:rFonts w:ascii="Verdana" w:hAnsi="Verdana"/>
                <w:bCs/>
              </w:rPr>
              <w:t xml:space="preserve">ixth </w:t>
            </w:r>
            <w:r w:rsidR="009C081E">
              <w:rPr>
                <w:rFonts w:ascii="Verdana" w:hAnsi="Verdana"/>
                <w:bCs/>
              </w:rPr>
              <w:t>F</w:t>
            </w:r>
            <w:r w:rsidR="00091C4E">
              <w:rPr>
                <w:rFonts w:ascii="Verdana" w:hAnsi="Verdana"/>
                <w:bCs/>
              </w:rPr>
              <w:t xml:space="preserve">orm </w:t>
            </w:r>
            <w:r w:rsidR="009C081E">
              <w:rPr>
                <w:rFonts w:ascii="Verdana" w:hAnsi="Verdana"/>
                <w:bCs/>
              </w:rPr>
              <w:t>C</w:t>
            </w:r>
            <w:r w:rsidR="00091C4E">
              <w:rPr>
                <w:rFonts w:ascii="Verdana" w:hAnsi="Verdana"/>
                <w:bCs/>
              </w:rPr>
              <w:t xml:space="preserve">ollege </w:t>
            </w:r>
            <w:r w:rsidR="009C081E">
              <w:rPr>
                <w:rFonts w:ascii="Verdana" w:hAnsi="Verdana"/>
                <w:bCs/>
              </w:rPr>
              <w:t>A</w:t>
            </w:r>
            <w:r w:rsidR="00091C4E">
              <w:rPr>
                <w:rFonts w:ascii="Verdana" w:hAnsi="Verdana"/>
                <w:bCs/>
              </w:rPr>
              <w:t>ssociation</w:t>
            </w:r>
            <w:r w:rsidR="009C081E">
              <w:rPr>
                <w:rFonts w:ascii="Verdana" w:hAnsi="Verdana"/>
                <w:bCs/>
              </w:rPr>
              <w:t>) had made representations on behalf of the sector.</w:t>
            </w:r>
          </w:p>
          <w:p w14:paraId="5A3841B0" w14:textId="77777777" w:rsidR="00984752" w:rsidRDefault="00984752" w:rsidP="00E46694">
            <w:pPr>
              <w:rPr>
                <w:rFonts w:ascii="Verdana" w:hAnsi="Verdana"/>
                <w:bCs/>
              </w:rPr>
            </w:pPr>
          </w:p>
          <w:p w14:paraId="3E60811D" w14:textId="1F343C32" w:rsidR="00984752" w:rsidRPr="000400AD" w:rsidRDefault="00984752" w:rsidP="00E46694">
            <w:pPr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 xml:space="preserve">It was </w:t>
            </w:r>
            <w:r w:rsidR="009C081E">
              <w:rPr>
                <w:rFonts w:ascii="Verdana" w:hAnsi="Verdana"/>
                <w:bCs/>
              </w:rPr>
              <w:t xml:space="preserve">also </w:t>
            </w:r>
            <w:r>
              <w:rPr>
                <w:rFonts w:ascii="Verdana" w:hAnsi="Verdana"/>
                <w:bCs/>
              </w:rPr>
              <w:t>noted that the College is successfully maintain</w:t>
            </w:r>
            <w:r w:rsidR="009C081E">
              <w:rPr>
                <w:rFonts w:ascii="Verdana" w:hAnsi="Verdana"/>
                <w:bCs/>
              </w:rPr>
              <w:t>ing</w:t>
            </w:r>
            <w:r>
              <w:rPr>
                <w:rFonts w:ascii="Verdana" w:hAnsi="Verdana"/>
                <w:bCs/>
              </w:rPr>
              <w:t xml:space="preserve"> its “employability” </w:t>
            </w:r>
            <w:r w:rsidR="009C081E">
              <w:rPr>
                <w:rFonts w:ascii="Verdana" w:hAnsi="Verdana"/>
                <w:bCs/>
              </w:rPr>
              <w:t>programme</w:t>
            </w:r>
            <w:r>
              <w:rPr>
                <w:rFonts w:ascii="Verdana" w:hAnsi="Verdana"/>
                <w:bCs/>
              </w:rPr>
              <w:t xml:space="preserve">.  Members agreed that these activities should also be emphasised to </w:t>
            </w:r>
            <w:r w:rsidR="00091C4E">
              <w:rPr>
                <w:rFonts w:ascii="Verdana" w:hAnsi="Verdana"/>
                <w:bCs/>
              </w:rPr>
              <w:t xml:space="preserve">potential </w:t>
            </w:r>
            <w:r>
              <w:rPr>
                <w:rFonts w:ascii="Verdana" w:hAnsi="Verdana"/>
                <w:bCs/>
              </w:rPr>
              <w:t xml:space="preserve">students </w:t>
            </w:r>
            <w:r w:rsidR="00091C4E">
              <w:rPr>
                <w:rFonts w:ascii="Verdana" w:hAnsi="Verdana"/>
                <w:bCs/>
              </w:rPr>
              <w:t>of</w:t>
            </w:r>
            <w:r>
              <w:rPr>
                <w:rFonts w:ascii="Verdana" w:hAnsi="Verdana"/>
                <w:bCs/>
              </w:rPr>
              <w:t xml:space="preserve"> the College </w:t>
            </w:r>
            <w:r w:rsidR="00C600CB">
              <w:rPr>
                <w:rFonts w:ascii="Verdana" w:hAnsi="Verdana"/>
                <w:bCs/>
              </w:rPr>
              <w:t>in</w:t>
            </w:r>
            <w:r w:rsidR="00091C4E">
              <w:rPr>
                <w:rFonts w:ascii="Verdana" w:hAnsi="Verdana"/>
                <w:bCs/>
              </w:rPr>
              <w:t xml:space="preserve"> recruitment </w:t>
            </w:r>
            <w:r w:rsidR="00C600CB">
              <w:rPr>
                <w:rFonts w:ascii="Verdana" w:hAnsi="Verdana"/>
                <w:bCs/>
              </w:rPr>
              <w:t>materials</w:t>
            </w:r>
            <w:r w:rsidR="00091C4E">
              <w:rPr>
                <w:rFonts w:ascii="Verdana" w:hAnsi="Verdana"/>
                <w:bCs/>
              </w:rPr>
              <w:t>.</w:t>
            </w:r>
          </w:p>
        </w:tc>
      </w:tr>
    </w:tbl>
    <w:p w14:paraId="4F405F6E" w14:textId="57F6EE36" w:rsidR="00B44384" w:rsidRDefault="00B44384" w:rsidP="00626F4B">
      <w:pPr>
        <w:rPr>
          <w:color w:val="FF0000"/>
        </w:rPr>
      </w:pPr>
    </w:p>
    <w:p w14:paraId="371D6FB3" w14:textId="7F52F6F2" w:rsidR="00C600CB" w:rsidRDefault="00C600CB" w:rsidP="00626F4B">
      <w:pPr>
        <w:rPr>
          <w:color w:val="FF0000"/>
        </w:rPr>
      </w:pPr>
    </w:p>
    <w:p w14:paraId="2CD8A8B6" w14:textId="0ECD1F45" w:rsidR="00C600CB" w:rsidRDefault="00C600CB" w:rsidP="00626F4B">
      <w:pPr>
        <w:rPr>
          <w:color w:val="FF0000"/>
        </w:rPr>
      </w:pPr>
    </w:p>
    <w:p w14:paraId="6E3542AD" w14:textId="31F6068F" w:rsidR="00C600CB" w:rsidRDefault="00C600CB" w:rsidP="00626F4B">
      <w:pPr>
        <w:rPr>
          <w:color w:val="FF0000"/>
        </w:rPr>
      </w:pPr>
    </w:p>
    <w:p w14:paraId="46665EDC" w14:textId="77777777" w:rsidR="00C600CB" w:rsidRDefault="00C600CB" w:rsidP="00626F4B">
      <w:pPr>
        <w:rPr>
          <w:color w:val="FF0000"/>
        </w:rPr>
      </w:pPr>
    </w:p>
    <w:tbl>
      <w:tblPr>
        <w:tblW w:w="946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9"/>
        <w:gridCol w:w="8935"/>
      </w:tblGrid>
      <w:tr w:rsidR="00E46694" w:rsidRPr="00346D1D" w14:paraId="32543D37" w14:textId="77777777" w:rsidTr="00C600CB">
        <w:tc>
          <w:tcPr>
            <w:tcW w:w="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183D2" w14:textId="4B66CA38" w:rsidR="00E46694" w:rsidRDefault="00E46694" w:rsidP="00242FEC">
            <w:pPr>
              <w:pStyle w:val="NoSpacing"/>
              <w:rPr>
                <w:b/>
              </w:rPr>
            </w:pPr>
            <w:r>
              <w:rPr>
                <w:b/>
              </w:rPr>
              <w:lastRenderedPageBreak/>
              <w:t>8</w:t>
            </w:r>
          </w:p>
        </w:tc>
        <w:tc>
          <w:tcPr>
            <w:tcW w:w="89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1B73D" w14:textId="77777777" w:rsidR="00E46694" w:rsidRDefault="00E46694" w:rsidP="00E46694">
            <w:pPr>
              <w:rPr>
                <w:rFonts w:ascii="Verdana" w:hAnsi="Verdana"/>
                <w:b/>
              </w:rPr>
            </w:pPr>
            <w:r w:rsidRPr="00431A61">
              <w:rPr>
                <w:rFonts w:ascii="Verdana" w:hAnsi="Verdana"/>
                <w:b/>
              </w:rPr>
              <w:t>Key Performance Indicators</w:t>
            </w:r>
            <w:r>
              <w:rPr>
                <w:rFonts w:ascii="Verdana" w:hAnsi="Verdana"/>
                <w:b/>
              </w:rPr>
              <w:t xml:space="preserve"> 2020-21</w:t>
            </w:r>
          </w:p>
          <w:p w14:paraId="007F7721" w14:textId="77777777" w:rsidR="00E46694" w:rsidRPr="00431A61" w:rsidRDefault="00E46694" w:rsidP="00E46694">
            <w:pPr>
              <w:rPr>
                <w:rFonts w:ascii="Verdana" w:hAnsi="Verdana"/>
                <w:b/>
              </w:rPr>
            </w:pPr>
          </w:p>
          <w:p w14:paraId="1F17C23A" w14:textId="77777777" w:rsidR="008D405D" w:rsidRDefault="00E46694" w:rsidP="00E4669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 schedule recording progress towards 2020-21 targets falling within the Committee’s remit was received and considered.  </w:t>
            </w:r>
          </w:p>
          <w:p w14:paraId="5301D71D" w14:textId="77777777" w:rsidR="008D405D" w:rsidRDefault="008D405D" w:rsidP="00E46694">
            <w:pPr>
              <w:rPr>
                <w:rFonts w:ascii="Verdana" w:hAnsi="Verdana"/>
              </w:rPr>
            </w:pPr>
          </w:p>
          <w:p w14:paraId="3509E9E8" w14:textId="2866B823" w:rsidR="00E46694" w:rsidRDefault="00E46694" w:rsidP="00E4669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It was noted</w:t>
            </w:r>
            <w:r w:rsidR="008D405D">
              <w:rPr>
                <w:rFonts w:ascii="Verdana" w:hAnsi="Verdana"/>
              </w:rPr>
              <w:t xml:space="preserve"> </w:t>
            </w:r>
            <w:r w:rsidR="008D405D" w:rsidRPr="008D405D">
              <w:rPr>
                <w:rFonts w:ascii="Verdana" w:hAnsi="Verdana"/>
                <w:i/>
                <w:iCs/>
              </w:rPr>
              <w:t>inter alia</w:t>
            </w:r>
            <w:r>
              <w:rPr>
                <w:rFonts w:ascii="Verdana" w:hAnsi="Verdana"/>
              </w:rPr>
              <w:t xml:space="preserve"> that the </w:t>
            </w:r>
            <w:r w:rsidR="008D405D">
              <w:rPr>
                <w:rFonts w:ascii="Verdana" w:hAnsi="Verdana"/>
              </w:rPr>
              <w:t>number of students</w:t>
            </w:r>
            <w:r w:rsidR="00833FCB">
              <w:rPr>
                <w:rFonts w:ascii="Verdana" w:hAnsi="Verdana"/>
              </w:rPr>
              <w:t xml:space="preserve"> expected</w:t>
            </w:r>
            <w:r w:rsidR="008D405D">
              <w:rPr>
                <w:rFonts w:ascii="Verdana" w:hAnsi="Verdana"/>
              </w:rPr>
              <w:t xml:space="preserve"> to be recruited in September 2021 is 1,820, which would achieve the agreed target.  The Committee </w:t>
            </w:r>
            <w:r w:rsidR="009C081E">
              <w:rPr>
                <w:rFonts w:ascii="Verdana" w:hAnsi="Verdana"/>
              </w:rPr>
              <w:t xml:space="preserve">accordingly </w:t>
            </w:r>
            <w:r w:rsidR="008D405D">
              <w:rPr>
                <w:rFonts w:ascii="Verdana" w:hAnsi="Verdana"/>
              </w:rPr>
              <w:t>advises the Resources Committee that it may use this figure as a basis for assessing the College’s projected financial performance in the 2021-22 year.</w:t>
            </w:r>
          </w:p>
          <w:p w14:paraId="7A59D43F" w14:textId="77777777" w:rsidR="008D405D" w:rsidRDefault="008D405D" w:rsidP="00242FEC">
            <w:pPr>
              <w:rPr>
                <w:rFonts w:ascii="Verdana" w:hAnsi="Verdana"/>
                <w:bCs/>
              </w:rPr>
            </w:pPr>
          </w:p>
          <w:p w14:paraId="3968D8AC" w14:textId="2BA84DA7" w:rsidR="008D405D" w:rsidRDefault="00984752" w:rsidP="00984752">
            <w:pPr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The final outcome</w:t>
            </w:r>
            <w:r w:rsidR="009C081E">
              <w:rPr>
                <w:rFonts w:ascii="Verdana" w:hAnsi="Verdana"/>
                <w:bCs/>
              </w:rPr>
              <w:t xml:space="preserve"> (2020)</w:t>
            </w:r>
            <w:r>
              <w:rPr>
                <w:rFonts w:ascii="Verdana" w:hAnsi="Verdana"/>
                <w:bCs/>
              </w:rPr>
              <w:t xml:space="preserve"> for students progressing to Russell Group universities (9%) was noted to </w:t>
            </w:r>
            <w:r w:rsidR="009C081E">
              <w:rPr>
                <w:rFonts w:ascii="Verdana" w:hAnsi="Verdana"/>
                <w:bCs/>
              </w:rPr>
              <w:t>have been</w:t>
            </w:r>
            <w:r>
              <w:rPr>
                <w:rFonts w:ascii="Verdana" w:hAnsi="Verdana"/>
                <w:bCs/>
              </w:rPr>
              <w:t xml:space="preserve"> lower than </w:t>
            </w:r>
            <w:r w:rsidR="00091C4E">
              <w:rPr>
                <w:rFonts w:ascii="Verdana" w:hAnsi="Verdana"/>
                <w:bCs/>
              </w:rPr>
              <w:t xml:space="preserve">for </w:t>
            </w:r>
            <w:r>
              <w:rPr>
                <w:rFonts w:ascii="Verdana" w:hAnsi="Verdana"/>
                <w:bCs/>
              </w:rPr>
              <w:t xml:space="preserve">the previous year.   It was </w:t>
            </w:r>
            <w:r w:rsidR="009C081E">
              <w:rPr>
                <w:rFonts w:ascii="Verdana" w:hAnsi="Verdana"/>
                <w:bCs/>
              </w:rPr>
              <w:t>thought</w:t>
            </w:r>
            <w:r>
              <w:rPr>
                <w:rFonts w:ascii="Verdana" w:hAnsi="Verdana"/>
                <w:bCs/>
              </w:rPr>
              <w:t xml:space="preserve"> that the reasons for the reduction</w:t>
            </w:r>
            <w:r w:rsidR="00291636">
              <w:rPr>
                <w:rFonts w:ascii="Verdana" w:hAnsi="Verdana"/>
                <w:bCs/>
              </w:rPr>
              <w:t xml:space="preserve"> include the effects of centre-assessed grades (more particularly, the Government’s </w:t>
            </w:r>
            <w:r w:rsidR="00291636" w:rsidRPr="00291636">
              <w:rPr>
                <w:rFonts w:ascii="Verdana" w:hAnsi="Verdana"/>
                <w:bCs/>
                <w:i/>
                <w:iCs/>
              </w:rPr>
              <w:t>volte</w:t>
            </w:r>
            <w:r w:rsidR="00A25967">
              <w:rPr>
                <w:rFonts w:ascii="Verdana" w:hAnsi="Verdana"/>
                <w:bCs/>
                <w:i/>
                <w:iCs/>
              </w:rPr>
              <w:t xml:space="preserve"> </w:t>
            </w:r>
            <w:r w:rsidR="00291636" w:rsidRPr="00291636">
              <w:rPr>
                <w:rFonts w:ascii="Verdana" w:hAnsi="Verdana"/>
                <w:bCs/>
                <w:i/>
                <w:iCs/>
              </w:rPr>
              <w:t>face</w:t>
            </w:r>
            <w:r w:rsidR="00291636">
              <w:rPr>
                <w:rFonts w:ascii="Verdana" w:hAnsi="Verdana"/>
                <w:bCs/>
              </w:rPr>
              <w:t xml:space="preserve"> on how they were </w:t>
            </w:r>
            <w:r w:rsidR="009C081E">
              <w:rPr>
                <w:rFonts w:ascii="Verdana" w:hAnsi="Verdana"/>
                <w:bCs/>
              </w:rPr>
              <w:t xml:space="preserve">to be </w:t>
            </w:r>
            <w:r w:rsidR="00291636">
              <w:rPr>
                <w:rFonts w:ascii="Verdana" w:hAnsi="Verdana"/>
                <w:bCs/>
              </w:rPr>
              <w:t>calculated), and the attitudes taken by a particular university to some BTEC qualifications.</w:t>
            </w:r>
          </w:p>
          <w:p w14:paraId="583D67B8" w14:textId="77777777" w:rsidR="00291636" w:rsidRDefault="00291636" w:rsidP="00984752">
            <w:pPr>
              <w:rPr>
                <w:rFonts w:ascii="Verdana" w:hAnsi="Verdana"/>
                <w:bCs/>
              </w:rPr>
            </w:pPr>
          </w:p>
          <w:p w14:paraId="1203AEC4" w14:textId="3A5C5CF0" w:rsidR="00091C4E" w:rsidRPr="00346D1D" w:rsidRDefault="00291636" w:rsidP="00091C4E">
            <w:pPr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 xml:space="preserve">It was noted that, from a 70% level of respondents, a gratifying high proportion of students stated that they felt safe at </w:t>
            </w:r>
            <w:r w:rsidR="00091C4E">
              <w:rPr>
                <w:rFonts w:ascii="Verdana" w:hAnsi="Verdana"/>
                <w:bCs/>
              </w:rPr>
              <w:t>the C</w:t>
            </w:r>
            <w:r>
              <w:rPr>
                <w:rFonts w:ascii="Verdana" w:hAnsi="Verdana"/>
                <w:bCs/>
              </w:rPr>
              <w:t xml:space="preserve">ollege.  It is </w:t>
            </w:r>
            <w:r w:rsidR="009C081E">
              <w:rPr>
                <w:rFonts w:ascii="Verdana" w:hAnsi="Verdana"/>
                <w:bCs/>
              </w:rPr>
              <w:t>thought</w:t>
            </w:r>
            <w:r>
              <w:rPr>
                <w:rFonts w:ascii="Verdana" w:hAnsi="Verdana"/>
                <w:bCs/>
              </w:rPr>
              <w:t xml:space="preserve"> that this relates to </w:t>
            </w:r>
            <w:r w:rsidR="00091C4E">
              <w:rPr>
                <w:rFonts w:ascii="Verdana" w:hAnsi="Verdana"/>
                <w:bCs/>
              </w:rPr>
              <w:t>a positive view</w:t>
            </w:r>
            <w:r>
              <w:rPr>
                <w:rFonts w:ascii="Verdana" w:hAnsi="Verdana"/>
                <w:bCs/>
              </w:rPr>
              <w:t xml:space="preserve"> of </w:t>
            </w:r>
            <w:r w:rsidR="00091C4E">
              <w:rPr>
                <w:rFonts w:ascii="Verdana" w:hAnsi="Verdana"/>
                <w:bCs/>
              </w:rPr>
              <w:t xml:space="preserve">the College’s </w:t>
            </w:r>
            <w:r w:rsidR="00A25967">
              <w:rPr>
                <w:rFonts w:ascii="Verdana" w:hAnsi="Verdana"/>
                <w:bCs/>
              </w:rPr>
              <w:t>measure</w:t>
            </w:r>
            <w:r w:rsidR="00091C4E">
              <w:rPr>
                <w:rFonts w:ascii="Verdana" w:hAnsi="Verdana"/>
                <w:bCs/>
              </w:rPr>
              <w:t>s for keeping students safe</w:t>
            </w:r>
            <w:r w:rsidR="00A25967">
              <w:rPr>
                <w:rFonts w:ascii="Verdana" w:hAnsi="Verdana"/>
                <w:bCs/>
              </w:rPr>
              <w:t xml:space="preserve"> from the pandemic whilst</w:t>
            </w:r>
            <w:r w:rsidR="00091C4E">
              <w:rPr>
                <w:rFonts w:ascii="Verdana" w:hAnsi="Verdana"/>
                <w:bCs/>
              </w:rPr>
              <w:t xml:space="preserve"> on site. </w:t>
            </w:r>
          </w:p>
        </w:tc>
      </w:tr>
    </w:tbl>
    <w:p w14:paraId="25C02EDC" w14:textId="77777777" w:rsidR="00091C4E" w:rsidRDefault="00091C4E" w:rsidP="00626F4B">
      <w:pPr>
        <w:rPr>
          <w:color w:val="FF0000"/>
        </w:rPr>
      </w:pPr>
    </w:p>
    <w:tbl>
      <w:tblPr>
        <w:tblW w:w="946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9"/>
        <w:gridCol w:w="8935"/>
      </w:tblGrid>
      <w:tr w:rsidR="00091C4E" w:rsidRPr="00B36575" w14:paraId="712250DE" w14:textId="77777777" w:rsidTr="00A25967">
        <w:tc>
          <w:tcPr>
            <w:tcW w:w="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7207B" w14:textId="77777777" w:rsidR="00091C4E" w:rsidRDefault="00091C4E" w:rsidP="003C2B8E">
            <w:pPr>
              <w:pStyle w:val="NoSpacing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9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5CEE6" w14:textId="77777777" w:rsidR="00091C4E" w:rsidRDefault="00091C4E" w:rsidP="003C2B8E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Student Support</w:t>
            </w:r>
          </w:p>
          <w:p w14:paraId="530F1A95" w14:textId="77777777" w:rsidR="00091C4E" w:rsidRDefault="00091C4E" w:rsidP="003C2B8E">
            <w:pPr>
              <w:rPr>
                <w:rFonts w:ascii="Verdana" w:hAnsi="Verdana"/>
                <w:b/>
              </w:rPr>
            </w:pPr>
          </w:p>
          <w:p w14:paraId="057B957B" w14:textId="77777777" w:rsidR="00091C4E" w:rsidRPr="00B36575" w:rsidRDefault="00091C4E" w:rsidP="003C2B8E">
            <w:pPr>
              <w:rPr>
                <w:rFonts w:ascii="Verdana" w:hAnsi="Verdana"/>
                <w:bCs/>
              </w:rPr>
            </w:pPr>
            <w:r w:rsidRPr="00B36575">
              <w:rPr>
                <w:rFonts w:ascii="Verdana" w:hAnsi="Verdana"/>
                <w:bCs/>
              </w:rPr>
              <w:t>A presentation was given by the Vice-Principal: Student Services and Recruitment</w:t>
            </w:r>
            <w:r>
              <w:rPr>
                <w:rFonts w:ascii="Verdana" w:hAnsi="Verdana"/>
                <w:bCs/>
              </w:rPr>
              <w:t>, in the course of which it was reported that:</w:t>
            </w:r>
          </w:p>
        </w:tc>
      </w:tr>
    </w:tbl>
    <w:p w14:paraId="270EBF94" w14:textId="77777777" w:rsidR="00091C4E" w:rsidRDefault="00091C4E" w:rsidP="00626F4B">
      <w:pPr>
        <w:rPr>
          <w:color w:val="FF0000"/>
        </w:rPr>
      </w:pPr>
    </w:p>
    <w:tbl>
      <w:tblPr>
        <w:tblStyle w:val="TableGrid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312"/>
        <w:gridCol w:w="8618"/>
      </w:tblGrid>
      <w:tr w:rsidR="00EA5916" w:rsidRPr="00E46694" w14:paraId="13B07B77" w14:textId="77777777" w:rsidTr="00A25967">
        <w:tc>
          <w:tcPr>
            <w:tcW w:w="534" w:type="dxa"/>
          </w:tcPr>
          <w:p w14:paraId="358DC86E" w14:textId="77777777" w:rsidR="00EA5916" w:rsidRPr="002F412F" w:rsidRDefault="00EA5916" w:rsidP="00C2076C">
            <w:pPr>
              <w:rPr>
                <w:rFonts w:ascii="Verdana" w:hAnsi="Verdana"/>
                <w:color w:val="FF0000"/>
              </w:rPr>
            </w:pPr>
          </w:p>
        </w:tc>
        <w:tc>
          <w:tcPr>
            <w:tcW w:w="312" w:type="dxa"/>
          </w:tcPr>
          <w:p w14:paraId="1B4F04C5" w14:textId="77777777" w:rsidR="00EA5916" w:rsidRPr="00495EDD" w:rsidRDefault="00EA5916" w:rsidP="00C2076C">
            <w:pPr>
              <w:rPr>
                <w:rFonts w:ascii="Verdana" w:hAnsi="Verdana"/>
                <w:b/>
              </w:rPr>
            </w:pPr>
            <w:r w:rsidRPr="00495EDD">
              <w:rPr>
                <w:rFonts w:ascii="Verdana" w:hAnsi="Verdana"/>
                <w:b/>
              </w:rPr>
              <w:t>.</w:t>
            </w:r>
          </w:p>
        </w:tc>
        <w:tc>
          <w:tcPr>
            <w:tcW w:w="8618" w:type="dxa"/>
          </w:tcPr>
          <w:p w14:paraId="57CB27CE" w14:textId="739B7CF2" w:rsidR="008968D5" w:rsidRPr="008968D5" w:rsidRDefault="008968D5" w:rsidP="008968D5">
            <w:pPr>
              <w:pStyle w:val="NoSpacing"/>
            </w:pPr>
            <w:r>
              <w:t>t</w:t>
            </w:r>
            <w:r w:rsidRPr="008968D5">
              <w:t xml:space="preserve">emporary </w:t>
            </w:r>
            <w:r>
              <w:t>s</w:t>
            </w:r>
            <w:r w:rsidRPr="008968D5">
              <w:t xml:space="preserve">afeguarding reporting procedures and guidance for staff </w:t>
            </w:r>
            <w:r>
              <w:t xml:space="preserve">are </w:t>
            </w:r>
            <w:r w:rsidRPr="008968D5">
              <w:t xml:space="preserve">similar to </w:t>
            </w:r>
            <w:r>
              <w:t xml:space="preserve">those implemented during the </w:t>
            </w:r>
            <w:r w:rsidRPr="008968D5">
              <w:t>previous online learning period</w:t>
            </w:r>
            <w:r>
              <w:t>;</w:t>
            </w:r>
            <w:r w:rsidRPr="008968D5">
              <w:t xml:space="preserve"> </w:t>
            </w:r>
          </w:p>
          <w:p w14:paraId="04C1A3AB" w14:textId="77777777" w:rsidR="00EA5916" w:rsidRPr="00E46694" w:rsidRDefault="00EA5916" w:rsidP="00C2076C">
            <w:pPr>
              <w:pStyle w:val="NoSpacing"/>
            </w:pPr>
          </w:p>
        </w:tc>
      </w:tr>
      <w:tr w:rsidR="00EA5916" w:rsidRPr="00E46694" w14:paraId="18283F97" w14:textId="77777777" w:rsidTr="00A25967">
        <w:tc>
          <w:tcPr>
            <w:tcW w:w="534" w:type="dxa"/>
          </w:tcPr>
          <w:p w14:paraId="747D3B60" w14:textId="77777777" w:rsidR="00EA5916" w:rsidRPr="002F412F" w:rsidRDefault="00EA5916" w:rsidP="00C2076C">
            <w:pPr>
              <w:rPr>
                <w:rFonts w:ascii="Verdana" w:hAnsi="Verdana"/>
                <w:color w:val="FF0000"/>
              </w:rPr>
            </w:pPr>
          </w:p>
        </w:tc>
        <w:tc>
          <w:tcPr>
            <w:tcW w:w="312" w:type="dxa"/>
          </w:tcPr>
          <w:p w14:paraId="035BC618" w14:textId="77777777" w:rsidR="00EA5916" w:rsidRPr="00495EDD" w:rsidRDefault="00EA5916" w:rsidP="00C2076C">
            <w:pPr>
              <w:rPr>
                <w:rFonts w:ascii="Verdana" w:hAnsi="Verdana"/>
                <w:b/>
              </w:rPr>
            </w:pPr>
            <w:r w:rsidRPr="00495EDD">
              <w:rPr>
                <w:rFonts w:ascii="Verdana" w:hAnsi="Verdana"/>
                <w:b/>
              </w:rPr>
              <w:t>.</w:t>
            </w:r>
          </w:p>
        </w:tc>
        <w:tc>
          <w:tcPr>
            <w:tcW w:w="8618" w:type="dxa"/>
          </w:tcPr>
          <w:p w14:paraId="5FA2D2FD" w14:textId="0EF856CA" w:rsidR="00EA5916" w:rsidRDefault="008968D5" w:rsidP="00C2076C">
            <w:pPr>
              <w:pStyle w:val="NoSpacing"/>
            </w:pPr>
            <w:r>
              <w:t xml:space="preserve">an </w:t>
            </w:r>
            <w:r w:rsidRPr="008968D5">
              <w:t xml:space="preserve">annual increase in </w:t>
            </w:r>
            <w:r>
              <w:t>s</w:t>
            </w:r>
            <w:r w:rsidRPr="008968D5">
              <w:t xml:space="preserve">afeguarding cases </w:t>
            </w:r>
            <w:r>
              <w:t xml:space="preserve">is likely to be reported </w:t>
            </w:r>
            <w:r w:rsidRPr="008968D5">
              <w:t xml:space="preserve">compared to </w:t>
            </w:r>
            <w:r>
              <w:t>the previous</w:t>
            </w:r>
            <w:r w:rsidRPr="008968D5">
              <w:t xml:space="preserve"> year</w:t>
            </w:r>
            <w:r>
              <w:t>, with t</w:t>
            </w:r>
            <w:r w:rsidRPr="008968D5">
              <w:t>hemes around increased domestic and mental health challenges</w:t>
            </w:r>
            <w:r>
              <w:t xml:space="preserve">, as well as </w:t>
            </w:r>
            <w:r w:rsidR="00011DBC">
              <w:t>social anxiety,</w:t>
            </w:r>
            <w:r w:rsidRPr="008968D5">
              <w:t xml:space="preserve"> during the second lockdown contributing to th</w:t>
            </w:r>
            <w:r>
              <w:t>e</w:t>
            </w:r>
            <w:r w:rsidRPr="008968D5">
              <w:t xml:space="preserve"> anticipated rise</w:t>
            </w:r>
            <w:r>
              <w:t xml:space="preserve"> – possibly </w:t>
            </w:r>
            <w:r w:rsidRPr="008968D5">
              <w:t>also reflect</w:t>
            </w:r>
            <w:r>
              <w:t>ing, in part, the</w:t>
            </w:r>
            <w:r w:rsidRPr="008968D5">
              <w:t xml:space="preserve"> growth in student numbers and </w:t>
            </w:r>
            <w:r>
              <w:t xml:space="preserve">of </w:t>
            </w:r>
            <w:r w:rsidR="00B21398">
              <w:t xml:space="preserve">the College’s </w:t>
            </w:r>
            <w:r w:rsidRPr="008968D5">
              <w:t xml:space="preserve">mentoring/counselling </w:t>
            </w:r>
            <w:r>
              <w:t>provision;</w:t>
            </w:r>
          </w:p>
          <w:p w14:paraId="77F1F3F0" w14:textId="48A43C1C" w:rsidR="008968D5" w:rsidRPr="00E46694" w:rsidRDefault="008968D5" w:rsidP="00C2076C">
            <w:pPr>
              <w:pStyle w:val="NoSpacing"/>
            </w:pPr>
          </w:p>
        </w:tc>
      </w:tr>
      <w:tr w:rsidR="00EA5916" w:rsidRPr="00E46694" w14:paraId="56234072" w14:textId="77777777" w:rsidTr="00A25967">
        <w:tc>
          <w:tcPr>
            <w:tcW w:w="534" w:type="dxa"/>
          </w:tcPr>
          <w:p w14:paraId="5B1C5201" w14:textId="77777777" w:rsidR="00EA5916" w:rsidRPr="002F412F" w:rsidRDefault="00EA5916" w:rsidP="00C2076C">
            <w:pPr>
              <w:rPr>
                <w:rFonts w:ascii="Verdana" w:hAnsi="Verdana"/>
                <w:color w:val="FF0000"/>
              </w:rPr>
            </w:pPr>
          </w:p>
        </w:tc>
        <w:tc>
          <w:tcPr>
            <w:tcW w:w="312" w:type="dxa"/>
          </w:tcPr>
          <w:p w14:paraId="6882DB82" w14:textId="77777777" w:rsidR="00EA5916" w:rsidRPr="002F412F" w:rsidRDefault="00EA5916" w:rsidP="00C2076C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.</w:t>
            </w:r>
          </w:p>
        </w:tc>
        <w:tc>
          <w:tcPr>
            <w:tcW w:w="8618" w:type="dxa"/>
          </w:tcPr>
          <w:p w14:paraId="6601AF8A" w14:textId="16C690CB" w:rsidR="00EA5916" w:rsidRPr="008968D5" w:rsidRDefault="008968D5" w:rsidP="00C2076C">
            <w:pPr>
              <w:rPr>
                <w:rFonts w:ascii="Verdana" w:hAnsi="Verdana"/>
                <w:i/>
                <w:iCs/>
              </w:rPr>
            </w:pPr>
            <w:r>
              <w:rPr>
                <w:rFonts w:ascii="Verdana" w:hAnsi="Verdana"/>
              </w:rPr>
              <w:t>r</w:t>
            </w:r>
            <w:r w:rsidRPr="008968D5">
              <w:rPr>
                <w:rFonts w:ascii="Verdana" w:hAnsi="Verdana"/>
              </w:rPr>
              <w:t xml:space="preserve">egular audits of </w:t>
            </w:r>
            <w:r>
              <w:rPr>
                <w:rFonts w:ascii="Verdana" w:hAnsi="Verdana"/>
              </w:rPr>
              <w:t>s</w:t>
            </w:r>
            <w:r w:rsidRPr="008968D5">
              <w:rPr>
                <w:rFonts w:ascii="Verdana" w:hAnsi="Verdana"/>
              </w:rPr>
              <w:t xml:space="preserve">afeguarding records </w:t>
            </w:r>
            <w:r>
              <w:rPr>
                <w:rFonts w:ascii="Verdana" w:hAnsi="Verdana"/>
              </w:rPr>
              <w:t>have ensured a</w:t>
            </w:r>
            <w:r w:rsidRPr="008968D5">
              <w:rPr>
                <w:rFonts w:ascii="Verdana" w:hAnsi="Verdana"/>
              </w:rPr>
              <w:t xml:space="preserve"> robust response, even during </w:t>
            </w:r>
            <w:r w:rsidR="00B21398">
              <w:rPr>
                <w:rFonts w:ascii="Verdana" w:hAnsi="Verdana"/>
              </w:rPr>
              <w:t xml:space="preserve">the </w:t>
            </w:r>
            <w:r w:rsidRPr="008968D5">
              <w:rPr>
                <w:rFonts w:ascii="Verdana" w:hAnsi="Verdana"/>
              </w:rPr>
              <w:t>online learning period</w:t>
            </w:r>
            <w:r>
              <w:rPr>
                <w:rFonts w:ascii="Verdana" w:hAnsi="Verdana"/>
              </w:rPr>
              <w:t>, as well as</w:t>
            </w:r>
            <w:r w:rsidR="00B21398">
              <w:rPr>
                <w:rFonts w:ascii="Verdana" w:hAnsi="Verdana"/>
              </w:rPr>
              <w:t xml:space="preserve"> supporting</w:t>
            </w:r>
            <w:r w:rsidRPr="008968D5">
              <w:rPr>
                <w:rFonts w:ascii="Verdana" w:hAnsi="Verdana"/>
              </w:rPr>
              <w:t xml:space="preserve"> close working with </w:t>
            </w:r>
            <w:r>
              <w:rPr>
                <w:rFonts w:ascii="Verdana" w:hAnsi="Verdana"/>
              </w:rPr>
              <w:t>l</w:t>
            </w:r>
            <w:r w:rsidRPr="008968D5">
              <w:rPr>
                <w:rFonts w:ascii="Verdana" w:hAnsi="Verdana"/>
              </w:rPr>
              <w:t xml:space="preserve">ocal </w:t>
            </w:r>
            <w:r>
              <w:rPr>
                <w:rFonts w:ascii="Verdana" w:hAnsi="Verdana"/>
              </w:rPr>
              <w:t>a</w:t>
            </w:r>
            <w:r w:rsidRPr="008968D5">
              <w:rPr>
                <w:rFonts w:ascii="Verdana" w:hAnsi="Verdana"/>
              </w:rPr>
              <w:t xml:space="preserve">uthorities and </w:t>
            </w:r>
            <w:r>
              <w:rPr>
                <w:rFonts w:ascii="Verdana" w:hAnsi="Verdana"/>
              </w:rPr>
              <w:t xml:space="preserve">the </w:t>
            </w:r>
            <w:r w:rsidRPr="008968D5">
              <w:rPr>
                <w:rFonts w:ascii="Verdana" w:hAnsi="Verdana"/>
              </w:rPr>
              <w:t>Safer Schools Team</w:t>
            </w:r>
            <w:r>
              <w:rPr>
                <w:rFonts w:ascii="Verdana" w:hAnsi="Verdana"/>
              </w:rPr>
              <w:t xml:space="preserve">; </w:t>
            </w:r>
            <w:r>
              <w:rPr>
                <w:rFonts w:ascii="Verdana" w:hAnsi="Verdana"/>
                <w:i/>
                <w:iCs/>
              </w:rPr>
              <w:t>and</w:t>
            </w:r>
          </w:p>
          <w:p w14:paraId="7F2C00AF" w14:textId="4F0DF876" w:rsidR="008968D5" w:rsidRPr="008968D5" w:rsidRDefault="008968D5" w:rsidP="00C2076C">
            <w:pPr>
              <w:rPr>
                <w:rFonts w:ascii="Verdana" w:hAnsi="Verdana"/>
              </w:rPr>
            </w:pPr>
          </w:p>
        </w:tc>
      </w:tr>
      <w:tr w:rsidR="00AB1A96" w:rsidRPr="00E46694" w14:paraId="06BC785A" w14:textId="77777777" w:rsidTr="00A25967">
        <w:tc>
          <w:tcPr>
            <w:tcW w:w="534" w:type="dxa"/>
          </w:tcPr>
          <w:p w14:paraId="0F8BD050" w14:textId="77777777" w:rsidR="00AB1A96" w:rsidRPr="002F412F" w:rsidRDefault="00AB1A96" w:rsidP="00C2076C">
            <w:pPr>
              <w:rPr>
                <w:rFonts w:ascii="Verdana" w:hAnsi="Verdana"/>
                <w:color w:val="FF0000"/>
              </w:rPr>
            </w:pPr>
          </w:p>
        </w:tc>
        <w:tc>
          <w:tcPr>
            <w:tcW w:w="312" w:type="dxa"/>
          </w:tcPr>
          <w:p w14:paraId="01C3378D" w14:textId="5870667D" w:rsidR="00AB1A96" w:rsidRDefault="00AB1A96" w:rsidP="00C2076C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.</w:t>
            </w:r>
          </w:p>
        </w:tc>
        <w:tc>
          <w:tcPr>
            <w:tcW w:w="8618" w:type="dxa"/>
          </w:tcPr>
          <w:p w14:paraId="3936CF53" w14:textId="435019B9" w:rsidR="00AB1A96" w:rsidRPr="00F926A4" w:rsidRDefault="008968D5" w:rsidP="00C2076C">
            <w:pPr>
              <w:rPr>
                <w:rFonts w:ascii="Verdana" w:hAnsi="Verdana"/>
              </w:rPr>
            </w:pPr>
            <w:r w:rsidRPr="00F926A4">
              <w:rPr>
                <w:rFonts w:ascii="Verdana" w:hAnsi="Verdana"/>
              </w:rPr>
              <w:t>counselling is continuing online, including</w:t>
            </w:r>
            <w:r w:rsidR="00B21398" w:rsidRPr="00F926A4">
              <w:rPr>
                <w:rFonts w:ascii="Verdana" w:hAnsi="Verdana"/>
              </w:rPr>
              <w:t xml:space="preserve"> through the facility known as</w:t>
            </w:r>
            <w:r w:rsidRPr="00F926A4">
              <w:rPr>
                <w:rFonts w:ascii="Verdana" w:hAnsi="Verdana"/>
              </w:rPr>
              <w:t xml:space="preserve"> “Safe Space”</w:t>
            </w:r>
            <w:r w:rsidR="00F926A4" w:rsidRPr="00F926A4">
              <w:rPr>
                <w:rFonts w:ascii="Verdana" w:hAnsi="Verdana"/>
              </w:rPr>
              <w:t xml:space="preserve"> </w:t>
            </w:r>
          </w:p>
        </w:tc>
      </w:tr>
    </w:tbl>
    <w:p w14:paraId="122BCE15" w14:textId="77777777" w:rsidR="00EA5916" w:rsidRDefault="00EA5916" w:rsidP="00626F4B">
      <w:pPr>
        <w:rPr>
          <w:color w:val="FF0000"/>
        </w:rPr>
      </w:pPr>
    </w:p>
    <w:tbl>
      <w:tblPr>
        <w:tblW w:w="946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9"/>
        <w:gridCol w:w="8935"/>
      </w:tblGrid>
      <w:tr w:rsidR="00AB1A96" w:rsidRPr="00B36575" w14:paraId="222619A7" w14:textId="77777777" w:rsidTr="00A25967">
        <w:tc>
          <w:tcPr>
            <w:tcW w:w="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9A54B" w14:textId="648A680E" w:rsidR="00AB1A96" w:rsidRDefault="00AB1A96" w:rsidP="00C2076C">
            <w:pPr>
              <w:pStyle w:val="NoSpacing"/>
              <w:rPr>
                <w:b/>
              </w:rPr>
            </w:pPr>
          </w:p>
        </w:tc>
        <w:tc>
          <w:tcPr>
            <w:tcW w:w="89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FB0FF" w14:textId="259A3F48" w:rsidR="00AB1A96" w:rsidRPr="00B36575" w:rsidRDefault="008968D5" w:rsidP="00C2076C">
            <w:pPr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In relation to the Calling Taskforce, it was reported that:</w:t>
            </w:r>
          </w:p>
        </w:tc>
      </w:tr>
    </w:tbl>
    <w:p w14:paraId="3F03BCAA" w14:textId="297A6547" w:rsidR="00AB1A96" w:rsidRDefault="00AB1A96" w:rsidP="00626F4B">
      <w:pPr>
        <w:rPr>
          <w:color w:val="FF0000"/>
        </w:rPr>
      </w:pPr>
    </w:p>
    <w:tbl>
      <w:tblPr>
        <w:tblStyle w:val="TableGrid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312"/>
        <w:gridCol w:w="8618"/>
      </w:tblGrid>
      <w:tr w:rsidR="008968D5" w:rsidRPr="00E46694" w14:paraId="4FABD520" w14:textId="77777777" w:rsidTr="00A25967">
        <w:tc>
          <w:tcPr>
            <w:tcW w:w="534" w:type="dxa"/>
          </w:tcPr>
          <w:p w14:paraId="56EE0FC3" w14:textId="77777777" w:rsidR="008968D5" w:rsidRPr="002F412F" w:rsidRDefault="008968D5" w:rsidP="003C2B8E">
            <w:pPr>
              <w:rPr>
                <w:rFonts w:ascii="Verdana" w:hAnsi="Verdana"/>
                <w:color w:val="FF0000"/>
              </w:rPr>
            </w:pPr>
          </w:p>
        </w:tc>
        <w:tc>
          <w:tcPr>
            <w:tcW w:w="312" w:type="dxa"/>
          </w:tcPr>
          <w:p w14:paraId="05DFA228" w14:textId="77777777" w:rsidR="008968D5" w:rsidRPr="00495EDD" w:rsidRDefault="008968D5" w:rsidP="003C2B8E">
            <w:pPr>
              <w:rPr>
                <w:rFonts w:ascii="Verdana" w:hAnsi="Verdana"/>
                <w:b/>
              </w:rPr>
            </w:pPr>
            <w:r w:rsidRPr="00495EDD">
              <w:rPr>
                <w:rFonts w:ascii="Verdana" w:hAnsi="Verdana"/>
                <w:b/>
              </w:rPr>
              <w:t>.</w:t>
            </w:r>
          </w:p>
        </w:tc>
        <w:tc>
          <w:tcPr>
            <w:tcW w:w="8618" w:type="dxa"/>
          </w:tcPr>
          <w:p w14:paraId="4B19216E" w14:textId="1B23BEFD" w:rsidR="008968D5" w:rsidRDefault="00011DBC" w:rsidP="003C2B8E">
            <w:pPr>
              <w:pStyle w:val="NoSpacing"/>
            </w:pPr>
            <w:r w:rsidRPr="00011DBC">
              <w:t>5</w:t>
            </w:r>
            <w:r w:rsidR="00B21398">
              <w:t>,</w:t>
            </w:r>
            <w:r w:rsidRPr="00011DBC">
              <w:t xml:space="preserve">000 calls </w:t>
            </w:r>
            <w:r>
              <w:t xml:space="preserve">to students had been </w:t>
            </w:r>
            <w:r w:rsidRPr="00011DBC">
              <w:t xml:space="preserve">made since </w:t>
            </w:r>
            <w:r>
              <w:t xml:space="preserve">the </w:t>
            </w:r>
            <w:r w:rsidRPr="00011DBC">
              <w:t xml:space="preserve">start of January, </w:t>
            </w:r>
            <w:r>
              <w:t>with approximately</w:t>
            </w:r>
            <w:r w:rsidRPr="00011DBC">
              <w:t xml:space="preserve"> 88% engaging with </w:t>
            </w:r>
            <w:r>
              <w:t xml:space="preserve">the </w:t>
            </w:r>
            <w:r w:rsidRPr="00011DBC">
              <w:t>service</w:t>
            </w:r>
            <w:r>
              <w:t>;</w:t>
            </w:r>
            <w:r w:rsidRPr="00011DBC">
              <w:t xml:space="preserve"> </w:t>
            </w:r>
          </w:p>
          <w:p w14:paraId="4B5D26F1" w14:textId="5E67B1B4" w:rsidR="00011DBC" w:rsidRPr="00E46694" w:rsidRDefault="00011DBC" w:rsidP="003C2B8E">
            <w:pPr>
              <w:pStyle w:val="NoSpacing"/>
            </w:pPr>
          </w:p>
        </w:tc>
      </w:tr>
      <w:tr w:rsidR="008968D5" w:rsidRPr="00E46694" w14:paraId="363204F0" w14:textId="77777777" w:rsidTr="00A25967">
        <w:tc>
          <w:tcPr>
            <w:tcW w:w="534" w:type="dxa"/>
          </w:tcPr>
          <w:p w14:paraId="0E1C03D8" w14:textId="77777777" w:rsidR="008968D5" w:rsidRPr="002F412F" w:rsidRDefault="008968D5" w:rsidP="003C2B8E">
            <w:pPr>
              <w:rPr>
                <w:rFonts w:ascii="Verdana" w:hAnsi="Verdana"/>
                <w:color w:val="FF0000"/>
              </w:rPr>
            </w:pPr>
          </w:p>
        </w:tc>
        <w:tc>
          <w:tcPr>
            <w:tcW w:w="312" w:type="dxa"/>
          </w:tcPr>
          <w:p w14:paraId="63CC396D" w14:textId="77777777" w:rsidR="008968D5" w:rsidRPr="00495EDD" w:rsidRDefault="008968D5" w:rsidP="003C2B8E">
            <w:pPr>
              <w:rPr>
                <w:rFonts w:ascii="Verdana" w:hAnsi="Verdana"/>
                <w:b/>
              </w:rPr>
            </w:pPr>
            <w:r w:rsidRPr="00495EDD">
              <w:rPr>
                <w:rFonts w:ascii="Verdana" w:hAnsi="Verdana"/>
                <w:b/>
              </w:rPr>
              <w:t>.</w:t>
            </w:r>
          </w:p>
        </w:tc>
        <w:tc>
          <w:tcPr>
            <w:tcW w:w="8618" w:type="dxa"/>
          </w:tcPr>
          <w:p w14:paraId="370B5A8A" w14:textId="128E3A90" w:rsidR="008968D5" w:rsidRDefault="00011DBC" w:rsidP="003C2B8E">
            <w:pPr>
              <w:pStyle w:val="NoSpacing"/>
            </w:pPr>
            <w:r>
              <w:t>i</w:t>
            </w:r>
            <w:r w:rsidRPr="00011DBC">
              <w:t>nterventions</w:t>
            </w:r>
            <w:r>
              <w:t xml:space="preserve"> directed at students not engaging will commence</w:t>
            </w:r>
            <w:r w:rsidRPr="00011DBC">
              <w:t xml:space="preserve"> </w:t>
            </w:r>
            <w:r>
              <w:t xml:space="preserve">in the week beginning 8 February; </w:t>
            </w:r>
            <w:r w:rsidRPr="00011DBC">
              <w:t xml:space="preserve"> </w:t>
            </w:r>
          </w:p>
          <w:p w14:paraId="766C5CD3" w14:textId="7A3DFC77" w:rsidR="00011DBC" w:rsidRPr="00E46694" w:rsidRDefault="00011DBC" w:rsidP="003C2B8E">
            <w:pPr>
              <w:pStyle w:val="NoSpacing"/>
            </w:pPr>
          </w:p>
        </w:tc>
      </w:tr>
      <w:tr w:rsidR="008968D5" w:rsidRPr="00E46694" w14:paraId="1DFEE3AC" w14:textId="77777777" w:rsidTr="00A25967">
        <w:tc>
          <w:tcPr>
            <w:tcW w:w="534" w:type="dxa"/>
          </w:tcPr>
          <w:p w14:paraId="032A35DF" w14:textId="77777777" w:rsidR="008968D5" w:rsidRPr="002F412F" w:rsidRDefault="008968D5" w:rsidP="003C2B8E">
            <w:pPr>
              <w:rPr>
                <w:rFonts w:ascii="Verdana" w:hAnsi="Verdana"/>
                <w:color w:val="FF0000"/>
              </w:rPr>
            </w:pPr>
          </w:p>
        </w:tc>
        <w:tc>
          <w:tcPr>
            <w:tcW w:w="312" w:type="dxa"/>
          </w:tcPr>
          <w:p w14:paraId="056163D6" w14:textId="22D35A4F" w:rsidR="008968D5" w:rsidRPr="00495EDD" w:rsidRDefault="008968D5" w:rsidP="003C2B8E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.</w:t>
            </w:r>
          </w:p>
        </w:tc>
        <w:tc>
          <w:tcPr>
            <w:tcW w:w="8618" w:type="dxa"/>
          </w:tcPr>
          <w:p w14:paraId="23112B00" w14:textId="6541A417" w:rsidR="008968D5" w:rsidRDefault="00011DBC" w:rsidP="003C2B8E">
            <w:pPr>
              <w:pStyle w:val="NoSpacing"/>
            </w:pPr>
            <w:r>
              <w:t>i</w:t>
            </w:r>
            <w:r w:rsidRPr="00011DBC">
              <w:t>nitial themes include challenges around motivation, good routines and well-being – although th</w:t>
            </w:r>
            <w:r w:rsidR="00B21398">
              <w:t>ese</w:t>
            </w:r>
            <w:r w:rsidRPr="00011DBC">
              <w:t xml:space="preserve"> </w:t>
            </w:r>
            <w:r w:rsidR="00B21398">
              <w:t>should</w:t>
            </w:r>
            <w:r w:rsidRPr="00011DBC">
              <w:t xml:space="preserve"> be </w:t>
            </w:r>
            <w:r w:rsidR="00B21398">
              <w:t>mediated through</w:t>
            </w:r>
            <w:r>
              <w:t xml:space="preserve"> the overall context of</w:t>
            </w:r>
            <w:r w:rsidRPr="00011DBC">
              <w:t xml:space="preserve"> positive engagement</w:t>
            </w:r>
            <w:r w:rsidR="00B21398">
              <w:t xml:space="preserve"> by students</w:t>
            </w:r>
            <w:r w:rsidRPr="00011DBC">
              <w:t xml:space="preserve"> in lessons, online enrichment activities and weekly calls</w:t>
            </w:r>
            <w:r>
              <w:t>;</w:t>
            </w:r>
          </w:p>
          <w:p w14:paraId="043FC896" w14:textId="65DE7A92" w:rsidR="00011DBC" w:rsidRPr="00E46694" w:rsidRDefault="00011DBC" w:rsidP="003C2B8E">
            <w:pPr>
              <w:pStyle w:val="NoSpacing"/>
            </w:pPr>
          </w:p>
        </w:tc>
      </w:tr>
      <w:tr w:rsidR="008968D5" w:rsidRPr="00E46694" w14:paraId="0A666D03" w14:textId="77777777" w:rsidTr="00A25967">
        <w:tc>
          <w:tcPr>
            <w:tcW w:w="534" w:type="dxa"/>
          </w:tcPr>
          <w:p w14:paraId="5671091D" w14:textId="77777777" w:rsidR="008968D5" w:rsidRPr="002F412F" w:rsidRDefault="008968D5" w:rsidP="003C2B8E">
            <w:pPr>
              <w:rPr>
                <w:rFonts w:ascii="Verdana" w:hAnsi="Verdana"/>
                <w:color w:val="FF0000"/>
              </w:rPr>
            </w:pPr>
          </w:p>
        </w:tc>
        <w:tc>
          <w:tcPr>
            <w:tcW w:w="312" w:type="dxa"/>
          </w:tcPr>
          <w:p w14:paraId="4977895B" w14:textId="213C42FF" w:rsidR="008968D5" w:rsidRPr="00495EDD" w:rsidRDefault="008968D5" w:rsidP="003C2B8E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.</w:t>
            </w:r>
          </w:p>
        </w:tc>
        <w:tc>
          <w:tcPr>
            <w:tcW w:w="8618" w:type="dxa"/>
          </w:tcPr>
          <w:p w14:paraId="3B1F435F" w14:textId="02E49F5D" w:rsidR="00011DBC" w:rsidRPr="00011DBC" w:rsidRDefault="00011DBC" w:rsidP="00011DBC">
            <w:pPr>
              <w:pStyle w:val="NoSpacing"/>
              <w:rPr>
                <w:i/>
                <w:iCs/>
              </w:rPr>
            </w:pPr>
            <w:r>
              <w:t>i</w:t>
            </w:r>
            <w:r w:rsidRPr="00011DBC">
              <w:t>n addition to well-being and engagement with lessons, a clearer focus</w:t>
            </w:r>
            <w:r>
              <w:t xml:space="preserve"> is being placed</w:t>
            </w:r>
            <w:r w:rsidRPr="00011DBC">
              <w:t xml:space="preserve"> on work completion</w:t>
            </w:r>
            <w:r>
              <w:t xml:space="preserve"> (</w:t>
            </w:r>
            <w:r w:rsidR="00B21398">
              <w:t>in</w:t>
            </w:r>
            <w:r>
              <w:t xml:space="preserve"> particular</w:t>
            </w:r>
            <w:r w:rsidR="00B21398">
              <w:t>,</w:t>
            </w:r>
            <w:r>
              <w:t xml:space="preserve"> </w:t>
            </w:r>
            <w:r w:rsidR="00B21398">
              <w:t>its</w:t>
            </w:r>
            <w:r>
              <w:t xml:space="preserve"> impact on grades to be awarded at the end of the year);</w:t>
            </w:r>
            <w:r w:rsidR="00B21398">
              <w:t xml:space="preserve"> </w:t>
            </w:r>
            <w:r w:rsidR="00B21398">
              <w:rPr>
                <w:i/>
                <w:iCs/>
              </w:rPr>
              <w:t>and</w:t>
            </w:r>
          </w:p>
          <w:p w14:paraId="09DD5083" w14:textId="77777777" w:rsidR="008968D5" w:rsidRPr="00E46694" w:rsidRDefault="008968D5" w:rsidP="003C2B8E">
            <w:pPr>
              <w:pStyle w:val="NoSpacing"/>
            </w:pPr>
          </w:p>
        </w:tc>
      </w:tr>
      <w:tr w:rsidR="008968D5" w:rsidRPr="00E46694" w14:paraId="18635AF3" w14:textId="77777777" w:rsidTr="00A25967">
        <w:tc>
          <w:tcPr>
            <w:tcW w:w="534" w:type="dxa"/>
          </w:tcPr>
          <w:p w14:paraId="51CFD5D7" w14:textId="77777777" w:rsidR="008968D5" w:rsidRPr="002F412F" w:rsidRDefault="008968D5" w:rsidP="003C2B8E">
            <w:pPr>
              <w:rPr>
                <w:rFonts w:ascii="Verdana" w:hAnsi="Verdana"/>
                <w:color w:val="FF0000"/>
              </w:rPr>
            </w:pPr>
          </w:p>
        </w:tc>
        <w:tc>
          <w:tcPr>
            <w:tcW w:w="312" w:type="dxa"/>
          </w:tcPr>
          <w:p w14:paraId="2D4B75A5" w14:textId="1FE2F041" w:rsidR="008968D5" w:rsidRPr="00495EDD" w:rsidRDefault="008968D5" w:rsidP="003C2B8E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.</w:t>
            </w:r>
          </w:p>
        </w:tc>
        <w:tc>
          <w:tcPr>
            <w:tcW w:w="8618" w:type="dxa"/>
          </w:tcPr>
          <w:p w14:paraId="42ECFAEE" w14:textId="42162246" w:rsidR="008968D5" w:rsidRPr="00E46694" w:rsidRDefault="00B21398" w:rsidP="003C2B8E">
            <w:pPr>
              <w:pStyle w:val="NoSpacing"/>
            </w:pPr>
            <w:r>
              <w:t>a further</w:t>
            </w:r>
            <w:r w:rsidR="00011DBC">
              <w:t xml:space="preserve"> theme </w:t>
            </w:r>
            <w:r>
              <w:t>encourages students to</w:t>
            </w:r>
            <w:r w:rsidR="00011DBC">
              <w:t xml:space="preserve"> inc</w:t>
            </w:r>
            <w:r>
              <w:t>orpor</w:t>
            </w:r>
            <w:r w:rsidR="00011DBC">
              <w:t>at</w:t>
            </w:r>
            <w:r>
              <w:t>e</w:t>
            </w:r>
            <w:r w:rsidR="00011DBC">
              <w:t xml:space="preserve"> good routines</w:t>
            </w:r>
            <w:r>
              <w:t xml:space="preserve"> into their daily lives</w:t>
            </w:r>
            <w:r w:rsidR="00011DBC">
              <w:t xml:space="preserve">, </w:t>
            </w:r>
            <w:r>
              <w:t xml:space="preserve">for example beneficial </w:t>
            </w:r>
            <w:r w:rsidR="00011DBC">
              <w:t>sleeping routines.</w:t>
            </w:r>
          </w:p>
        </w:tc>
      </w:tr>
    </w:tbl>
    <w:p w14:paraId="578C3081" w14:textId="382DAB4B" w:rsidR="008968D5" w:rsidRDefault="008968D5" w:rsidP="00626F4B">
      <w:pPr>
        <w:rPr>
          <w:color w:val="FF0000"/>
        </w:rPr>
      </w:pPr>
    </w:p>
    <w:tbl>
      <w:tblPr>
        <w:tblW w:w="946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9"/>
        <w:gridCol w:w="8935"/>
      </w:tblGrid>
      <w:tr w:rsidR="00011DBC" w:rsidRPr="00B36575" w14:paraId="5549F2C6" w14:textId="77777777" w:rsidTr="00A25967">
        <w:tc>
          <w:tcPr>
            <w:tcW w:w="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3B738" w14:textId="77777777" w:rsidR="00011DBC" w:rsidRDefault="00011DBC" w:rsidP="003C2B8E">
            <w:pPr>
              <w:pStyle w:val="NoSpacing"/>
              <w:rPr>
                <w:b/>
              </w:rPr>
            </w:pPr>
          </w:p>
        </w:tc>
        <w:tc>
          <w:tcPr>
            <w:tcW w:w="89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8D46C" w14:textId="209D78D9" w:rsidR="00011DBC" w:rsidRPr="00B36575" w:rsidRDefault="00011DBC" w:rsidP="003C2B8E">
            <w:pPr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In relation to financial and technical support during lockdown, it was reported that:</w:t>
            </w:r>
          </w:p>
        </w:tc>
      </w:tr>
    </w:tbl>
    <w:p w14:paraId="10F370F9" w14:textId="77777777" w:rsidR="00011DBC" w:rsidRDefault="00011DBC" w:rsidP="00011DBC">
      <w:pPr>
        <w:rPr>
          <w:color w:val="FF0000"/>
        </w:rPr>
      </w:pPr>
    </w:p>
    <w:tbl>
      <w:tblPr>
        <w:tblStyle w:val="TableGrid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312"/>
        <w:gridCol w:w="8618"/>
      </w:tblGrid>
      <w:tr w:rsidR="00011DBC" w:rsidRPr="00E46694" w14:paraId="581948E3" w14:textId="77777777" w:rsidTr="00A25967">
        <w:tc>
          <w:tcPr>
            <w:tcW w:w="534" w:type="dxa"/>
          </w:tcPr>
          <w:p w14:paraId="6641A82B" w14:textId="77777777" w:rsidR="00011DBC" w:rsidRPr="002F412F" w:rsidRDefault="00011DBC" w:rsidP="003C2B8E">
            <w:pPr>
              <w:rPr>
                <w:rFonts w:ascii="Verdana" w:hAnsi="Verdana"/>
                <w:color w:val="FF0000"/>
              </w:rPr>
            </w:pPr>
          </w:p>
        </w:tc>
        <w:tc>
          <w:tcPr>
            <w:tcW w:w="312" w:type="dxa"/>
          </w:tcPr>
          <w:p w14:paraId="7FDD5DCC" w14:textId="77777777" w:rsidR="00011DBC" w:rsidRPr="00495EDD" w:rsidRDefault="00011DBC" w:rsidP="003C2B8E">
            <w:pPr>
              <w:rPr>
                <w:rFonts w:ascii="Verdana" w:hAnsi="Verdana"/>
                <w:b/>
              </w:rPr>
            </w:pPr>
            <w:r w:rsidRPr="00495EDD">
              <w:rPr>
                <w:rFonts w:ascii="Verdana" w:hAnsi="Verdana"/>
                <w:b/>
              </w:rPr>
              <w:t>.</w:t>
            </w:r>
          </w:p>
        </w:tc>
        <w:tc>
          <w:tcPr>
            <w:tcW w:w="8618" w:type="dxa"/>
          </w:tcPr>
          <w:p w14:paraId="10C4B2C4" w14:textId="685D0CDD" w:rsidR="00011DBC" w:rsidRDefault="00011DBC" w:rsidP="003C2B8E">
            <w:pPr>
              <w:pStyle w:val="NoSpacing"/>
            </w:pPr>
            <w:r>
              <w:t xml:space="preserve">digital equipment is being loaned to students </w:t>
            </w:r>
            <w:r w:rsidR="00B21398">
              <w:t>who otherwise have no access to it</w:t>
            </w:r>
            <w:r>
              <w:t>;</w:t>
            </w:r>
          </w:p>
          <w:p w14:paraId="26384770" w14:textId="6464F981" w:rsidR="00011DBC" w:rsidRPr="00E46694" w:rsidRDefault="00011DBC" w:rsidP="003C2B8E">
            <w:pPr>
              <w:pStyle w:val="NoSpacing"/>
            </w:pPr>
          </w:p>
        </w:tc>
      </w:tr>
      <w:tr w:rsidR="00011DBC" w:rsidRPr="00E46694" w14:paraId="06C4919C" w14:textId="77777777" w:rsidTr="00A25967">
        <w:tc>
          <w:tcPr>
            <w:tcW w:w="534" w:type="dxa"/>
          </w:tcPr>
          <w:p w14:paraId="5D0E04F4" w14:textId="77777777" w:rsidR="00011DBC" w:rsidRPr="002F412F" w:rsidRDefault="00011DBC" w:rsidP="003C2B8E">
            <w:pPr>
              <w:rPr>
                <w:rFonts w:ascii="Verdana" w:hAnsi="Verdana"/>
                <w:color w:val="FF0000"/>
              </w:rPr>
            </w:pPr>
          </w:p>
        </w:tc>
        <w:tc>
          <w:tcPr>
            <w:tcW w:w="312" w:type="dxa"/>
          </w:tcPr>
          <w:p w14:paraId="7DE0F255" w14:textId="77777777" w:rsidR="00011DBC" w:rsidRPr="00495EDD" w:rsidRDefault="00011DBC" w:rsidP="003C2B8E">
            <w:pPr>
              <w:rPr>
                <w:rFonts w:ascii="Verdana" w:hAnsi="Verdana"/>
                <w:b/>
              </w:rPr>
            </w:pPr>
            <w:r w:rsidRPr="00495EDD">
              <w:rPr>
                <w:rFonts w:ascii="Verdana" w:hAnsi="Verdana"/>
                <w:b/>
              </w:rPr>
              <w:t>.</w:t>
            </w:r>
          </w:p>
        </w:tc>
        <w:tc>
          <w:tcPr>
            <w:tcW w:w="8618" w:type="dxa"/>
          </w:tcPr>
          <w:p w14:paraId="14CCBF6B" w14:textId="098857EA" w:rsidR="00011DBC" w:rsidRDefault="00011DBC" w:rsidP="003C2B8E">
            <w:pPr>
              <w:pStyle w:val="NoSpacing"/>
            </w:pPr>
            <w:r>
              <w:t>a recent delivery of 400 laptops will accelerate th</w:t>
            </w:r>
            <w:r w:rsidR="00A25967">
              <w:t>e</w:t>
            </w:r>
            <w:r>
              <w:t xml:space="preserve"> equipment loan programme;</w:t>
            </w:r>
          </w:p>
          <w:p w14:paraId="3B4CA78D" w14:textId="5153BED5" w:rsidR="00011DBC" w:rsidRPr="00E46694" w:rsidRDefault="00011DBC" w:rsidP="003C2B8E">
            <w:pPr>
              <w:pStyle w:val="NoSpacing"/>
            </w:pPr>
          </w:p>
        </w:tc>
      </w:tr>
      <w:tr w:rsidR="00011DBC" w:rsidRPr="00E46694" w14:paraId="4532F83B" w14:textId="77777777" w:rsidTr="00A25967">
        <w:tc>
          <w:tcPr>
            <w:tcW w:w="534" w:type="dxa"/>
          </w:tcPr>
          <w:p w14:paraId="3E12C8CA" w14:textId="77777777" w:rsidR="00011DBC" w:rsidRPr="002F412F" w:rsidRDefault="00011DBC" w:rsidP="003C2B8E">
            <w:pPr>
              <w:rPr>
                <w:rFonts w:ascii="Verdana" w:hAnsi="Verdana"/>
                <w:color w:val="FF0000"/>
              </w:rPr>
            </w:pPr>
          </w:p>
        </w:tc>
        <w:tc>
          <w:tcPr>
            <w:tcW w:w="312" w:type="dxa"/>
          </w:tcPr>
          <w:p w14:paraId="71ADD348" w14:textId="77777777" w:rsidR="00011DBC" w:rsidRPr="00495EDD" w:rsidRDefault="00011DBC" w:rsidP="003C2B8E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.</w:t>
            </w:r>
          </w:p>
        </w:tc>
        <w:tc>
          <w:tcPr>
            <w:tcW w:w="8618" w:type="dxa"/>
          </w:tcPr>
          <w:p w14:paraId="73CEF6D5" w14:textId="7F7DAA76" w:rsidR="00011DBC" w:rsidRPr="00011DBC" w:rsidRDefault="00011DBC" w:rsidP="00011DBC">
            <w:pPr>
              <w:pStyle w:val="NoSpacing"/>
              <w:rPr>
                <w:i/>
                <w:iCs/>
              </w:rPr>
            </w:pPr>
            <w:r>
              <w:t>f</w:t>
            </w:r>
            <w:r w:rsidRPr="00011DBC">
              <w:t>ree College Meals</w:t>
            </w:r>
            <w:r w:rsidR="003A0A1C">
              <w:t xml:space="preserve"> funding is</w:t>
            </w:r>
            <w:r w:rsidRPr="00011DBC">
              <w:t xml:space="preserve"> </w:t>
            </w:r>
            <w:r w:rsidR="003A0A1C">
              <w:t xml:space="preserve">being </w:t>
            </w:r>
            <w:r w:rsidRPr="00011DBC">
              <w:t>paid directly into student accounts</w:t>
            </w:r>
            <w:r w:rsidR="003A0A1C">
              <w:t>;</w:t>
            </w:r>
            <w:r w:rsidR="00B21398">
              <w:t xml:space="preserve"> </w:t>
            </w:r>
            <w:r w:rsidR="00B21398">
              <w:rPr>
                <w:i/>
                <w:iCs/>
              </w:rPr>
              <w:t>and</w:t>
            </w:r>
          </w:p>
          <w:p w14:paraId="7E2AA619" w14:textId="77777777" w:rsidR="00011DBC" w:rsidRPr="00E46694" w:rsidRDefault="00011DBC" w:rsidP="003C2B8E">
            <w:pPr>
              <w:pStyle w:val="NoSpacing"/>
            </w:pPr>
          </w:p>
        </w:tc>
      </w:tr>
      <w:tr w:rsidR="00011DBC" w:rsidRPr="00E46694" w14:paraId="11011B9E" w14:textId="77777777" w:rsidTr="00A25967">
        <w:tc>
          <w:tcPr>
            <w:tcW w:w="534" w:type="dxa"/>
          </w:tcPr>
          <w:p w14:paraId="4F69BFAE" w14:textId="77777777" w:rsidR="00011DBC" w:rsidRPr="002F412F" w:rsidRDefault="00011DBC" w:rsidP="003C2B8E">
            <w:pPr>
              <w:rPr>
                <w:rFonts w:ascii="Verdana" w:hAnsi="Verdana"/>
                <w:color w:val="FF0000"/>
              </w:rPr>
            </w:pPr>
          </w:p>
        </w:tc>
        <w:tc>
          <w:tcPr>
            <w:tcW w:w="312" w:type="dxa"/>
          </w:tcPr>
          <w:p w14:paraId="26EB64A8" w14:textId="77777777" w:rsidR="00011DBC" w:rsidRPr="00495EDD" w:rsidRDefault="00011DBC" w:rsidP="003C2B8E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.</w:t>
            </w:r>
          </w:p>
        </w:tc>
        <w:tc>
          <w:tcPr>
            <w:tcW w:w="8618" w:type="dxa"/>
          </w:tcPr>
          <w:p w14:paraId="0F06C004" w14:textId="6745BE98" w:rsidR="00011DBC" w:rsidRPr="00E46694" w:rsidRDefault="003A0A1C" w:rsidP="003C2B8E">
            <w:pPr>
              <w:pStyle w:val="NoSpacing"/>
            </w:pPr>
            <w:r>
              <w:t xml:space="preserve">student bursaries </w:t>
            </w:r>
            <w:r w:rsidRPr="003A0A1C">
              <w:t>continue to be paid</w:t>
            </w:r>
            <w:r>
              <w:t>, though there is a</w:t>
            </w:r>
            <w:r w:rsidRPr="003A0A1C">
              <w:t xml:space="preserve"> reduced allocation compared to </w:t>
            </w:r>
            <w:r>
              <w:t>the previous</w:t>
            </w:r>
            <w:r w:rsidRPr="003A0A1C">
              <w:t xml:space="preserve"> year</w:t>
            </w:r>
            <w:r>
              <w:t xml:space="preserve"> (as a result of funding being </w:t>
            </w:r>
            <w:r w:rsidR="00A25967">
              <w:t>re-</w:t>
            </w:r>
            <w:r>
              <w:t>allocated away from large cities),</w:t>
            </w:r>
            <w:r w:rsidRPr="003A0A1C">
              <w:t xml:space="preserve"> and </w:t>
            </w:r>
            <w:r>
              <w:t xml:space="preserve">consideration is </w:t>
            </w:r>
            <w:r w:rsidRPr="003A0A1C">
              <w:t xml:space="preserve">therefore </w:t>
            </w:r>
            <w:r>
              <w:t>being given to</w:t>
            </w:r>
            <w:r w:rsidRPr="003A0A1C">
              <w:t xml:space="preserve"> </w:t>
            </w:r>
            <w:r>
              <w:t>the optimal</w:t>
            </w:r>
            <w:r w:rsidRPr="003A0A1C">
              <w:t xml:space="preserve"> target</w:t>
            </w:r>
            <w:r>
              <w:t>ing of</w:t>
            </w:r>
            <w:r w:rsidRPr="003A0A1C">
              <w:t xml:space="preserve"> support </w:t>
            </w:r>
            <w:r>
              <w:t>in the next</w:t>
            </w:r>
            <w:r w:rsidRPr="003A0A1C">
              <w:t xml:space="preserve"> academic year</w:t>
            </w:r>
            <w:r>
              <w:t>.</w:t>
            </w:r>
          </w:p>
        </w:tc>
      </w:tr>
    </w:tbl>
    <w:p w14:paraId="4B111B56" w14:textId="10393853" w:rsidR="008968D5" w:rsidRDefault="008968D5" w:rsidP="00626F4B">
      <w:pPr>
        <w:rPr>
          <w:color w:val="FF0000"/>
        </w:rPr>
      </w:pPr>
    </w:p>
    <w:tbl>
      <w:tblPr>
        <w:tblW w:w="946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9"/>
        <w:gridCol w:w="8935"/>
      </w:tblGrid>
      <w:tr w:rsidR="00E905E0" w:rsidRPr="00B36575" w14:paraId="52893172" w14:textId="77777777" w:rsidTr="00A25967">
        <w:tc>
          <w:tcPr>
            <w:tcW w:w="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2710B" w14:textId="77777777" w:rsidR="00E905E0" w:rsidRDefault="00E905E0" w:rsidP="003C2B8E">
            <w:pPr>
              <w:pStyle w:val="NoSpacing"/>
              <w:rPr>
                <w:b/>
              </w:rPr>
            </w:pPr>
          </w:p>
        </w:tc>
        <w:tc>
          <w:tcPr>
            <w:tcW w:w="89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7FFE8" w14:textId="77777777" w:rsidR="00E905E0" w:rsidRDefault="00702CAF" w:rsidP="003C2B8E">
            <w:pPr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The Principal noted that, in general, first year students report favourably on the College’s arrangements to maintain contact, drawing a particular comparison with their experience at school during the first lockdown.</w:t>
            </w:r>
          </w:p>
          <w:p w14:paraId="4AAB7232" w14:textId="77777777" w:rsidR="00702CAF" w:rsidRDefault="00702CAF" w:rsidP="003C2B8E">
            <w:pPr>
              <w:rPr>
                <w:rFonts w:ascii="Verdana" w:hAnsi="Verdana"/>
                <w:bCs/>
              </w:rPr>
            </w:pPr>
          </w:p>
          <w:p w14:paraId="2A61E3E3" w14:textId="77777777" w:rsidR="00F926A4" w:rsidRDefault="00702CAF" w:rsidP="003C2B8E">
            <w:pPr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The Committee Chair asked if the College is doing enough to make potential future students aware of the measures it takes to maintain contact with learners, and</w:t>
            </w:r>
            <w:r w:rsidR="00B21398">
              <w:rPr>
                <w:rFonts w:ascii="Verdana" w:hAnsi="Verdana"/>
                <w:bCs/>
              </w:rPr>
              <w:t xml:space="preserve"> </w:t>
            </w:r>
            <w:r>
              <w:rPr>
                <w:rFonts w:ascii="Verdana" w:hAnsi="Verdana"/>
                <w:bCs/>
              </w:rPr>
              <w:t xml:space="preserve">the provision of counselling support.  </w:t>
            </w:r>
          </w:p>
          <w:p w14:paraId="53D0F932" w14:textId="77777777" w:rsidR="00F926A4" w:rsidRDefault="00F926A4" w:rsidP="003C2B8E">
            <w:pPr>
              <w:rPr>
                <w:rFonts w:ascii="Verdana" w:hAnsi="Verdana"/>
                <w:bCs/>
              </w:rPr>
            </w:pPr>
          </w:p>
          <w:p w14:paraId="5D2794ED" w14:textId="7FD517F7" w:rsidR="00702CAF" w:rsidRPr="00B36575" w:rsidRDefault="00702CAF" w:rsidP="003C2B8E">
            <w:pPr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In the latter regard, it was noted that</w:t>
            </w:r>
            <w:r w:rsidR="00F926A4">
              <w:rPr>
                <w:rFonts w:ascii="Verdana" w:hAnsi="Verdana"/>
                <w:bCs/>
              </w:rPr>
              <w:t xml:space="preserve"> </w:t>
            </w:r>
            <w:r w:rsidR="00F926A4" w:rsidRPr="00F926A4">
              <w:rPr>
                <w:rFonts w:ascii="Verdana" w:hAnsi="Verdana"/>
              </w:rPr>
              <w:t xml:space="preserve">the </w:t>
            </w:r>
            <w:r w:rsidR="00F926A4">
              <w:rPr>
                <w:rFonts w:ascii="Verdana" w:hAnsi="Verdana"/>
              </w:rPr>
              <w:t>C</w:t>
            </w:r>
            <w:r w:rsidR="00F926A4" w:rsidRPr="00F926A4">
              <w:rPr>
                <w:rFonts w:ascii="Verdana" w:hAnsi="Verdana"/>
              </w:rPr>
              <w:t>ollege</w:t>
            </w:r>
            <w:r w:rsidR="00F926A4">
              <w:rPr>
                <w:rFonts w:ascii="Verdana" w:hAnsi="Verdana"/>
              </w:rPr>
              <w:t>, anticipating a rise in mental health challenges,</w:t>
            </w:r>
            <w:r w:rsidR="00F926A4" w:rsidRPr="00F926A4">
              <w:rPr>
                <w:rFonts w:ascii="Verdana" w:hAnsi="Verdana"/>
              </w:rPr>
              <w:t xml:space="preserve"> ha</w:t>
            </w:r>
            <w:r w:rsidR="00F926A4">
              <w:rPr>
                <w:rFonts w:ascii="Verdana" w:hAnsi="Verdana"/>
              </w:rPr>
              <w:t>d</w:t>
            </w:r>
            <w:r w:rsidR="00F926A4" w:rsidRPr="00F926A4">
              <w:rPr>
                <w:rFonts w:ascii="Verdana" w:hAnsi="Verdana"/>
              </w:rPr>
              <w:t xml:space="preserve"> </w:t>
            </w:r>
            <w:r w:rsidR="00F926A4">
              <w:rPr>
                <w:rFonts w:ascii="Verdana" w:hAnsi="Verdana"/>
              </w:rPr>
              <w:t>doubl</w:t>
            </w:r>
            <w:r w:rsidR="00F926A4" w:rsidRPr="00F926A4">
              <w:rPr>
                <w:rFonts w:ascii="Verdana" w:hAnsi="Verdana"/>
              </w:rPr>
              <w:t xml:space="preserve">ed </w:t>
            </w:r>
            <w:r w:rsidR="00F926A4">
              <w:rPr>
                <w:rFonts w:ascii="Verdana" w:hAnsi="Verdana"/>
              </w:rPr>
              <w:t>its investment in</w:t>
            </w:r>
            <w:r w:rsidR="00F926A4" w:rsidRPr="00F926A4">
              <w:rPr>
                <w:rFonts w:ascii="Verdana" w:hAnsi="Verdana"/>
              </w:rPr>
              <w:t xml:space="preserve"> counselling</w:t>
            </w:r>
            <w:r w:rsidR="00F926A4">
              <w:rPr>
                <w:rFonts w:ascii="Verdana" w:hAnsi="Verdana"/>
              </w:rPr>
              <w:t xml:space="preserve"> provision</w:t>
            </w:r>
            <w:r w:rsidR="00F926A4" w:rsidRPr="00F926A4">
              <w:rPr>
                <w:rFonts w:ascii="Verdana" w:hAnsi="Verdana"/>
              </w:rPr>
              <w:t xml:space="preserve"> </w:t>
            </w:r>
            <w:r w:rsidR="00F926A4">
              <w:rPr>
                <w:rFonts w:ascii="Verdana" w:hAnsi="Verdana"/>
              </w:rPr>
              <w:t>in the current</w:t>
            </w:r>
            <w:r w:rsidR="00F926A4" w:rsidRPr="00F926A4">
              <w:rPr>
                <w:rFonts w:ascii="Verdana" w:hAnsi="Verdana"/>
              </w:rPr>
              <w:t xml:space="preserve"> year. </w:t>
            </w:r>
            <w:r w:rsidR="00F926A4">
              <w:rPr>
                <w:rFonts w:ascii="Verdana" w:hAnsi="Verdana"/>
              </w:rPr>
              <w:t xml:space="preserve"> </w:t>
            </w:r>
            <w:r w:rsidR="00F926A4" w:rsidRPr="00F926A4">
              <w:rPr>
                <w:rFonts w:ascii="Verdana" w:hAnsi="Verdana"/>
              </w:rPr>
              <w:t xml:space="preserve">However, </w:t>
            </w:r>
            <w:r>
              <w:rPr>
                <w:rFonts w:ascii="Verdana" w:hAnsi="Verdana"/>
                <w:bCs/>
              </w:rPr>
              <w:t xml:space="preserve">counselling is an expensive service to </w:t>
            </w:r>
            <w:r w:rsidR="00F926A4">
              <w:rPr>
                <w:rFonts w:ascii="Verdana" w:hAnsi="Verdana"/>
                <w:bCs/>
              </w:rPr>
              <w:t>fund</w:t>
            </w:r>
            <w:r>
              <w:rPr>
                <w:rFonts w:ascii="Verdana" w:hAnsi="Verdana"/>
                <w:bCs/>
              </w:rPr>
              <w:t>, and efforts are being directed towards enabling other staff to assume some aspects of th</w:t>
            </w:r>
            <w:r w:rsidR="00F926A4">
              <w:rPr>
                <w:rFonts w:ascii="Verdana" w:hAnsi="Verdana"/>
                <w:bCs/>
              </w:rPr>
              <w:t>e</w:t>
            </w:r>
            <w:r>
              <w:rPr>
                <w:rFonts w:ascii="Verdana" w:hAnsi="Verdana"/>
                <w:bCs/>
              </w:rPr>
              <w:t xml:space="preserve"> role.  It was also noted that additional “catch-up” funding can be carried forward to 2021-22, which might be applied in this context.</w:t>
            </w:r>
          </w:p>
        </w:tc>
      </w:tr>
    </w:tbl>
    <w:p w14:paraId="7B7E972D" w14:textId="77777777" w:rsidR="008968D5" w:rsidRDefault="008968D5" w:rsidP="00626F4B">
      <w:pPr>
        <w:rPr>
          <w:color w:val="FF0000"/>
        </w:rPr>
      </w:pPr>
    </w:p>
    <w:tbl>
      <w:tblPr>
        <w:tblW w:w="946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9"/>
        <w:gridCol w:w="8935"/>
      </w:tblGrid>
      <w:tr w:rsidR="0089704F" w:rsidRPr="00346D1D" w14:paraId="67A31D52" w14:textId="77777777" w:rsidTr="00A25967">
        <w:tc>
          <w:tcPr>
            <w:tcW w:w="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6E02F" w14:textId="0A658DCF" w:rsidR="0089704F" w:rsidRDefault="0089704F" w:rsidP="00242FEC">
            <w:pPr>
              <w:pStyle w:val="NoSpacing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9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B077B" w14:textId="77777777" w:rsidR="0089704F" w:rsidRDefault="0089704F" w:rsidP="0089704F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External Corporate Hospitality </w:t>
            </w:r>
          </w:p>
          <w:p w14:paraId="091FC9DA" w14:textId="77777777" w:rsidR="0089704F" w:rsidRDefault="0089704F" w:rsidP="00242FEC">
            <w:pPr>
              <w:rPr>
                <w:rFonts w:ascii="Verdana" w:hAnsi="Verdana"/>
                <w:bCs/>
              </w:rPr>
            </w:pPr>
          </w:p>
          <w:p w14:paraId="008030D9" w14:textId="77777777" w:rsidR="0089704F" w:rsidRDefault="0089704F" w:rsidP="00242FEC">
            <w:pPr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No instances were reported.</w:t>
            </w:r>
          </w:p>
          <w:p w14:paraId="372DDAF2" w14:textId="77777777" w:rsidR="0089704F" w:rsidRDefault="0089704F" w:rsidP="00242FEC">
            <w:pPr>
              <w:rPr>
                <w:rFonts w:ascii="Verdana" w:hAnsi="Verdana"/>
                <w:bCs/>
              </w:rPr>
            </w:pPr>
          </w:p>
          <w:p w14:paraId="1866FA9E" w14:textId="77777777" w:rsidR="00A25967" w:rsidRDefault="00A25967" w:rsidP="00242FEC">
            <w:pPr>
              <w:rPr>
                <w:rFonts w:ascii="Verdana" w:hAnsi="Verdana"/>
                <w:bCs/>
              </w:rPr>
            </w:pPr>
          </w:p>
          <w:p w14:paraId="13F782B4" w14:textId="77777777" w:rsidR="00A25967" w:rsidRDefault="00A25967" w:rsidP="00242FEC">
            <w:pPr>
              <w:rPr>
                <w:rFonts w:ascii="Verdana" w:hAnsi="Verdana"/>
                <w:bCs/>
              </w:rPr>
            </w:pPr>
          </w:p>
          <w:p w14:paraId="44B34A32" w14:textId="77777777" w:rsidR="00A25967" w:rsidRDefault="00A25967" w:rsidP="00242FEC">
            <w:pPr>
              <w:rPr>
                <w:rFonts w:ascii="Verdana" w:hAnsi="Verdana"/>
                <w:bCs/>
              </w:rPr>
            </w:pPr>
          </w:p>
          <w:p w14:paraId="6DA82BBF" w14:textId="195DF601" w:rsidR="00A25967" w:rsidRPr="00346D1D" w:rsidRDefault="00A25967" w:rsidP="00242FEC">
            <w:pPr>
              <w:rPr>
                <w:rFonts w:ascii="Verdana" w:hAnsi="Verdana"/>
                <w:bCs/>
              </w:rPr>
            </w:pPr>
          </w:p>
        </w:tc>
      </w:tr>
      <w:tr w:rsidR="0089704F" w:rsidRPr="00B36575" w14:paraId="7EC12DE3" w14:textId="77777777" w:rsidTr="00A25967">
        <w:tc>
          <w:tcPr>
            <w:tcW w:w="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8B205" w14:textId="699CD3AA" w:rsidR="0089704F" w:rsidRDefault="0089704F" w:rsidP="00242FEC">
            <w:pPr>
              <w:pStyle w:val="NoSpacing"/>
              <w:rPr>
                <w:b/>
              </w:rPr>
            </w:pPr>
            <w:r>
              <w:rPr>
                <w:b/>
              </w:rPr>
              <w:lastRenderedPageBreak/>
              <w:t>11</w:t>
            </w:r>
          </w:p>
        </w:tc>
        <w:tc>
          <w:tcPr>
            <w:tcW w:w="89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39B4E" w14:textId="77777777" w:rsidR="0089704F" w:rsidRDefault="0089704F" w:rsidP="0089704F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Disclosure and Barring Service (DBS) Checking of Governors</w:t>
            </w:r>
          </w:p>
          <w:p w14:paraId="07760130" w14:textId="77777777" w:rsidR="0089704F" w:rsidRDefault="0089704F" w:rsidP="00242FEC">
            <w:pPr>
              <w:rPr>
                <w:rFonts w:ascii="Verdana" w:hAnsi="Verdana"/>
                <w:bCs/>
              </w:rPr>
            </w:pPr>
          </w:p>
          <w:p w14:paraId="757E7D8F" w14:textId="5C331393" w:rsidR="0089704F" w:rsidRDefault="0089704F" w:rsidP="00242FEC">
            <w:pPr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 xml:space="preserve">The Clerk to the Corporation reported that all DBS checks remain in date, </w:t>
            </w:r>
            <w:r w:rsidR="009E6FFB">
              <w:rPr>
                <w:rFonts w:ascii="Verdana" w:hAnsi="Verdana"/>
                <w:bCs/>
              </w:rPr>
              <w:t xml:space="preserve">but </w:t>
            </w:r>
            <w:r>
              <w:rPr>
                <w:rFonts w:ascii="Verdana" w:hAnsi="Verdana"/>
                <w:bCs/>
              </w:rPr>
              <w:t xml:space="preserve">that </w:t>
            </w:r>
            <w:r w:rsidR="002D151E">
              <w:rPr>
                <w:rFonts w:ascii="Verdana" w:hAnsi="Verdana"/>
                <w:bCs/>
              </w:rPr>
              <w:t>three are due for renewal later this term</w:t>
            </w:r>
            <w:r>
              <w:rPr>
                <w:rFonts w:ascii="Verdana" w:hAnsi="Verdana"/>
                <w:bCs/>
              </w:rPr>
              <w:t xml:space="preserve">, </w:t>
            </w:r>
            <w:r w:rsidR="0004721E">
              <w:rPr>
                <w:rFonts w:ascii="Verdana" w:hAnsi="Verdana"/>
                <w:bCs/>
              </w:rPr>
              <w:t xml:space="preserve">and two more in the </w:t>
            </w:r>
            <w:r w:rsidR="002D151E">
              <w:rPr>
                <w:rFonts w:ascii="Verdana" w:hAnsi="Verdana"/>
                <w:bCs/>
              </w:rPr>
              <w:t>following term</w:t>
            </w:r>
            <w:r w:rsidR="0004721E">
              <w:rPr>
                <w:rFonts w:ascii="Verdana" w:hAnsi="Verdana"/>
                <w:bCs/>
              </w:rPr>
              <w:t>.</w:t>
            </w:r>
          </w:p>
          <w:p w14:paraId="21BE5E2A" w14:textId="1F2F4541" w:rsidR="0004721E" w:rsidRDefault="0004721E" w:rsidP="00242FEC">
            <w:pPr>
              <w:rPr>
                <w:rFonts w:ascii="Verdana" w:hAnsi="Verdana"/>
                <w:bCs/>
              </w:rPr>
            </w:pPr>
          </w:p>
          <w:p w14:paraId="738099D7" w14:textId="2430518A" w:rsidR="0004721E" w:rsidRDefault="0004721E" w:rsidP="00242FEC">
            <w:pPr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He noted that governors are n</w:t>
            </w:r>
            <w:r w:rsidR="002D151E">
              <w:rPr>
                <w:rFonts w:ascii="Verdana" w:hAnsi="Verdana"/>
                <w:bCs/>
              </w:rPr>
              <w:t>either</w:t>
            </w:r>
            <w:r>
              <w:rPr>
                <w:rFonts w:ascii="Verdana" w:hAnsi="Verdana"/>
                <w:bCs/>
              </w:rPr>
              <w:t xml:space="preserve"> currently</w:t>
            </w:r>
            <w:r w:rsidR="002D151E">
              <w:rPr>
                <w:rFonts w:ascii="Verdana" w:hAnsi="Verdana"/>
                <w:bCs/>
              </w:rPr>
              <w:t xml:space="preserve"> nor prospectively</w:t>
            </w:r>
            <w:r>
              <w:rPr>
                <w:rFonts w:ascii="Verdana" w:hAnsi="Verdana"/>
                <w:bCs/>
              </w:rPr>
              <w:t xml:space="preserve"> coming into the College.  The </w:t>
            </w:r>
            <w:r w:rsidR="00291636">
              <w:rPr>
                <w:rFonts w:ascii="Verdana" w:hAnsi="Verdana"/>
                <w:bCs/>
              </w:rPr>
              <w:t xml:space="preserve">College </w:t>
            </w:r>
            <w:r>
              <w:rPr>
                <w:rFonts w:ascii="Verdana" w:hAnsi="Verdana"/>
                <w:bCs/>
              </w:rPr>
              <w:t xml:space="preserve">HR Department is working remotely, which makes </w:t>
            </w:r>
            <w:r w:rsidR="002D151E">
              <w:rPr>
                <w:rFonts w:ascii="Verdana" w:hAnsi="Verdana"/>
                <w:bCs/>
              </w:rPr>
              <w:t>it</w:t>
            </w:r>
            <w:r>
              <w:rPr>
                <w:rFonts w:ascii="Verdana" w:hAnsi="Verdana"/>
                <w:bCs/>
              </w:rPr>
              <w:t xml:space="preserve"> </w:t>
            </w:r>
            <w:r w:rsidR="002D151E">
              <w:rPr>
                <w:rFonts w:ascii="Verdana" w:hAnsi="Verdana"/>
                <w:bCs/>
              </w:rPr>
              <w:t>difficult</w:t>
            </w:r>
            <w:r>
              <w:rPr>
                <w:rFonts w:ascii="Verdana" w:hAnsi="Verdana"/>
                <w:bCs/>
              </w:rPr>
              <w:t xml:space="preserve"> </w:t>
            </w:r>
            <w:r w:rsidR="002D151E">
              <w:rPr>
                <w:rFonts w:ascii="Verdana" w:hAnsi="Verdana"/>
                <w:bCs/>
              </w:rPr>
              <w:t>to verify</w:t>
            </w:r>
            <w:r>
              <w:rPr>
                <w:rFonts w:ascii="Verdana" w:hAnsi="Verdana"/>
                <w:bCs/>
              </w:rPr>
              <w:t xml:space="preserve"> documentation</w:t>
            </w:r>
            <w:r w:rsidR="002D151E">
              <w:rPr>
                <w:rFonts w:ascii="Verdana" w:hAnsi="Verdana"/>
                <w:bCs/>
              </w:rPr>
              <w:t xml:space="preserve"> attending the renewal process</w:t>
            </w:r>
            <w:r>
              <w:rPr>
                <w:rFonts w:ascii="Verdana" w:hAnsi="Verdana"/>
                <w:bCs/>
              </w:rPr>
              <w:t>.  DBS checking of college governors is not a legal requirement</w:t>
            </w:r>
            <w:r w:rsidR="002D151E">
              <w:rPr>
                <w:rFonts w:ascii="Verdana" w:hAnsi="Verdana"/>
                <w:bCs/>
              </w:rPr>
              <w:t xml:space="preserve"> </w:t>
            </w:r>
            <w:r>
              <w:rPr>
                <w:rFonts w:ascii="Verdana" w:hAnsi="Verdana"/>
                <w:bCs/>
              </w:rPr>
              <w:t>but</w:t>
            </w:r>
            <w:r w:rsidR="002D151E">
              <w:rPr>
                <w:rFonts w:ascii="Verdana" w:hAnsi="Verdana"/>
                <w:bCs/>
              </w:rPr>
              <w:t>, in normal times,</w:t>
            </w:r>
            <w:r>
              <w:rPr>
                <w:rFonts w:ascii="Verdana" w:hAnsi="Verdana"/>
                <w:bCs/>
              </w:rPr>
              <w:t xml:space="preserve"> an element of best practice.</w:t>
            </w:r>
          </w:p>
          <w:p w14:paraId="494504C4" w14:textId="77D4C278" w:rsidR="0004721E" w:rsidRDefault="0004721E" w:rsidP="00242FEC">
            <w:pPr>
              <w:rPr>
                <w:rFonts w:ascii="Verdana" w:hAnsi="Verdana"/>
                <w:bCs/>
              </w:rPr>
            </w:pPr>
          </w:p>
          <w:p w14:paraId="38356BAE" w14:textId="05820524" w:rsidR="0004721E" w:rsidRDefault="0004721E" w:rsidP="00242FEC">
            <w:pPr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 xml:space="preserve">The Clerk stated that he would </w:t>
            </w:r>
            <w:r w:rsidR="002D151E">
              <w:rPr>
                <w:rFonts w:ascii="Verdana" w:hAnsi="Verdana"/>
                <w:bCs/>
              </w:rPr>
              <w:t>communicate with</w:t>
            </w:r>
            <w:r>
              <w:rPr>
                <w:rFonts w:ascii="Verdana" w:hAnsi="Verdana"/>
                <w:bCs/>
              </w:rPr>
              <w:t xml:space="preserve"> governors affected by the decision setting out the reasons for the delay, and </w:t>
            </w:r>
            <w:r w:rsidR="002D151E">
              <w:rPr>
                <w:rFonts w:ascii="Verdana" w:hAnsi="Verdana"/>
                <w:bCs/>
              </w:rPr>
              <w:t>drawing attention to</w:t>
            </w:r>
            <w:r>
              <w:rPr>
                <w:rFonts w:ascii="Verdana" w:hAnsi="Verdana"/>
                <w:bCs/>
              </w:rPr>
              <w:t xml:space="preserve"> the limitations it places on College visits.</w:t>
            </w:r>
          </w:p>
          <w:p w14:paraId="77E68BE5" w14:textId="43BC6DB5" w:rsidR="0089704F" w:rsidRDefault="00B82CB5" w:rsidP="00242FEC">
            <w:pPr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 xml:space="preserve"> </w:t>
            </w:r>
            <w:r w:rsidR="00FE0213">
              <w:rPr>
                <w:rFonts w:ascii="Verdana" w:hAnsi="Verdana"/>
                <w:bCs/>
              </w:rPr>
              <w:t xml:space="preserve"> </w:t>
            </w:r>
          </w:p>
          <w:p w14:paraId="21350569" w14:textId="4176DFA2" w:rsidR="0004721E" w:rsidRDefault="0004721E" w:rsidP="00242FEC">
            <w:pPr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 xml:space="preserve">The </w:t>
            </w:r>
            <w:r w:rsidR="004D2202">
              <w:rPr>
                <w:rFonts w:ascii="Verdana" w:hAnsi="Verdana"/>
                <w:bCs/>
              </w:rPr>
              <w:t xml:space="preserve">DBS renewal </w:t>
            </w:r>
            <w:r>
              <w:rPr>
                <w:rFonts w:ascii="Verdana" w:hAnsi="Verdana"/>
                <w:bCs/>
              </w:rPr>
              <w:t>process will be re-</w:t>
            </w:r>
            <w:r w:rsidR="002D151E">
              <w:rPr>
                <w:rFonts w:ascii="Verdana" w:hAnsi="Verdana"/>
                <w:bCs/>
              </w:rPr>
              <w:t>commenc</w:t>
            </w:r>
            <w:r>
              <w:rPr>
                <w:rFonts w:ascii="Verdana" w:hAnsi="Verdana"/>
                <w:bCs/>
              </w:rPr>
              <w:t xml:space="preserve">ed as soon as it is </w:t>
            </w:r>
            <w:r w:rsidR="004D2202">
              <w:rPr>
                <w:rFonts w:ascii="Verdana" w:hAnsi="Verdana"/>
                <w:bCs/>
              </w:rPr>
              <w:t xml:space="preserve">both </w:t>
            </w:r>
            <w:r>
              <w:rPr>
                <w:rFonts w:ascii="Verdana" w:hAnsi="Verdana"/>
                <w:bCs/>
              </w:rPr>
              <w:t>safe and prudent.</w:t>
            </w:r>
          </w:p>
          <w:p w14:paraId="0E4B6DD5" w14:textId="1553A57E" w:rsidR="0089704F" w:rsidRPr="00B36575" w:rsidRDefault="0089704F" w:rsidP="004D2202">
            <w:pPr>
              <w:rPr>
                <w:rFonts w:ascii="Verdana" w:hAnsi="Verdana"/>
                <w:bCs/>
              </w:rPr>
            </w:pPr>
          </w:p>
        </w:tc>
      </w:tr>
      <w:tr w:rsidR="0089704F" w:rsidRPr="00B36575" w14:paraId="3E89E0D1" w14:textId="77777777" w:rsidTr="00A25967">
        <w:tc>
          <w:tcPr>
            <w:tcW w:w="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481BF" w14:textId="57861C57" w:rsidR="0089704F" w:rsidRDefault="0089704F" w:rsidP="00242FEC">
            <w:pPr>
              <w:pStyle w:val="NoSpacing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89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16689" w14:textId="77777777" w:rsidR="0089704F" w:rsidRDefault="0089704F" w:rsidP="0089704F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Date and Time of Remaining Meeting 2020-21</w:t>
            </w:r>
          </w:p>
          <w:p w14:paraId="3D476D70" w14:textId="77777777" w:rsidR="0089704F" w:rsidRDefault="0089704F" w:rsidP="0089704F">
            <w:pPr>
              <w:rPr>
                <w:rFonts w:ascii="Verdana" w:hAnsi="Verdana"/>
                <w:b/>
              </w:rPr>
            </w:pPr>
          </w:p>
          <w:p w14:paraId="783E2917" w14:textId="1880169C" w:rsidR="0089704F" w:rsidRDefault="0089704F" w:rsidP="0089704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The following approved date and time was noted:</w:t>
            </w:r>
          </w:p>
          <w:p w14:paraId="03BB5B88" w14:textId="77777777" w:rsidR="0089704F" w:rsidRDefault="0089704F" w:rsidP="0089704F">
            <w:pPr>
              <w:rPr>
                <w:rFonts w:ascii="Verdana" w:hAnsi="Verdana"/>
              </w:rPr>
            </w:pPr>
          </w:p>
          <w:p w14:paraId="45B333C4" w14:textId="5594CF21" w:rsidR="0089704F" w:rsidRPr="003F5F59" w:rsidRDefault="00291636" w:rsidP="0089704F">
            <w:pPr>
              <w:pStyle w:val="NoSpacing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Tues</w:t>
            </w:r>
            <w:r w:rsidR="0089704F">
              <w:rPr>
                <w:b/>
                <w:bCs/>
                <w:i/>
                <w:iCs/>
              </w:rPr>
              <w:t xml:space="preserve">day </w:t>
            </w:r>
            <w:r>
              <w:rPr>
                <w:b/>
                <w:bCs/>
                <w:i/>
                <w:iCs/>
              </w:rPr>
              <w:t>22</w:t>
            </w:r>
            <w:r w:rsidR="0089704F">
              <w:rPr>
                <w:b/>
                <w:bCs/>
                <w:i/>
                <w:iCs/>
              </w:rPr>
              <w:t xml:space="preserve"> June 2021 (5.30pm) </w:t>
            </w:r>
          </w:p>
          <w:p w14:paraId="06D5CB5C" w14:textId="77777777" w:rsidR="0089704F" w:rsidRDefault="0089704F" w:rsidP="0089704F">
            <w:pPr>
              <w:rPr>
                <w:rFonts w:ascii="Verdana" w:hAnsi="Verdana"/>
              </w:rPr>
            </w:pPr>
          </w:p>
          <w:p w14:paraId="52E74424" w14:textId="22A9F996" w:rsidR="0089704F" w:rsidRDefault="00291636" w:rsidP="0089704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Please note that this is an </w:t>
            </w:r>
            <w:r w:rsidRPr="00291636">
              <w:rPr>
                <w:rFonts w:ascii="Verdana" w:hAnsi="Verdana"/>
                <w:b/>
                <w:bCs/>
              </w:rPr>
              <w:t>altered date</w:t>
            </w:r>
            <w:r>
              <w:rPr>
                <w:rFonts w:ascii="Verdana" w:hAnsi="Verdana"/>
              </w:rPr>
              <w:t xml:space="preserve">.  </w:t>
            </w:r>
            <w:r w:rsidR="0089704F">
              <w:rPr>
                <w:rFonts w:ascii="Verdana" w:hAnsi="Verdana"/>
              </w:rPr>
              <w:t>The meeting will be held online.</w:t>
            </w:r>
          </w:p>
          <w:p w14:paraId="752243A4" w14:textId="2FA86F44" w:rsidR="00B21398" w:rsidRDefault="00B21398" w:rsidP="0089704F">
            <w:pPr>
              <w:rPr>
                <w:rFonts w:ascii="Verdana" w:hAnsi="Verdana"/>
                <w:b/>
              </w:rPr>
            </w:pPr>
          </w:p>
        </w:tc>
      </w:tr>
      <w:tr w:rsidR="0089704F" w:rsidRPr="00B36575" w14:paraId="570A3A52" w14:textId="77777777" w:rsidTr="00A25967">
        <w:tc>
          <w:tcPr>
            <w:tcW w:w="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27DAE" w14:textId="095F68B2" w:rsidR="0089704F" w:rsidRDefault="0089704F" w:rsidP="00242FEC">
            <w:pPr>
              <w:pStyle w:val="NoSpacing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89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4DDD9" w14:textId="77777777" w:rsidR="0089704F" w:rsidRPr="0049013F" w:rsidRDefault="0089704F" w:rsidP="0089704F">
            <w:pPr>
              <w:rPr>
                <w:rFonts w:ascii="Verdana" w:hAnsi="Verdana"/>
                <w:b/>
              </w:rPr>
            </w:pPr>
            <w:r w:rsidRPr="0049013F">
              <w:rPr>
                <w:rFonts w:ascii="Verdana" w:hAnsi="Verdana"/>
                <w:b/>
              </w:rPr>
              <w:t>Any Other Competent Business</w:t>
            </w:r>
          </w:p>
          <w:p w14:paraId="2F99C019" w14:textId="77777777" w:rsidR="0089704F" w:rsidRDefault="0089704F" w:rsidP="0089704F">
            <w:pPr>
              <w:rPr>
                <w:rFonts w:ascii="Verdana" w:hAnsi="Verdana"/>
                <w:b/>
              </w:rPr>
            </w:pPr>
          </w:p>
          <w:p w14:paraId="0B1C4831" w14:textId="4280C9EF" w:rsidR="00291636" w:rsidRPr="00291636" w:rsidRDefault="00291636" w:rsidP="0089704F">
            <w:pPr>
              <w:rPr>
                <w:rFonts w:ascii="Verdana" w:hAnsi="Verdana"/>
                <w:bCs/>
              </w:rPr>
            </w:pPr>
            <w:r w:rsidRPr="00291636">
              <w:rPr>
                <w:rFonts w:ascii="Verdana" w:hAnsi="Verdana"/>
                <w:bCs/>
              </w:rPr>
              <w:t>None</w:t>
            </w:r>
            <w:r>
              <w:rPr>
                <w:rFonts w:ascii="Verdana" w:hAnsi="Verdana"/>
                <w:bCs/>
              </w:rPr>
              <w:t>.</w:t>
            </w:r>
          </w:p>
        </w:tc>
      </w:tr>
    </w:tbl>
    <w:p w14:paraId="4E290ED1" w14:textId="03A8BFFC" w:rsidR="00445FFA" w:rsidRDefault="00445FFA" w:rsidP="00626F4B">
      <w:pPr>
        <w:rPr>
          <w:color w:val="FF0000"/>
        </w:rPr>
      </w:pPr>
    </w:p>
    <w:p w14:paraId="35745058" w14:textId="77777777" w:rsidR="004D2202" w:rsidRDefault="004D2202" w:rsidP="00626F4B">
      <w:pPr>
        <w:rPr>
          <w:color w:val="FF0000"/>
        </w:rPr>
      </w:pPr>
    </w:p>
    <w:p w14:paraId="29A2505A" w14:textId="77777777" w:rsidR="00C03DBC" w:rsidRDefault="00C03DBC" w:rsidP="00C03DBC">
      <w:pPr>
        <w:rPr>
          <w:rFonts w:ascii="Verdana" w:hAnsi="Verdana"/>
          <w:b/>
          <w:bCs/>
        </w:rPr>
      </w:pPr>
      <w:r w:rsidRPr="005104D0">
        <w:rPr>
          <w:rFonts w:ascii="Verdana" w:hAnsi="Verdana"/>
          <w:b/>
          <w:bCs/>
        </w:rPr>
        <w:t>List of Actions Arising from the Minute</w:t>
      </w:r>
      <w:r>
        <w:rPr>
          <w:rFonts w:ascii="Verdana" w:hAnsi="Verdana"/>
          <w:b/>
          <w:bCs/>
        </w:rPr>
        <w:t>s</w:t>
      </w:r>
    </w:p>
    <w:p w14:paraId="52F16303" w14:textId="77777777" w:rsidR="00C03DBC" w:rsidRDefault="00C03DBC" w:rsidP="00C03DBC">
      <w:pPr>
        <w:rPr>
          <w:rFonts w:ascii="Verdana" w:hAnsi="Verdana"/>
          <w:b/>
          <w:bCs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1129"/>
        <w:gridCol w:w="3119"/>
        <w:gridCol w:w="5245"/>
      </w:tblGrid>
      <w:tr w:rsidR="00C03DBC" w14:paraId="4113145E" w14:textId="77777777" w:rsidTr="00C03DBC">
        <w:tc>
          <w:tcPr>
            <w:tcW w:w="1129" w:type="dxa"/>
          </w:tcPr>
          <w:p w14:paraId="11704D86" w14:textId="77777777" w:rsidR="00C03DBC" w:rsidRDefault="00C03DBC" w:rsidP="00242FEC">
            <w:pPr>
              <w:rPr>
                <w:rFonts w:ascii="Verdana" w:hAnsi="Verdana"/>
                <w:i/>
                <w:iCs/>
              </w:rPr>
            </w:pPr>
            <w:r w:rsidRPr="005104D0">
              <w:rPr>
                <w:rFonts w:ascii="Verdana" w:hAnsi="Verdana"/>
                <w:i/>
                <w:iCs/>
              </w:rPr>
              <w:t>Minute No.</w:t>
            </w:r>
          </w:p>
          <w:p w14:paraId="1C5AC295" w14:textId="77777777" w:rsidR="00C03DBC" w:rsidRPr="005104D0" w:rsidRDefault="00C03DBC" w:rsidP="00242FEC">
            <w:pPr>
              <w:rPr>
                <w:rFonts w:ascii="Verdana" w:hAnsi="Verdana"/>
                <w:i/>
                <w:iCs/>
              </w:rPr>
            </w:pPr>
          </w:p>
        </w:tc>
        <w:tc>
          <w:tcPr>
            <w:tcW w:w="3119" w:type="dxa"/>
          </w:tcPr>
          <w:p w14:paraId="60E78ABF" w14:textId="77777777" w:rsidR="00C03DBC" w:rsidRPr="005104D0" w:rsidRDefault="00C03DBC" w:rsidP="00242FEC">
            <w:pPr>
              <w:rPr>
                <w:rFonts w:ascii="Verdana" w:hAnsi="Verdana"/>
                <w:i/>
                <w:iCs/>
              </w:rPr>
            </w:pPr>
            <w:r w:rsidRPr="005104D0">
              <w:rPr>
                <w:rFonts w:ascii="Verdana" w:hAnsi="Verdana"/>
                <w:i/>
                <w:iCs/>
              </w:rPr>
              <w:t>Person</w:t>
            </w:r>
            <w:r>
              <w:rPr>
                <w:rFonts w:ascii="Verdana" w:hAnsi="Verdana"/>
                <w:i/>
                <w:iCs/>
              </w:rPr>
              <w:t>(s)</w:t>
            </w:r>
            <w:r w:rsidRPr="005104D0">
              <w:rPr>
                <w:rFonts w:ascii="Verdana" w:hAnsi="Verdana"/>
                <w:i/>
                <w:iCs/>
              </w:rPr>
              <w:t xml:space="preserve"> Responsible</w:t>
            </w:r>
          </w:p>
          <w:p w14:paraId="2DC29934" w14:textId="77777777" w:rsidR="00C03DBC" w:rsidRPr="005104D0" w:rsidRDefault="00C03DBC" w:rsidP="00242FEC">
            <w:pPr>
              <w:rPr>
                <w:rFonts w:ascii="Verdana" w:hAnsi="Verdana"/>
                <w:i/>
                <w:iCs/>
              </w:rPr>
            </w:pPr>
          </w:p>
        </w:tc>
        <w:tc>
          <w:tcPr>
            <w:tcW w:w="5245" w:type="dxa"/>
          </w:tcPr>
          <w:p w14:paraId="1D7C353D" w14:textId="77777777" w:rsidR="00C03DBC" w:rsidRPr="005104D0" w:rsidRDefault="00C03DBC" w:rsidP="00242FEC">
            <w:pPr>
              <w:rPr>
                <w:rFonts w:ascii="Verdana" w:hAnsi="Verdana"/>
                <w:i/>
                <w:iCs/>
              </w:rPr>
            </w:pPr>
            <w:r w:rsidRPr="005104D0">
              <w:rPr>
                <w:rFonts w:ascii="Verdana" w:hAnsi="Verdana"/>
                <w:i/>
                <w:iCs/>
              </w:rPr>
              <w:t>Action Required</w:t>
            </w:r>
          </w:p>
        </w:tc>
      </w:tr>
      <w:tr w:rsidR="00C03DBC" w14:paraId="2AAC1837" w14:textId="77777777" w:rsidTr="00C03DBC">
        <w:tc>
          <w:tcPr>
            <w:tcW w:w="1129" w:type="dxa"/>
          </w:tcPr>
          <w:p w14:paraId="455D4BA3" w14:textId="64EB4121" w:rsidR="00C03DBC" w:rsidRDefault="002D151E" w:rsidP="00242FEC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12</w:t>
            </w:r>
          </w:p>
        </w:tc>
        <w:tc>
          <w:tcPr>
            <w:tcW w:w="3119" w:type="dxa"/>
          </w:tcPr>
          <w:p w14:paraId="272B8B4D" w14:textId="05B5D048" w:rsidR="00C03DBC" w:rsidRPr="0088276C" w:rsidRDefault="002D151E" w:rsidP="00242FE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Clerk to the Corporation</w:t>
            </w:r>
          </w:p>
        </w:tc>
        <w:tc>
          <w:tcPr>
            <w:tcW w:w="5245" w:type="dxa"/>
          </w:tcPr>
          <w:p w14:paraId="4C8BCFB4" w14:textId="59AC15DA" w:rsidR="00C03DBC" w:rsidRPr="006234EE" w:rsidRDefault="002D151E" w:rsidP="00242FE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Correspond with governors whose DBS renewal</w:t>
            </w:r>
            <w:r w:rsidR="00B21398">
              <w:rPr>
                <w:rFonts w:ascii="Verdana" w:hAnsi="Verdana"/>
              </w:rPr>
              <w:t>s</w:t>
            </w:r>
            <w:r>
              <w:rPr>
                <w:rFonts w:ascii="Verdana" w:hAnsi="Verdana"/>
              </w:rPr>
              <w:t xml:space="preserve"> fall due in the present and following terms</w:t>
            </w:r>
            <w:r w:rsidR="00B21398">
              <w:rPr>
                <w:rFonts w:ascii="Verdana" w:hAnsi="Verdana"/>
              </w:rPr>
              <w:t xml:space="preserve"> about revised arrangements</w:t>
            </w:r>
            <w:r>
              <w:rPr>
                <w:rFonts w:ascii="Verdana" w:hAnsi="Verdana"/>
              </w:rPr>
              <w:t>.</w:t>
            </w:r>
          </w:p>
        </w:tc>
      </w:tr>
    </w:tbl>
    <w:p w14:paraId="2A1557C3" w14:textId="4E194BA9" w:rsidR="00445FFA" w:rsidRDefault="00445FFA" w:rsidP="00626F4B">
      <w:pPr>
        <w:rPr>
          <w:color w:val="FF0000"/>
        </w:rPr>
      </w:pPr>
    </w:p>
    <w:p w14:paraId="3B785F7F" w14:textId="13F46175" w:rsidR="00E46694" w:rsidRDefault="00E46694" w:rsidP="00626F4B">
      <w:pPr>
        <w:rPr>
          <w:color w:val="FF0000"/>
        </w:rPr>
      </w:pPr>
    </w:p>
    <w:p w14:paraId="214B8293" w14:textId="68DCF64D" w:rsidR="00E46694" w:rsidRDefault="00E46694" w:rsidP="00626F4B">
      <w:pPr>
        <w:rPr>
          <w:color w:val="FF0000"/>
        </w:rPr>
      </w:pPr>
    </w:p>
    <w:p w14:paraId="7FE1CAF3" w14:textId="1433CA76" w:rsidR="00E46694" w:rsidRDefault="00E46694" w:rsidP="00626F4B">
      <w:pPr>
        <w:rPr>
          <w:color w:val="FF0000"/>
        </w:rPr>
      </w:pPr>
    </w:p>
    <w:p w14:paraId="21EABFD9" w14:textId="45CEBD66" w:rsidR="00E46694" w:rsidRDefault="00E46694" w:rsidP="00626F4B">
      <w:pPr>
        <w:rPr>
          <w:color w:val="FF0000"/>
        </w:rPr>
      </w:pPr>
      <w:bookmarkStart w:id="0" w:name="_GoBack"/>
      <w:bookmarkEnd w:id="0"/>
    </w:p>
    <w:p w14:paraId="2744DC88" w14:textId="77777777" w:rsidR="00E46694" w:rsidRDefault="00E46694" w:rsidP="00626F4B">
      <w:pPr>
        <w:rPr>
          <w:color w:val="FF0000"/>
        </w:rPr>
      </w:pPr>
    </w:p>
    <w:p w14:paraId="717DBA05" w14:textId="5886D959" w:rsidR="00880621" w:rsidRDefault="00880621" w:rsidP="00626F4B">
      <w:pPr>
        <w:rPr>
          <w:rFonts w:ascii="Verdana" w:hAnsi="Verdana"/>
        </w:rPr>
      </w:pPr>
    </w:p>
    <w:p w14:paraId="484D167B" w14:textId="50643CC8" w:rsidR="00FF347E" w:rsidRDefault="00FF347E" w:rsidP="00626F4B">
      <w:pPr>
        <w:rPr>
          <w:rFonts w:ascii="Verdana" w:hAnsi="Verdana"/>
        </w:rPr>
      </w:pPr>
    </w:p>
    <w:p w14:paraId="307CA52A" w14:textId="77777777" w:rsidR="00FF347E" w:rsidRDefault="00FF347E" w:rsidP="00626F4B">
      <w:pPr>
        <w:rPr>
          <w:rFonts w:ascii="Verdana" w:hAnsi="Verdana"/>
        </w:rPr>
      </w:pPr>
    </w:p>
    <w:p w14:paraId="1DB00079" w14:textId="77777777" w:rsidR="005104D0" w:rsidRPr="005104D0" w:rsidRDefault="005104D0" w:rsidP="00626F4B">
      <w:pPr>
        <w:rPr>
          <w:rFonts w:ascii="Verdana" w:hAnsi="Verdana"/>
          <w:b/>
          <w:bCs/>
        </w:rPr>
      </w:pPr>
    </w:p>
    <w:p w14:paraId="409F376E" w14:textId="371E4C88" w:rsidR="0052166D" w:rsidRPr="005104D0" w:rsidRDefault="0052166D" w:rsidP="00626F4B">
      <w:pPr>
        <w:rPr>
          <w:rFonts w:ascii="Verdana" w:hAnsi="Verdana"/>
          <w:b/>
          <w:bCs/>
        </w:rPr>
      </w:pPr>
    </w:p>
    <w:p w14:paraId="01546920" w14:textId="1E51B377" w:rsidR="0052166D" w:rsidRPr="005104D0" w:rsidRDefault="0052166D" w:rsidP="00626F4B">
      <w:pPr>
        <w:rPr>
          <w:rFonts w:ascii="Verdana" w:hAnsi="Verdana"/>
          <w:b/>
          <w:bCs/>
        </w:rPr>
      </w:pPr>
    </w:p>
    <w:p w14:paraId="553D35C9" w14:textId="284542DA" w:rsidR="0052166D" w:rsidRPr="005104D0" w:rsidRDefault="0052166D" w:rsidP="00626F4B">
      <w:pPr>
        <w:rPr>
          <w:rFonts w:ascii="Verdana" w:hAnsi="Verdana"/>
          <w:b/>
          <w:bCs/>
        </w:rPr>
      </w:pPr>
    </w:p>
    <w:p w14:paraId="04226F14" w14:textId="26DC428F" w:rsidR="0052166D" w:rsidRPr="005104D0" w:rsidRDefault="00743F24" w:rsidP="00626F4B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 </w:t>
      </w:r>
      <w:r w:rsidR="0083322D">
        <w:rPr>
          <w:rFonts w:ascii="Verdana" w:hAnsi="Verdana"/>
          <w:b/>
          <w:bCs/>
        </w:rPr>
        <w:t xml:space="preserve"> </w:t>
      </w:r>
      <w:r w:rsidR="00776F54">
        <w:rPr>
          <w:rFonts w:ascii="Verdana" w:hAnsi="Verdana"/>
          <w:b/>
          <w:bCs/>
        </w:rPr>
        <w:t xml:space="preserve"> </w:t>
      </w:r>
    </w:p>
    <w:p w14:paraId="40D4D53B" w14:textId="40050396" w:rsidR="0052166D" w:rsidRPr="005104D0" w:rsidRDefault="0052166D" w:rsidP="00626F4B">
      <w:pPr>
        <w:rPr>
          <w:rFonts w:ascii="Verdana" w:hAnsi="Verdana"/>
          <w:b/>
          <w:bCs/>
        </w:rPr>
      </w:pPr>
    </w:p>
    <w:p w14:paraId="1B677274" w14:textId="6A9E8143" w:rsidR="0052166D" w:rsidRPr="005104D0" w:rsidRDefault="0052166D" w:rsidP="00626F4B">
      <w:pPr>
        <w:rPr>
          <w:rFonts w:ascii="Verdana" w:hAnsi="Verdana"/>
          <w:b/>
          <w:bCs/>
        </w:rPr>
      </w:pPr>
    </w:p>
    <w:p w14:paraId="5DD1DF39" w14:textId="576D7F86" w:rsidR="0052166D" w:rsidRPr="005104D0" w:rsidRDefault="0052166D" w:rsidP="00626F4B">
      <w:pPr>
        <w:rPr>
          <w:rFonts w:ascii="Verdana" w:hAnsi="Verdana"/>
          <w:b/>
          <w:bCs/>
        </w:rPr>
      </w:pPr>
    </w:p>
    <w:p w14:paraId="1EC20E26" w14:textId="15A592D0" w:rsidR="0052166D" w:rsidRPr="005104D0" w:rsidRDefault="0052166D" w:rsidP="00626F4B">
      <w:pPr>
        <w:rPr>
          <w:rFonts w:ascii="Verdana" w:hAnsi="Verdana"/>
          <w:b/>
          <w:bCs/>
        </w:rPr>
      </w:pPr>
    </w:p>
    <w:p w14:paraId="0BFDE239" w14:textId="25DC6213" w:rsidR="0052166D" w:rsidRDefault="0052166D" w:rsidP="00626F4B">
      <w:pPr>
        <w:rPr>
          <w:rFonts w:ascii="Verdana" w:hAnsi="Verdana"/>
        </w:rPr>
      </w:pPr>
    </w:p>
    <w:p w14:paraId="12AB43AE" w14:textId="4F501658" w:rsidR="0052166D" w:rsidRDefault="0052166D" w:rsidP="00626F4B">
      <w:pPr>
        <w:rPr>
          <w:rFonts w:ascii="Verdana" w:hAnsi="Verdana"/>
        </w:rPr>
      </w:pPr>
    </w:p>
    <w:p w14:paraId="4E760748" w14:textId="210242C7" w:rsidR="0052166D" w:rsidRDefault="0052166D" w:rsidP="00626F4B">
      <w:pPr>
        <w:rPr>
          <w:rFonts w:ascii="Verdana" w:hAnsi="Verdana"/>
        </w:rPr>
      </w:pPr>
    </w:p>
    <w:p w14:paraId="6EC89C2A" w14:textId="211BE93A" w:rsidR="0052166D" w:rsidRDefault="0052166D" w:rsidP="00626F4B">
      <w:pPr>
        <w:rPr>
          <w:rFonts w:ascii="Verdana" w:hAnsi="Verdana"/>
        </w:rPr>
      </w:pPr>
    </w:p>
    <w:p w14:paraId="46CF1430" w14:textId="11463F2C" w:rsidR="0052166D" w:rsidRDefault="0052166D" w:rsidP="00626F4B">
      <w:pPr>
        <w:rPr>
          <w:rFonts w:ascii="Verdana" w:hAnsi="Verdana"/>
        </w:rPr>
      </w:pPr>
    </w:p>
    <w:p w14:paraId="4EF22445" w14:textId="3A664821" w:rsidR="0052166D" w:rsidRDefault="0052166D" w:rsidP="00626F4B">
      <w:pPr>
        <w:rPr>
          <w:rFonts w:ascii="Verdana" w:hAnsi="Verdana"/>
        </w:rPr>
      </w:pPr>
    </w:p>
    <w:p w14:paraId="00E9E465" w14:textId="27EBB855" w:rsidR="0052166D" w:rsidRDefault="0052166D" w:rsidP="00626F4B">
      <w:pPr>
        <w:rPr>
          <w:rFonts w:ascii="Verdana" w:hAnsi="Verdana"/>
        </w:rPr>
      </w:pPr>
    </w:p>
    <w:p w14:paraId="190B4CDB" w14:textId="61902078" w:rsidR="0052166D" w:rsidRDefault="0052166D" w:rsidP="00626F4B">
      <w:pPr>
        <w:rPr>
          <w:rFonts w:ascii="Verdana" w:hAnsi="Verdana"/>
        </w:rPr>
      </w:pPr>
    </w:p>
    <w:p w14:paraId="713A98E9" w14:textId="700907CC" w:rsidR="0052166D" w:rsidRDefault="0052166D" w:rsidP="00626F4B">
      <w:pPr>
        <w:rPr>
          <w:rFonts w:ascii="Verdana" w:hAnsi="Verdana"/>
        </w:rPr>
      </w:pPr>
    </w:p>
    <w:p w14:paraId="257CFF58" w14:textId="475C8B8A" w:rsidR="0052166D" w:rsidRDefault="0052166D" w:rsidP="00626F4B">
      <w:pPr>
        <w:rPr>
          <w:rFonts w:ascii="Verdana" w:hAnsi="Verdana"/>
        </w:rPr>
      </w:pPr>
    </w:p>
    <w:p w14:paraId="0C40399E" w14:textId="77777777" w:rsidR="0052166D" w:rsidRPr="00413682" w:rsidRDefault="0052166D" w:rsidP="00626F4B">
      <w:pPr>
        <w:rPr>
          <w:rFonts w:ascii="Verdana" w:hAnsi="Verdana"/>
        </w:rPr>
      </w:pPr>
    </w:p>
    <w:p w14:paraId="26DF08E3" w14:textId="77777777" w:rsidR="00785164" w:rsidRPr="005D6214" w:rsidRDefault="00785164" w:rsidP="00626F4B">
      <w:pPr>
        <w:rPr>
          <w:color w:val="FF0000"/>
        </w:rPr>
      </w:pPr>
    </w:p>
    <w:sectPr w:rsidR="00785164" w:rsidRPr="005D62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B84406" w14:textId="77777777" w:rsidR="00447339" w:rsidRDefault="00447339" w:rsidP="007F3C4E">
      <w:r>
        <w:separator/>
      </w:r>
    </w:p>
  </w:endnote>
  <w:endnote w:type="continuationSeparator" w:id="0">
    <w:p w14:paraId="5C4EF076" w14:textId="77777777" w:rsidR="00447339" w:rsidRDefault="00447339" w:rsidP="007F3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B0F66A" w14:textId="77777777" w:rsidR="00447339" w:rsidRDefault="00447339" w:rsidP="007F3C4E">
      <w:r>
        <w:separator/>
      </w:r>
    </w:p>
  </w:footnote>
  <w:footnote w:type="continuationSeparator" w:id="0">
    <w:p w14:paraId="6A4744F0" w14:textId="77777777" w:rsidR="00447339" w:rsidRDefault="00447339" w:rsidP="007F3C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15557"/>
    <w:multiLevelType w:val="hybridMultilevel"/>
    <w:tmpl w:val="4262F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B6B67"/>
    <w:multiLevelType w:val="hybridMultilevel"/>
    <w:tmpl w:val="340C0102"/>
    <w:lvl w:ilvl="0" w:tplc="113EEC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7CB2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8CCB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AE32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3053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FC18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FE22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6ED3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F2F0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8DF7B6A"/>
    <w:multiLevelType w:val="hybridMultilevel"/>
    <w:tmpl w:val="73FCF0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B0ADD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522E24"/>
    <w:multiLevelType w:val="hybridMultilevel"/>
    <w:tmpl w:val="CC5C659E"/>
    <w:lvl w:ilvl="0" w:tplc="F2AC5B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F6F25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46CD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EA41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D4F4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1CD3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FCBD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7C5D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6C04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EA01CE9"/>
    <w:multiLevelType w:val="hybridMultilevel"/>
    <w:tmpl w:val="7FA426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9377A5"/>
    <w:multiLevelType w:val="hybridMultilevel"/>
    <w:tmpl w:val="3D7AF512"/>
    <w:lvl w:ilvl="0" w:tplc="6FBE35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588E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44F0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FAB9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4250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0600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BABF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DCAA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2018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D816EAE"/>
    <w:multiLevelType w:val="hybridMultilevel"/>
    <w:tmpl w:val="9C0CDF20"/>
    <w:lvl w:ilvl="0" w:tplc="53926D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C8E9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C05B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FEF7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163C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18B2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AAC6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1C6E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F4BF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B415C60"/>
    <w:multiLevelType w:val="hybridMultilevel"/>
    <w:tmpl w:val="847AAB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6E281A"/>
    <w:multiLevelType w:val="hybridMultilevel"/>
    <w:tmpl w:val="6CD82B96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0"/>
  </w:num>
  <w:num w:numId="5">
    <w:abstractNumId w:val="5"/>
  </w:num>
  <w:num w:numId="6">
    <w:abstractNumId w:val="4"/>
  </w:num>
  <w:num w:numId="7">
    <w:abstractNumId w:val="1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3FF"/>
    <w:rsid w:val="000008B9"/>
    <w:rsid w:val="00001B8B"/>
    <w:rsid w:val="00001B9A"/>
    <w:rsid w:val="00006F58"/>
    <w:rsid w:val="000079FB"/>
    <w:rsid w:val="0001074C"/>
    <w:rsid w:val="00010E43"/>
    <w:rsid w:val="00011177"/>
    <w:rsid w:val="00011DBC"/>
    <w:rsid w:val="00016C1E"/>
    <w:rsid w:val="0002082B"/>
    <w:rsid w:val="0002249F"/>
    <w:rsid w:val="00022708"/>
    <w:rsid w:val="000235A3"/>
    <w:rsid w:val="00023860"/>
    <w:rsid w:val="00023C8C"/>
    <w:rsid w:val="00025A1D"/>
    <w:rsid w:val="00027A98"/>
    <w:rsid w:val="00030FF0"/>
    <w:rsid w:val="000355CE"/>
    <w:rsid w:val="0003568A"/>
    <w:rsid w:val="0003666E"/>
    <w:rsid w:val="000400AD"/>
    <w:rsid w:val="000409ED"/>
    <w:rsid w:val="00040F6C"/>
    <w:rsid w:val="00041278"/>
    <w:rsid w:val="000413AE"/>
    <w:rsid w:val="00041F13"/>
    <w:rsid w:val="0004236C"/>
    <w:rsid w:val="000439B1"/>
    <w:rsid w:val="00043C3D"/>
    <w:rsid w:val="000464F3"/>
    <w:rsid w:val="0004721E"/>
    <w:rsid w:val="00050DA1"/>
    <w:rsid w:val="00051D3B"/>
    <w:rsid w:val="000538A7"/>
    <w:rsid w:val="000542FE"/>
    <w:rsid w:val="000549C5"/>
    <w:rsid w:val="00055918"/>
    <w:rsid w:val="000572AC"/>
    <w:rsid w:val="00060481"/>
    <w:rsid w:val="00061307"/>
    <w:rsid w:val="00062B2D"/>
    <w:rsid w:val="000658A4"/>
    <w:rsid w:val="000663D6"/>
    <w:rsid w:val="00067423"/>
    <w:rsid w:val="0007175E"/>
    <w:rsid w:val="00072368"/>
    <w:rsid w:val="000728F8"/>
    <w:rsid w:val="00074392"/>
    <w:rsid w:val="00074670"/>
    <w:rsid w:val="000762CB"/>
    <w:rsid w:val="000771DA"/>
    <w:rsid w:val="000776BC"/>
    <w:rsid w:val="00080556"/>
    <w:rsid w:val="000818EF"/>
    <w:rsid w:val="000833BA"/>
    <w:rsid w:val="00084711"/>
    <w:rsid w:val="0008521F"/>
    <w:rsid w:val="0008615F"/>
    <w:rsid w:val="0008754A"/>
    <w:rsid w:val="00091C4E"/>
    <w:rsid w:val="00091D20"/>
    <w:rsid w:val="00096A8D"/>
    <w:rsid w:val="00096C79"/>
    <w:rsid w:val="00096DC8"/>
    <w:rsid w:val="000A0701"/>
    <w:rsid w:val="000A0750"/>
    <w:rsid w:val="000A40AF"/>
    <w:rsid w:val="000A4AEA"/>
    <w:rsid w:val="000A503C"/>
    <w:rsid w:val="000A5409"/>
    <w:rsid w:val="000B1AD7"/>
    <w:rsid w:val="000B2F05"/>
    <w:rsid w:val="000B3BF7"/>
    <w:rsid w:val="000B5D20"/>
    <w:rsid w:val="000B7725"/>
    <w:rsid w:val="000B7E58"/>
    <w:rsid w:val="000B7FD0"/>
    <w:rsid w:val="000C0491"/>
    <w:rsid w:val="000C0E08"/>
    <w:rsid w:val="000C2174"/>
    <w:rsid w:val="000C27E2"/>
    <w:rsid w:val="000C2CB2"/>
    <w:rsid w:val="000C4832"/>
    <w:rsid w:val="000C5759"/>
    <w:rsid w:val="000C721F"/>
    <w:rsid w:val="000C7CE4"/>
    <w:rsid w:val="000D0296"/>
    <w:rsid w:val="000D2E82"/>
    <w:rsid w:val="000D2EC7"/>
    <w:rsid w:val="000D3370"/>
    <w:rsid w:val="000D49EA"/>
    <w:rsid w:val="000D5665"/>
    <w:rsid w:val="000E1B6F"/>
    <w:rsid w:val="000E23FE"/>
    <w:rsid w:val="000E4832"/>
    <w:rsid w:val="000E5305"/>
    <w:rsid w:val="000E6026"/>
    <w:rsid w:val="000F016E"/>
    <w:rsid w:val="000F0B4E"/>
    <w:rsid w:val="000F186F"/>
    <w:rsid w:val="000F2233"/>
    <w:rsid w:val="000F5F64"/>
    <w:rsid w:val="000F7341"/>
    <w:rsid w:val="001001F9"/>
    <w:rsid w:val="0010092B"/>
    <w:rsid w:val="00101583"/>
    <w:rsid w:val="00102F53"/>
    <w:rsid w:val="001035DF"/>
    <w:rsid w:val="00103C32"/>
    <w:rsid w:val="0010420D"/>
    <w:rsid w:val="00104530"/>
    <w:rsid w:val="001121D8"/>
    <w:rsid w:val="00113C11"/>
    <w:rsid w:val="00114DF0"/>
    <w:rsid w:val="00116B45"/>
    <w:rsid w:val="00117BBC"/>
    <w:rsid w:val="00120D07"/>
    <w:rsid w:val="00120D38"/>
    <w:rsid w:val="00121091"/>
    <w:rsid w:val="00122DF5"/>
    <w:rsid w:val="00125293"/>
    <w:rsid w:val="00125900"/>
    <w:rsid w:val="00125D93"/>
    <w:rsid w:val="001300B1"/>
    <w:rsid w:val="00130C99"/>
    <w:rsid w:val="0013160C"/>
    <w:rsid w:val="0013381E"/>
    <w:rsid w:val="001340FF"/>
    <w:rsid w:val="0013514C"/>
    <w:rsid w:val="001354B0"/>
    <w:rsid w:val="00135644"/>
    <w:rsid w:val="00135B35"/>
    <w:rsid w:val="00140345"/>
    <w:rsid w:val="0014062C"/>
    <w:rsid w:val="00141E9F"/>
    <w:rsid w:val="00142260"/>
    <w:rsid w:val="00142E7A"/>
    <w:rsid w:val="001452E4"/>
    <w:rsid w:val="001467C4"/>
    <w:rsid w:val="00151062"/>
    <w:rsid w:val="00155A91"/>
    <w:rsid w:val="0015693F"/>
    <w:rsid w:val="001606FC"/>
    <w:rsid w:val="00161F2F"/>
    <w:rsid w:val="00164476"/>
    <w:rsid w:val="00165106"/>
    <w:rsid w:val="0016596D"/>
    <w:rsid w:val="00167E2A"/>
    <w:rsid w:val="0017075B"/>
    <w:rsid w:val="001720DB"/>
    <w:rsid w:val="00173E14"/>
    <w:rsid w:val="00174276"/>
    <w:rsid w:val="00175A83"/>
    <w:rsid w:val="00176B92"/>
    <w:rsid w:val="00176EC5"/>
    <w:rsid w:val="00177B2E"/>
    <w:rsid w:val="00180E6C"/>
    <w:rsid w:val="001817E2"/>
    <w:rsid w:val="0018219F"/>
    <w:rsid w:val="00184AF5"/>
    <w:rsid w:val="00187EE0"/>
    <w:rsid w:val="00194651"/>
    <w:rsid w:val="00194A07"/>
    <w:rsid w:val="00195330"/>
    <w:rsid w:val="00195361"/>
    <w:rsid w:val="001955FA"/>
    <w:rsid w:val="001959A8"/>
    <w:rsid w:val="001964AD"/>
    <w:rsid w:val="001972ED"/>
    <w:rsid w:val="00197C9C"/>
    <w:rsid w:val="001A0965"/>
    <w:rsid w:val="001A0EAA"/>
    <w:rsid w:val="001A4ECF"/>
    <w:rsid w:val="001A6445"/>
    <w:rsid w:val="001B0590"/>
    <w:rsid w:val="001B4382"/>
    <w:rsid w:val="001B5B6F"/>
    <w:rsid w:val="001B6219"/>
    <w:rsid w:val="001B717C"/>
    <w:rsid w:val="001B769E"/>
    <w:rsid w:val="001C42F6"/>
    <w:rsid w:val="001C5B5B"/>
    <w:rsid w:val="001D2067"/>
    <w:rsid w:val="001D5205"/>
    <w:rsid w:val="001D54B2"/>
    <w:rsid w:val="001E08C5"/>
    <w:rsid w:val="001E1520"/>
    <w:rsid w:val="001E44E5"/>
    <w:rsid w:val="001E492E"/>
    <w:rsid w:val="001E635C"/>
    <w:rsid w:val="001E6751"/>
    <w:rsid w:val="001E6774"/>
    <w:rsid w:val="001E7DD3"/>
    <w:rsid w:val="001F006B"/>
    <w:rsid w:val="001F1343"/>
    <w:rsid w:val="001F2372"/>
    <w:rsid w:val="001F37C4"/>
    <w:rsid w:val="001F3B4B"/>
    <w:rsid w:val="001F479C"/>
    <w:rsid w:val="001F73C8"/>
    <w:rsid w:val="002011B2"/>
    <w:rsid w:val="002014E4"/>
    <w:rsid w:val="00201552"/>
    <w:rsid w:val="002035AA"/>
    <w:rsid w:val="0020404E"/>
    <w:rsid w:val="00206792"/>
    <w:rsid w:val="002118C0"/>
    <w:rsid w:val="00211A8C"/>
    <w:rsid w:val="00215083"/>
    <w:rsid w:val="00215464"/>
    <w:rsid w:val="00215E2B"/>
    <w:rsid w:val="0022275E"/>
    <w:rsid w:val="00222DB2"/>
    <w:rsid w:val="00224246"/>
    <w:rsid w:val="002254F0"/>
    <w:rsid w:val="00232C98"/>
    <w:rsid w:val="00235370"/>
    <w:rsid w:val="00243BE4"/>
    <w:rsid w:val="002479F9"/>
    <w:rsid w:val="002503DA"/>
    <w:rsid w:val="002517A7"/>
    <w:rsid w:val="00254504"/>
    <w:rsid w:val="00256D9C"/>
    <w:rsid w:val="00261797"/>
    <w:rsid w:val="00261E63"/>
    <w:rsid w:val="00262997"/>
    <w:rsid w:val="00262B44"/>
    <w:rsid w:val="00262C85"/>
    <w:rsid w:val="00265DBE"/>
    <w:rsid w:val="00266688"/>
    <w:rsid w:val="0027012E"/>
    <w:rsid w:val="00270349"/>
    <w:rsid w:val="00270888"/>
    <w:rsid w:val="0027127C"/>
    <w:rsid w:val="00272BBF"/>
    <w:rsid w:val="00274297"/>
    <w:rsid w:val="00274967"/>
    <w:rsid w:val="0027567C"/>
    <w:rsid w:val="00276392"/>
    <w:rsid w:val="00276781"/>
    <w:rsid w:val="00276F6A"/>
    <w:rsid w:val="002820AB"/>
    <w:rsid w:val="0028265D"/>
    <w:rsid w:val="00282787"/>
    <w:rsid w:val="002839CC"/>
    <w:rsid w:val="0028503E"/>
    <w:rsid w:val="002859CB"/>
    <w:rsid w:val="0028769A"/>
    <w:rsid w:val="00290CD5"/>
    <w:rsid w:val="00291636"/>
    <w:rsid w:val="0029366D"/>
    <w:rsid w:val="00293A11"/>
    <w:rsid w:val="002977BD"/>
    <w:rsid w:val="002A011D"/>
    <w:rsid w:val="002A0198"/>
    <w:rsid w:val="002A16EC"/>
    <w:rsid w:val="002A354F"/>
    <w:rsid w:val="002A4B9D"/>
    <w:rsid w:val="002A644B"/>
    <w:rsid w:val="002A64C5"/>
    <w:rsid w:val="002A7F29"/>
    <w:rsid w:val="002B03EE"/>
    <w:rsid w:val="002B18BF"/>
    <w:rsid w:val="002B2496"/>
    <w:rsid w:val="002B28D5"/>
    <w:rsid w:val="002B291A"/>
    <w:rsid w:val="002B2C67"/>
    <w:rsid w:val="002B382E"/>
    <w:rsid w:val="002B6526"/>
    <w:rsid w:val="002B77ED"/>
    <w:rsid w:val="002B7DAA"/>
    <w:rsid w:val="002B7DAF"/>
    <w:rsid w:val="002C35F6"/>
    <w:rsid w:val="002C4071"/>
    <w:rsid w:val="002C54C7"/>
    <w:rsid w:val="002C5D04"/>
    <w:rsid w:val="002C7082"/>
    <w:rsid w:val="002C7522"/>
    <w:rsid w:val="002D037E"/>
    <w:rsid w:val="002D07AD"/>
    <w:rsid w:val="002D151E"/>
    <w:rsid w:val="002D3417"/>
    <w:rsid w:val="002D3AF5"/>
    <w:rsid w:val="002D5B58"/>
    <w:rsid w:val="002E084F"/>
    <w:rsid w:val="002E11F4"/>
    <w:rsid w:val="002E3CC1"/>
    <w:rsid w:val="002E3F49"/>
    <w:rsid w:val="002E47E5"/>
    <w:rsid w:val="002E4857"/>
    <w:rsid w:val="002E5AD0"/>
    <w:rsid w:val="002E6C07"/>
    <w:rsid w:val="002E7806"/>
    <w:rsid w:val="002E7B2D"/>
    <w:rsid w:val="002F1ECA"/>
    <w:rsid w:val="002F362E"/>
    <w:rsid w:val="002F401F"/>
    <w:rsid w:val="002F412F"/>
    <w:rsid w:val="002F41C6"/>
    <w:rsid w:val="00300F45"/>
    <w:rsid w:val="00304754"/>
    <w:rsid w:val="00304F77"/>
    <w:rsid w:val="003054D2"/>
    <w:rsid w:val="00305E25"/>
    <w:rsid w:val="00307D05"/>
    <w:rsid w:val="00310C45"/>
    <w:rsid w:val="003127D2"/>
    <w:rsid w:val="00313299"/>
    <w:rsid w:val="00314B91"/>
    <w:rsid w:val="00314DFF"/>
    <w:rsid w:val="003164FD"/>
    <w:rsid w:val="003179FB"/>
    <w:rsid w:val="003206B8"/>
    <w:rsid w:val="00320AE9"/>
    <w:rsid w:val="00320D5F"/>
    <w:rsid w:val="003229AF"/>
    <w:rsid w:val="00322DFD"/>
    <w:rsid w:val="00323158"/>
    <w:rsid w:val="00323B51"/>
    <w:rsid w:val="00323B84"/>
    <w:rsid w:val="00323DAD"/>
    <w:rsid w:val="003248F3"/>
    <w:rsid w:val="00325363"/>
    <w:rsid w:val="0032625D"/>
    <w:rsid w:val="00327AE4"/>
    <w:rsid w:val="00331281"/>
    <w:rsid w:val="00331324"/>
    <w:rsid w:val="00333F86"/>
    <w:rsid w:val="00334B5C"/>
    <w:rsid w:val="00336498"/>
    <w:rsid w:val="003416DE"/>
    <w:rsid w:val="00342ABE"/>
    <w:rsid w:val="003433DC"/>
    <w:rsid w:val="0034508E"/>
    <w:rsid w:val="00346D1D"/>
    <w:rsid w:val="00351829"/>
    <w:rsid w:val="003519F7"/>
    <w:rsid w:val="00351B4C"/>
    <w:rsid w:val="00351EE6"/>
    <w:rsid w:val="003549D7"/>
    <w:rsid w:val="00354C17"/>
    <w:rsid w:val="00355F65"/>
    <w:rsid w:val="003623B6"/>
    <w:rsid w:val="003672E3"/>
    <w:rsid w:val="00367FD5"/>
    <w:rsid w:val="00370B7E"/>
    <w:rsid w:val="00370D3D"/>
    <w:rsid w:val="003764FD"/>
    <w:rsid w:val="003768C7"/>
    <w:rsid w:val="00380EFA"/>
    <w:rsid w:val="003849EC"/>
    <w:rsid w:val="00385A1C"/>
    <w:rsid w:val="00385D3D"/>
    <w:rsid w:val="0038613D"/>
    <w:rsid w:val="00387D7F"/>
    <w:rsid w:val="00390AE7"/>
    <w:rsid w:val="00390DF1"/>
    <w:rsid w:val="0039184D"/>
    <w:rsid w:val="00391E3C"/>
    <w:rsid w:val="00392053"/>
    <w:rsid w:val="00394B86"/>
    <w:rsid w:val="00394E1D"/>
    <w:rsid w:val="00395BD2"/>
    <w:rsid w:val="00395F77"/>
    <w:rsid w:val="00395FEF"/>
    <w:rsid w:val="003A0A1C"/>
    <w:rsid w:val="003A1726"/>
    <w:rsid w:val="003A1E7E"/>
    <w:rsid w:val="003A212E"/>
    <w:rsid w:val="003A4DA9"/>
    <w:rsid w:val="003A6523"/>
    <w:rsid w:val="003B20BE"/>
    <w:rsid w:val="003B34E2"/>
    <w:rsid w:val="003B36B6"/>
    <w:rsid w:val="003B5173"/>
    <w:rsid w:val="003B5413"/>
    <w:rsid w:val="003B7166"/>
    <w:rsid w:val="003C03CB"/>
    <w:rsid w:val="003C2D3B"/>
    <w:rsid w:val="003C41F3"/>
    <w:rsid w:val="003C49FC"/>
    <w:rsid w:val="003C7515"/>
    <w:rsid w:val="003D462A"/>
    <w:rsid w:val="003D688D"/>
    <w:rsid w:val="003D77F2"/>
    <w:rsid w:val="003E0E97"/>
    <w:rsid w:val="003E1E80"/>
    <w:rsid w:val="003E4456"/>
    <w:rsid w:val="003E44AE"/>
    <w:rsid w:val="003E5309"/>
    <w:rsid w:val="003E606A"/>
    <w:rsid w:val="003E7B79"/>
    <w:rsid w:val="003F1E63"/>
    <w:rsid w:val="003F1E6A"/>
    <w:rsid w:val="003F2039"/>
    <w:rsid w:val="003F2722"/>
    <w:rsid w:val="003F3714"/>
    <w:rsid w:val="003F3C3A"/>
    <w:rsid w:val="003F482A"/>
    <w:rsid w:val="00400C02"/>
    <w:rsid w:val="00401820"/>
    <w:rsid w:val="004020B9"/>
    <w:rsid w:val="00411D17"/>
    <w:rsid w:val="00412058"/>
    <w:rsid w:val="00412239"/>
    <w:rsid w:val="00413682"/>
    <w:rsid w:val="0041423F"/>
    <w:rsid w:val="004150BD"/>
    <w:rsid w:val="004155BA"/>
    <w:rsid w:val="00416199"/>
    <w:rsid w:val="00416D54"/>
    <w:rsid w:val="00417393"/>
    <w:rsid w:val="004175DC"/>
    <w:rsid w:val="0042118B"/>
    <w:rsid w:val="0042218C"/>
    <w:rsid w:val="00422B7C"/>
    <w:rsid w:val="00422D6B"/>
    <w:rsid w:val="004245B6"/>
    <w:rsid w:val="00424A34"/>
    <w:rsid w:val="00424F43"/>
    <w:rsid w:val="00427863"/>
    <w:rsid w:val="00431214"/>
    <w:rsid w:val="00432898"/>
    <w:rsid w:val="00432B1F"/>
    <w:rsid w:val="00432CC2"/>
    <w:rsid w:val="0043354D"/>
    <w:rsid w:val="004367B4"/>
    <w:rsid w:val="00441A61"/>
    <w:rsid w:val="004438AE"/>
    <w:rsid w:val="00445FFA"/>
    <w:rsid w:val="00447339"/>
    <w:rsid w:val="0045119F"/>
    <w:rsid w:val="00452073"/>
    <w:rsid w:val="004523A0"/>
    <w:rsid w:val="00453ED8"/>
    <w:rsid w:val="00460EAB"/>
    <w:rsid w:val="0046106E"/>
    <w:rsid w:val="00462F87"/>
    <w:rsid w:val="00463FA1"/>
    <w:rsid w:val="0046512D"/>
    <w:rsid w:val="0046622F"/>
    <w:rsid w:val="00466406"/>
    <w:rsid w:val="00467367"/>
    <w:rsid w:val="004708D4"/>
    <w:rsid w:val="00470F1B"/>
    <w:rsid w:val="004711A5"/>
    <w:rsid w:val="00474E14"/>
    <w:rsid w:val="00475E4B"/>
    <w:rsid w:val="0047700E"/>
    <w:rsid w:val="00481368"/>
    <w:rsid w:val="00481F27"/>
    <w:rsid w:val="004874AC"/>
    <w:rsid w:val="00490933"/>
    <w:rsid w:val="0049103B"/>
    <w:rsid w:val="004912D1"/>
    <w:rsid w:val="00491C21"/>
    <w:rsid w:val="00492C5B"/>
    <w:rsid w:val="00495EDD"/>
    <w:rsid w:val="00496E34"/>
    <w:rsid w:val="004A06CB"/>
    <w:rsid w:val="004A139B"/>
    <w:rsid w:val="004A2D58"/>
    <w:rsid w:val="004A3A92"/>
    <w:rsid w:val="004B17C8"/>
    <w:rsid w:val="004B2053"/>
    <w:rsid w:val="004B21B2"/>
    <w:rsid w:val="004B2888"/>
    <w:rsid w:val="004B6F74"/>
    <w:rsid w:val="004C0414"/>
    <w:rsid w:val="004C0884"/>
    <w:rsid w:val="004C20B0"/>
    <w:rsid w:val="004C256F"/>
    <w:rsid w:val="004C3968"/>
    <w:rsid w:val="004C3DE5"/>
    <w:rsid w:val="004C43BE"/>
    <w:rsid w:val="004C4CA9"/>
    <w:rsid w:val="004C54BA"/>
    <w:rsid w:val="004C5509"/>
    <w:rsid w:val="004C6993"/>
    <w:rsid w:val="004D2202"/>
    <w:rsid w:val="004D25A7"/>
    <w:rsid w:val="004D2D63"/>
    <w:rsid w:val="004D37CF"/>
    <w:rsid w:val="004D3916"/>
    <w:rsid w:val="004D3B51"/>
    <w:rsid w:val="004D3EBF"/>
    <w:rsid w:val="004D59DC"/>
    <w:rsid w:val="004D686B"/>
    <w:rsid w:val="004D7AFB"/>
    <w:rsid w:val="004E2221"/>
    <w:rsid w:val="004E2260"/>
    <w:rsid w:val="004E436C"/>
    <w:rsid w:val="004E791D"/>
    <w:rsid w:val="004F4CCC"/>
    <w:rsid w:val="004F5008"/>
    <w:rsid w:val="004F59A6"/>
    <w:rsid w:val="004F5AD0"/>
    <w:rsid w:val="00500222"/>
    <w:rsid w:val="00501C8A"/>
    <w:rsid w:val="005031E5"/>
    <w:rsid w:val="00503EE3"/>
    <w:rsid w:val="00504FAF"/>
    <w:rsid w:val="00506E03"/>
    <w:rsid w:val="005104D0"/>
    <w:rsid w:val="005106CE"/>
    <w:rsid w:val="005108E8"/>
    <w:rsid w:val="005109FF"/>
    <w:rsid w:val="00511165"/>
    <w:rsid w:val="00512E4E"/>
    <w:rsid w:val="00513281"/>
    <w:rsid w:val="005145E6"/>
    <w:rsid w:val="00516716"/>
    <w:rsid w:val="005208BF"/>
    <w:rsid w:val="005209FC"/>
    <w:rsid w:val="0052166D"/>
    <w:rsid w:val="00522B74"/>
    <w:rsid w:val="00522E18"/>
    <w:rsid w:val="00524ADC"/>
    <w:rsid w:val="00525DF2"/>
    <w:rsid w:val="005316E9"/>
    <w:rsid w:val="005329F2"/>
    <w:rsid w:val="00532D61"/>
    <w:rsid w:val="005340E7"/>
    <w:rsid w:val="005363B3"/>
    <w:rsid w:val="005366A9"/>
    <w:rsid w:val="00536E87"/>
    <w:rsid w:val="00540F5B"/>
    <w:rsid w:val="00542BB6"/>
    <w:rsid w:val="00543365"/>
    <w:rsid w:val="0054337D"/>
    <w:rsid w:val="0054343F"/>
    <w:rsid w:val="00546D3F"/>
    <w:rsid w:val="00552790"/>
    <w:rsid w:val="00552B18"/>
    <w:rsid w:val="00552DBB"/>
    <w:rsid w:val="00553109"/>
    <w:rsid w:val="005539F5"/>
    <w:rsid w:val="005544B9"/>
    <w:rsid w:val="00554F2B"/>
    <w:rsid w:val="0055737C"/>
    <w:rsid w:val="005606D0"/>
    <w:rsid w:val="00561864"/>
    <w:rsid w:val="0056291E"/>
    <w:rsid w:val="0056657E"/>
    <w:rsid w:val="00567EEA"/>
    <w:rsid w:val="0057102F"/>
    <w:rsid w:val="00571655"/>
    <w:rsid w:val="00572686"/>
    <w:rsid w:val="00572ECE"/>
    <w:rsid w:val="00574570"/>
    <w:rsid w:val="00576050"/>
    <w:rsid w:val="00577028"/>
    <w:rsid w:val="00577214"/>
    <w:rsid w:val="00580410"/>
    <w:rsid w:val="00582FA9"/>
    <w:rsid w:val="0058307A"/>
    <w:rsid w:val="005842BF"/>
    <w:rsid w:val="0058437F"/>
    <w:rsid w:val="00590715"/>
    <w:rsid w:val="005913D2"/>
    <w:rsid w:val="00591A61"/>
    <w:rsid w:val="00594164"/>
    <w:rsid w:val="00594405"/>
    <w:rsid w:val="005952D0"/>
    <w:rsid w:val="0059795D"/>
    <w:rsid w:val="005A08B7"/>
    <w:rsid w:val="005A0B26"/>
    <w:rsid w:val="005A1072"/>
    <w:rsid w:val="005A18FC"/>
    <w:rsid w:val="005A28E3"/>
    <w:rsid w:val="005A592B"/>
    <w:rsid w:val="005A70D7"/>
    <w:rsid w:val="005B100F"/>
    <w:rsid w:val="005B1C47"/>
    <w:rsid w:val="005B293C"/>
    <w:rsid w:val="005B2C5B"/>
    <w:rsid w:val="005B3944"/>
    <w:rsid w:val="005B3F53"/>
    <w:rsid w:val="005B46A2"/>
    <w:rsid w:val="005B4ED0"/>
    <w:rsid w:val="005B5622"/>
    <w:rsid w:val="005C0194"/>
    <w:rsid w:val="005C0622"/>
    <w:rsid w:val="005C2314"/>
    <w:rsid w:val="005C4BED"/>
    <w:rsid w:val="005C5A12"/>
    <w:rsid w:val="005C6835"/>
    <w:rsid w:val="005D0BE5"/>
    <w:rsid w:val="005D0DA7"/>
    <w:rsid w:val="005D35E5"/>
    <w:rsid w:val="005D4527"/>
    <w:rsid w:val="005D4E34"/>
    <w:rsid w:val="005D6214"/>
    <w:rsid w:val="005E06F3"/>
    <w:rsid w:val="005E1124"/>
    <w:rsid w:val="005E1962"/>
    <w:rsid w:val="005E3A77"/>
    <w:rsid w:val="005E4F2C"/>
    <w:rsid w:val="005E5DA0"/>
    <w:rsid w:val="005F1C4D"/>
    <w:rsid w:val="005F23FF"/>
    <w:rsid w:val="005F2A3F"/>
    <w:rsid w:val="005F3061"/>
    <w:rsid w:val="00600808"/>
    <w:rsid w:val="00601D3D"/>
    <w:rsid w:val="00604073"/>
    <w:rsid w:val="00604158"/>
    <w:rsid w:val="00606929"/>
    <w:rsid w:val="0060756A"/>
    <w:rsid w:val="00610243"/>
    <w:rsid w:val="00610716"/>
    <w:rsid w:val="006127B5"/>
    <w:rsid w:val="00612870"/>
    <w:rsid w:val="00612FAB"/>
    <w:rsid w:val="00613224"/>
    <w:rsid w:val="006173B6"/>
    <w:rsid w:val="00620061"/>
    <w:rsid w:val="0062120B"/>
    <w:rsid w:val="006234EE"/>
    <w:rsid w:val="006246B5"/>
    <w:rsid w:val="00624B64"/>
    <w:rsid w:val="00625DA9"/>
    <w:rsid w:val="00626F4B"/>
    <w:rsid w:val="006306C8"/>
    <w:rsid w:val="0063115A"/>
    <w:rsid w:val="0063432F"/>
    <w:rsid w:val="006366E3"/>
    <w:rsid w:val="006433BD"/>
    <w:rsid w:val="00643E4B"/>
    <w:rsid w:val="00645E15"/>
    <w:rsid w:val="006460B5"/>
    <w:rsid w:val="006471A1"/>
    <w:rsid w:val="00651455"/>
    <w:rsid w:val="00651D04"/>
    <w:rsid w:val="006564C2"/>
    <w:rsid w:val="0066049F"/>
    <w:rsid w:val="006607A4"/>
    <w:rsid w:val="00661586"/>
    <w:rsid w:val="00661DCA"/>
    <w:rsid w:val="00664072"/>
    <w:rsid w:val="006700E3"/>
    <w:rsid w:val="006715A6"/>
    <w:rsid w:val="00671D7B"/>
    <w:rsid w:val="00673B62"/>
    <w:rsid w:val="00674063"/>
    <w:rsid w:val="0067653D"/>
    <w:rsid w:val="0068090F"/>
    <w:rsid w:val="006811AD"/>
    <w:rsid w:val="00681E86"/>
    <w:rsid w:val="006827D2"/>
    <w:rsid w:val="0068398C"/>
    <w:rsid w:val="00684C21"/>
    <w:rsid w:val="006867A1"/>
    <w:rsid w:val="006907B7"/>
    <w:rsid w:val="00690A0E"/>
    <w:rsid w:val="00691718"/>
    <w:rsid w:val="0069348F"/>
    <w:rsid w:val="00693F03"/>
    <w:rsid w:val="0069404D"/>
    <w:rsid w:val="006941A4"/>
    <w:rsid w:val="006945D0"/>
    <w:rsid w:val="00694A21"/>
    <w:rsid w:val="00695128"/>
    <w:rsid w:val="006960E9"/>
    <w:rsid w:val="00696391"/>
    <w:rsid w:val="006964AD"/>
    <w:rsid w:val="006A15EE"/>
    <w:rsid w:val="006A2600"/>
    <w:rsid w:val="006A69E0"/>
    <w:rsid w:val="006A7EA8"/>
    <w:rsid w:val="006B11C0"/>
    <w:rsid w:val="006B15B4"/>
    <w:rsid w:val="006B25B0"/>
    <w:rsid w:val="006B540B"/>
    <w:rsid w:val="006B54C2"/>
    <w:rsid w:val="006B5EBA"/>
    <w:rsid w:val="006B7995"/>
    <w:rsid w:val="006B7F92"/>
    <w:rsid w:val="006C080D"/>
    <w:rsid w:val="006C1EE2"/>
    <w:rsid w:val="006C31BB"/>
    <w:rsid w:val="006C4B11"/>
    <w:rsid w:val="006C4C02"/>
    <w:rsid w:val="006C59FC"/>
    <w:rsid w:val="006C66CE"/>
    <w:rsid w:val="006C691B"/>
    <w:rsid w:val="006D214D"/>
    <w:rsid w:val="006D35B2"/>
    <w:rsid w:val="006D3D5E"/>
    <w:rsid w:val="006D435D"/>
    <w:rsid w:val="006D7B24"/>
    <w:rsid w:val="006E00B3"/>
    <w:rsid w:val="006E0A6D"/>
    <w:rsid w:val="006E0C4C"/>
    <w:rsid w:val="006E0E48"/>
    <w:rsid w:val="006E463B"/>
    <w:rsid w:val="006E58E0"/>
    <w:rsid w:val="006E5EA6"/>
    <w:rsid w:val="006E77EB"/>
    <w:rsid w:val="006E7C0E"/>
    <w:rsid w:val="006F1D3B"/>
    <w:rsid w:val="006F5124"/>
    <w:rsid w:val="006F5178"/>
    <w:rsid w:val="007001CC"/>
    <w:rsid w:val="00702CAF"/>
    <w:rsid w:val="00702E15"/>
    <w:rsid w:val="007038E9"/>
    <w:rsid w:val="00706621"/>
    <w:rsid w:val="00710C05"/>
    <w:rsid w:val="007129DC"/>
    <w:rsid w:val="007170FE"/>
    <w:rsid w:val="00717CEA"/>
    <w:rsid w:val="00721F45"/>
    <w:rsid w:val="0072445B"/>
    <w:rsid w:val="0073049C"/>
    <w:rsid w:val="0073177C"/>
    <w:rsid w:val="0073301A"/>
    <w:rsid w:val="007333B0"/>
    <w:rsid w:val="00733584"/>
    <w:rsid w:val="00734AAC"/>
    <w:rsid w:val="00734D77"/>
    <w:rsid w:val="00735B76"/>
    <w:rsid w:val="00736C41"/>
    <w:rsid w:val="0073776C"/>
    <w:rsid w:val="007418D3"/>
    <w:rsid w:val="00743F24"/>
    <w:rsid w:val="00744057"/>
    <w:rsid w:val="00745949"/>
    <w:rsid w:val="007479A2"/>
    <w:rsid w:val="00750D8E"/>
    <w:rsid w:val="00751126"/>
    <w:rsid w:val="00754013"/>
    <w:rsid w:val="00755236"/>
    <w:rsid w:val="00755B9E"/>
    <w:rsid w:val="007563FB"/>
    <w:rsid w:val="007565B6"/>
    <w:rsid w:val="0075716D"/>
    <w:rsid w:val="00760973"/>
    <w:rsid w:val="007644D2"/>
    <w:rsid w:val="007652F1"/>
    <w:rsid w:val="00765C7B"/>
    <w:rsid w:val="0076628E"/>
    <w:rsid w:val="007663D2"/>
    <w:rsid w:val="007663F3"/>
    <w:rsid w:val="007668D1"/>
    <w:rsid w:val="00767248"/>
    <w:rsid w:val="00770084"/>
    <w:rsid w:val="0077483C"/>
    <w:rsid w:val="0077513E"/>
    <w:rsid w:val="00775333"/>
    <w:rsid w:val="007762EC"/>
    <w:rsid w:val="00776F54"/>
    <w:rsid w:val="00777E84"/>
    <w:rsid w:val="00781AE3"/>
    <w:rsid w:val="0078326B"/>
    <w:rsid w:val="0078492A"/>
    <w:rsid w:val="007850C0"/>
    <w:rsid w:val="00785164"/>
    <w:rsid w:val="00785B8C"/>
    <w:rsid w:val="00792D85"/>
    <w:rsid w:val="00792DCA"/>
    <w:rsid w:val="00793870"/>
    <w:rsid w:val="00795808"/>
    <w:rsid w:val="007959C3"/>
    <w:rsid w:val="00796C4B"/>
    <w:rsid w:val="00797462"/>
    <w:rsid w:val="007975CB"/>
    <w:rsid w:val="007A096A"/>
    <w:rsid w:val="007A1589"/>
    <w:rsid w:val="007A1C33"/>
    <w:rsid w:val="007A24F8"/>
    <w:rsid w:val="007A5822"/>
    <w:rsid w:val="007A6234"/>
    <w:rsid w:val="007A7036"/>
    <w:rsid w:val="007B04E3"/>
    <w:rsid w:val="007B0BF5"/>
    <w:rsid w:val="007B0CCC"/>
    <w:rsid w:val="007C1AF5"/>
    <w:rsid w:val="007C25D9"/>
    <w:rsid w:val="007C2BF3"/>
    <w:rsid w:val="007C318C"/>
    <w:rsid w:val="007C4F2D"/>
    <w:rsid w:val="007C5F78"/>
    <w:rsid w:val="007C6EA2"/>
    <w:rsid w:val="007C731F"/>
    <w:rsid w:val="007C7C30"/>
    <w:rsid w:val="007D1534"/>
    <w:rsid w:val="007D24C3"/>
    <w:rsid w:val="007D2561"/>
    <w:rsid w:val="007D3D27"/>
    <w:rsid w:val="007D6731"/>
    <w:rsid w:val="007D6B90"/>
    <w:rsid w:val="007D75D9"/>
    <w:rsid w:val="007E1A8A"/>
    <w:rsid w:val="007E2A39"/>
    <w:rsid w:val="007E2C74"/>
    <w:rsid w:val="007E2CD3"/>
    <w:rsid w:val="007E2F69"/>
    <w:rsid w:val="007E4CA1"/>
    <w:rsid w:val="007E6D89"/>
    <w:rsid w:val="007F0487"/>
    <w:rsid w:val="007F0E50"/>
    <w:rsid w:val="007F15DA"/>
    <w:rsid w:val="007F36DE"/>
    <w:rsid w:val="007F3C4E"/>
    <w:rsid w:val="007F3FF7"/>
    <w:rsid w:val="007F40AC"/>
    <w:rsid w:val="007F41D7"/>
    <w:rsid w:val="007F69F9"/>
    <w:rsid w:val="007F735A"/>
    <w:rsid w:val="00801D09"/>
    <w:rsid w:val="008026AF"/>
    <w:rsid w:val="00802834"/>
    <w:rsid w:val="00803EAD"/>
    <w:rsid w:val="00804014"/>
    <w:rsid w:val="00806164"/>
    <w:rsid w:val="008115F2"/>
    <w:rsid w:val="00813746"/>
    <w:rsid w:val="008167A4"/>
    <w:rsid w:val="00816A70"/>
    <w:rsid w:val="00816BA5"/>
    <w:rsid w:val="0081701D"/>
    <w:rsid w:val="00821E6B"/>
    <w:rsid w:val="00822144"/>
    <w:rsid w:val="00824516"/>
    <w:rsid w:val="008250AA"/>
    <w:rsid w:val="00826371"/>
    <w:rsid w:val="00826BD2"/>
    <w:rsid w:val="00831F5D"/>
    <w:rsid w:val="00832946"/>
    <w:rsid w:val="0083322D"/>
    <w:rsid w:val="00833FCB"/>
    <w:rsid w:val="0083400B"/>
    <w:rsid w:val="008345F2"/>
    <w:rsid w:val="008348BD"/>
    <w:rsid w:val="00834ACB"/>
    <w:rsid w:val="008359EC"/>
    <w:rsid w:val="00836DB9"/>
    <w:rsid w:val="0083715B"/>
    <w:rsid w:val="00837E0D"/>
    <w:rsid w:val="00840FC8"/>
    <w:rsid w:val="00841710"/>
    <w:rsid w:val="008421F1"/>
    <w:rsid w:val="00844B6D"/>
    <w:rsid w:val="0084699E"/>
    <w:rsid w:val="00846C53"/>
    <w:rsid w:val="0084744B"/>
    <w:rsid w:val="00850BF3"/>
    <w:rsid w:val="008544E0"/>
    <w:rsid w:val="00854681"/>
    <w:rsid w:val="00857135"/>
    <w:rsid w:val="008573B4"/>
    <w:rsid w:val="00860FEB"/>
    <w:rsid w:val="00862B19"/>
    <w:rsid w:val="00862BFB"/>
    <w:rsid w:val="0086312F"/>
    <w:rsid w:val="00864C26"/>
    <w:rsid w:val="00866814"/>
    <w:rsid w:val="00870364"/>
    <w:rsid w:val="008735B4"/>
    <w:rsid w:val="00875A55"/>
    <w:rsid w:val="00876574"/>
    <w:rsid w:val="00877A9B"/>
    <w:rsid w:val="00880621"/>
    <w:rsid w:val="00881912"/>
    <w:rsid w:val="00881F94"/>
    <w:rsid w:val="008825E6"/>
    <w:rsid w:val="0088276C"/>
    <w:rsid w:val="00883E7C"/>
    <w:rsid w:val="008840D3"/>
    <w:rsid w:val="00884480"/>
    <w:rsid w:val="00884735"/>
    <w:rsid w:val="00884A58"/>
    <w:rsid w:val="00885D81"/>
    <w:rsid w:val="008864A0"/>
    <w:rsid w:val="00887F15"/>
    <w:rsid w:val="008900AD"/>
    <w:rsid w:val="00892341"/>
    <w:rsid w:val="00893F02"/>
    <w:rsid w:val="00894BB5"/>
    <w:rsid w:val="00894CFC"/>
    <w:rsid w:val="00895F40"/>
    <w:rsid w:val="00896057"/>
    <w:rsid w:val="008963A3"/>
    <w:rsid w:val="008968D5"/>
    <w:rsid w:val="00896A58"/>
    <w:rsid w:val="0089704F"/>
    <w:rsid w:val="008A0D97"/>
    <w:rsid w:val="008A1E99"/>
    <w:rsid w:val="008A30D4"/>
    <w:rsid w:val="008A3720"/>
    <w:rsid w:val="008A58B3"/>
    <w:rsid w:val="008A6A31"/>
    <w:rsid w:val="008A7039"/>
    <w:rsid w:val="008A7DA2"/>
    <w:rsid w:val="008A7E07"/>
    <w:rsid w:val="008A7EF7"/>
    <w:rsid w:val="008B02D1"/>
    <w:rsid w:val="008B0578"/>
    <w:rsid w:val="008B1661"/>
    <w:rsid w:val="008B22C6"/>
    <w:rsid w:val="008B27ED"/>
    <w:rsid w:val="008B2F81"/>
    <w:rsid w:val="008B4331"/>
    <w:rsid w:val="008B5FC2"/>
    <w:rsid w:val="008B6A69"/>
    <w:rsid w:val="008B766C"/>
    <w:rsid w:val="008B7B86"/>
    <w:rsid w:val="008C02D3"/>
    <w:rsid w:val="008C08EB"/>
    <w:rsid w:val="008C0A41"/>
    <w:rsid w:val="008C1048"/>
    <w:rsid w:val="008C1123"/>
    <w:rsid w:val="008C2D18"/>
    <w:rsid w:val="008C4826"/>
    <w:rsid w:val="008C7AB8"/>
    <w:rsid w:val="008D397A"/>
    <w:rsid w:val="008D3CD4"/>
    <w:rsid w:val="008D405D"/>
    <w:rsid w:val="008D4BA7"/>
    <w:rsid w:val="008D51B6"/>
    <w:rsid w:val="008D56A3"/>
    <w:rsid w:val="008D575A"/>
    <w:rsid w:val="008D7090"/>
    <w:rsid w:val="008E0D06"/>
    <w:rsid w:val="008E26EC"/>
    <w:rsid w:val="008E2B1D"/>
    <w:rsid w:val="008E7BD1"/>
    <w:rsid w:val="008F7E90"/>
    <w:rsid w:val="0090045D"/>
    <w:rsid w:val="00900A17"/>
    <w:rsid w:val="009012DA"/>
    <w:rsid w:val="009015AC"/>
    <w:rsid w:val="00903D20"/>
    <w:rsid w:val="009111A6"/>
    <w:rsid w:val="0091161E"/>
    <w:rsid w:val="009127F3"/>
    <w:rsid w:val="00912EDB"/>
    <w:rsid w:val="0091416B"/>
    <w:rsid w:val="00914E7B"/>
    <w:rsid w:val="00914FB0"/>
    <w:rsid w:val="00921DE3"/>
    <w:rsid w:val="00925DA8"/>
    <w:rsid w:val="00926183"/>
    <w:rsid w:val="00933E02"/>
    <w:rsid w:val="009350F0"/>
    <w:rsid w:val="009403ED"/>
    <w:rsid w:val="009411DE"/>
    <w:rsid w:val="00944E8C"/>
    <w:rsid w:val="009464B9"/>
    <w:rsid w:val="009510F7"/>
    <w:rsid w:val="009536B8"/>
    <w:rsid w:val="00953ACF"/>
    <w:rsid w:val="00955D23"/>
    <w:rsid w:val="00956131"/>
    <w:rsid w:val="0095623F"/>
    <w:rsid w:val="009579E7"/>
    <w:rsid w:val="00960E04"/>
    <w:rsid w:val="00961CA7"/>
    <w:rsid w:val="00962BF7"/>
    <w:rsid w:val="00962E13"/>
    <w:rsid w:val="00965D8F"/>
    <w:rsid w:val="00966405"/>
    <w:rsid w:val="00971D7B"/>
    <w:rsid w:val="009726F7"/>
    <w:rsid w:val="00972884"/>
    <w:rsid w:val="00973C51"/>
    <w:rsid w:val="009759E3"/>
    <w:rsid w:val="00975FFD"/>
    <w:rsid w:val="00977C26"/>
    <w:rsid w:val="0098130D"/>
    <w:rsid w:val="009815EA"/>
    <w:rsid w:val="00982E2B"/>
    <w:rsid w:val="00984752"/>
    <w:rsid w:val="009853B2"/>
    <w:rsid w:val="00985739"/>
    <w:rsid w:val="00985ADD"/>
    <w:rsid w:val="00987408"/>
    <w:rsid w:val="00992BD0"/>
    <w:rsid w:val="0099543B"/>
    <w:rsid w:val="00995B35"/>
    <w:rsid w:val="009A1EF5"/>
    <w:rsid w:val="009A2401"/>
    <w:rsid w:val="009A2CD8"/>
    <w:rsid w:val="009A395B"/>
    <w:rsid w:val="009A3EB7"/>
    <w:rsid w:val="009A4315"/>
    <w:rsid w:val="009A4B40"/>
    <w:rsid w:val="009A4E37"/>
    <w:rsid w:val="009B03FF"/>
    <w:rsid w:val="009B0EB0"/>
    <w:rsid w:val="009B2B1B"/>
    <w:rsid w:val="009B3C9D"/>
    <w:rsid w:val="009B4532"/>
    <w:rsid w:val="009B51F6"/>
    <w:rsid w:val="009B6A69"/>
    <w:rsid w:val="009B6BA0"/>
    <w:rsid w:val="009C081E"/>
    <w:rsid w:val="009C1D95"/>
    <w:rsid w:val="009C4E4D"/>
    <w:rsid w:val="009C59DA"/>
    <w:rsid w:val="009C693D"/>
    <w:rsid w:val="009C7768"/>
    <w:rsid w:val="009D1210"/>
    <w:rsid w:val="009D1684"/>
    <w:rsid w:val="009D352C"/>
    <w:rsid w:val="009D6198"/>
    <w:rsid w:val="009D62E3"/>
    <w:rsid w:val="009D70B8"/>
    <w:rsid w:val="009E40AE"/>
    <w:rsid w:val="009E6318"/>
    <w:rsid w:val="009E6C62"/>
    <w:rsid w:val="009E6FFB"/>
    <w:rsid w:val="009F2A6C"/>
    <w:rsid w:val="009F2F4A"/>
    <w:rsid w:val="009F48BB"/>
    <w:rsid w:val="009F6661"/>
    <w:rsid w:val="009F7BE0"/>
    <w:rsid w:val="00A00D31"/>
    <w:rsid w:val="00A0478D"/>
    <w:rsid w:val="00A06854"/>
    <w:rsid w:val="00A07FED"/>
    <w:rsid w:val="00A11DEE"/>
    <w:rsid w:val="00A12A51"/>
    <w:rsid w:val="00A13D88"/>
    <w:rsid w:val="00A14401"/>
    <w:rsid w:val="00A14606"/>
    <w:rsid w:val="00A15749"/>
    <w:rsid w:val="00A157DD"/>
    <w:rsid w:val="00A15B51"/>
    <w:rsid w:val="00A16D1B"/>
    <w:rsid w:val="00A171FC"/>
    <w:rsid w:val="00A2124B"/>
    <w:rsid w:val="00A257C3"/>
    <w:rsid w:val="00A25967"/>
    <w:rsid w:val="00A25D7F"/>
    <w:rsid w:val="00A26913"/>
    <w:rsid w:val="00A271EF"/>
    <w:rsid w:val="00A30E48"/>
    <w:rsid w:val="00A3292F"/>
    <w:rsid w:val="00A37154"/>
    <w:rsid w:val="00A37454"/>
    <w:rsid w:val="00A37EBA"/>
    <w:rsid w:val="00A41067"/>
    <w:rsid w:val="00A4598D"/>
    <w:rsid w:val="00A470E5"/>
    <w:rsid w:val="00A50BC3"/>
    <w:rsid w:val="00A5189E"/>
    <w:rsid w:val="00A52081"/>
    <w:rsid w:val="00A57C9B"/>
    <w:rsid w:val="00A610AD"/>
    <w:rsid w:val="00A62254"/>
    <w:rsid w:val="00A62482"/>
    <w:rsid w:val="00A62624"/>
    <w:rsid w:val="00A628C5"/>
    <w:rsid w:val="00A639BA"/>
    <w:rsid w:val="00A652F4"/>
    <w:rsid w:val="00A66FED"/>
    <w:rsid w:val="00A712A6"/>
    <w:rsid w:val="00A71ECA"/>
    <w:rsid w:val="00A72526"/>
    <w:rsid w:val="00A737A4"/>
    <w:rsid w:val="00A801F6"/>
    <w:rsid w:val="00A80B88"/>
    <w:rsid w:val="00A814FB"/>
    <w:rsid w:val="00A833B0"/>
    <w:rsid w:val="00A84C2D"/>
    <w:rsid w:val="00A85D4E"/>
    <w:rsid w:val="00A86C9E"/>
    <w:rsid w:val="00A87458"/>
    <w:rsid w:val="00A8787A"/>
    <w:rsid w:val="00A87984"/>
    <w:rsid w:val="00A90F14"/>
    <w:rsid w:val="00A91677"/>
    <w:rsid w:val="00A9268B"/>
    <w:rsid w:val="00A938F4"/>
    <w:rsid w:val="00A94186"/>
    <w:rsid w:val="00A94DD2"/>
    <w:rsid w:val="00A94F1B"/>
    <w:rsid w:val="00A95B6E"/>
    <w:rsid w:val="00A973DA"/>
    <w:rsid w:val="00AA0FED"/>
    <w:rsid w:val="00AA1479"/>
    <w:rsid w:val="00AA1962"/>
    <w:rsid w:val="00AA2933"/>
    <w:rsid w:val="00AA385A"/>
    <w:rsid w:val="00AA633B"/>
    <w:rsid w:val="00AA6F50"/>
    <w:rsid w:val="00AA7B4E"/>
    <w:rsid w:val="00AB0768"/>
    <w:rsid w:val="00AB1473"/>
    <w:rsid w:val="00AB1A96"/>
    <w:rsid w:val="00AB1D6E"/>
    <w:rsid w:val="00AB1F20"/>
    <w:rsid w:val="00AB2651"/>
    <w:rsid w:val="00AB4A40"/>
    <w:rsid w:val="00AB6082"/>
    <w:rsid w:val="00AB7503"/>
    <w:rsid w:val="00AB757C"/>
    <w:rsid w:val="00AC10FE"/>
    <w:rsid w:val="00AC2920"/>
    <w:rsid w:val="00AC315B"/>
    <w:rsid w:val="00AC59A8"/>
    <w:rsid w:val="00AC7656"/>
    <w:rsid w:val="00AD0FF3"/>
    <w:rsid w:val="00AD11AA"/>
    <w:rsid w:val="00AD18A8"/>
    <w:rsid w:val="00AD2A2A"/>
    <w:rsid w:val="00AD3DE7"/>
    <w:rsid w:val="00AD6C5C"/>
    <w:rsid w:val="00AD7C82"/>
    <w:rsid w:val="00AE2D94"/>
    <w:rsid w:val="00AE6B57"/>
    <w:rsid w:val="00AF06DE"/>
    <w:rsid w:val="00AF0D98"/>
    <w:rsid w:val="00AF2F44"/>
    <w:rsid w:val="00AF4A57"/>
    <w:rsid w:val="00AF51BC"/>
    <w:rsid w:val="00AF549A"/>
    <w:rsid w:val="00AF6272"/>
    <w:rsid w:val="00AF64AA"/>
    <w:rsid w:val="00AF6B40"/>
    <w:rsid w:val="00AF7308"/>
    <w:rsid w:val="00B0002A"/>
    <w:rsid w:val="00B019E4"/>
    <w:rsid w:val="00B045A6"/>
    <w:rsid w:val="00B06359"/>
    <w:rsid w:val="00B07B50"/>
    <w:rsid w:val="00B11537"/>
    <w:rsid w:val="00B14719"/>
    <w:rsid w:val="00B14FE1"/>
    <w:rsid w:val="00B21398"/>
    <w:rsid w:val="00B23F1E"/>
    <w:rsid w:val="00B25712"/>
    <w:rsid w:val="00B26304"/>
    <w:rsid w:val="00B2719A"/>
    <w:rsid w:val="00B27931"/>
    <w:rsid w:val="00B27B16"/>
    <w:rsid w:val="00B300A4"/>
    <w:rsid w:val="00B30CA1"/>
    <w:rsid w:val="00B30CBD"/>
    <w:rsid w:val="00B315CB"/>
    <w:rsid w:val="00B32127"/>
    <w:rsid w:val="00B33885"/>
    <w:rsid w:val="00B33ACC"/>
    <w:rsid w:val="00B36276"/>
    <w:rsid w:val="00B36575"/>
    <w:rsid w:val="00B3758E"/>
    <w:rsid w:val="00B37DE0"/>
    <w:rsid w:val="00B40B97"/>
    <w:rsid w:val="00B41308"/>
    <w:rsid w:val="00B425CD"/>
    <w:rsid w:val="00B42892"/>
    <w:rsid w:val="00B428EE"/>
    <w:rsid w:val="00B44384"/>
    <w:rsid w:val="00B5081C"/>
    <w:rsid w:val="00B5106A"/>
    <w:rsid w:val="00B511B0"/>
    <w:rsid w:val="00B56C3E"/>
    <w:rsid w:val="00B60C9A"/>
    <w:rsid w:val="00B623D9"/>
    <w:rsid w:val="00B6562A"/>
    <w:rsid w:val="00B671D7"/>
    <w:rsid w:val="00B72578"/>
    <w:rsid w:val="00B72B63"/>
    <w:rsid w:val="00B73D65"/>
    <w:rsid w:val="00B75539"/>
    <w:rsid w:val="00B7677A"/>
    <w:rsid w:val="00B812ED"/>
    <w:rsid w:val="00B8285A"/>
    <w:rsid w:val="00B82CB5"/>
    <w:rsid w:val="00B852DC"/>
    <w:rsid w:val="00B86CE5"/>
    <w:rsid w:val="00B8738C"/>
    <w:rsid w:val="00B87512"/>
    <w:rsid w:val="00B9006C"/>
    <w:rsid w:val="00B91223"/>
    <w:rsid w:val="00B91CAE"/>
    <w:rsid w:val="00B92707"/>
    <w:rsid w:val="00B93760"/>
    <w:rsid w:val="00B94975"/>
    <w:rsid w:val="00B95709"/>
    <w:rsid w:val="00B96D1D"/>
    <w:rsid w:val="00B97B93"/>
    <w:rsid w:val="00B97F44"/>
    <w:rsid w:val="00BA0ACB"/>
    <w:rsid w:val="00BA178E"/>
    <w:rsid w:val="00BA2703"/>
    <w:rsid w:val="00BA5D0D"/>
    <w:rsid w:val="00BB0AE0"/>
    <w:rsid w:val="00BB3D62"/>
    <w:rsid w:val="00BB3F83"/>
    <w:rsid w:val="00BB4ACE"/>
    <w:rsid w:val="00BB59D3"/>
    <w:rsid w:val="00BB7EB2"/>
    <w:rsid w:val="00BC1033"/>
    <w:rsid w:val="00BC1D24"/>
    <w:rsid w:val="00BC2C98"/>
    <w:rsid w:val="00BC52AD"/>
    <w:rsid w:val="00BC5722"/>
    <w:rsid w:val="00BC626F"/>
    <w:rsid w:val="00BD064A"/>
    <w:rsid w:val="00BD1116"/>
    <w:rsid w:val="00BD2A80"/>
    <w:rsid w:val="00BD3A86"/>
    <w:rsid w:val="00BD425E"/>
    <w:rsid w:val="00BD43DC"/>
    <w:rsid w:val="00BE02DD"/>
    <w:rsid w:val="00BE399B"/>
    <w:rsid w:val="00BE47AB"/>
    <w:rsid w:val="00BE4911"/>
    <w:rsid w:val="00BE604B"/>
    <w:rsid w:val="00BF1BD5"/>
    <w:rsid w:val="00BF2EC0"/>
    <w:rsid w:val="00BF4DF2"/>
    <w:rsid w:val="00BF504B"/>
    <w:rsid w:val="00BF5983"/>
    <w:rsid w:val="00C00028"/>
    <w:rsid w:val="00C00402"/>
    <w:rsid w:val="00C00BE3"/>
    <w:rsid w:val="00C037CD"/>
    <w:rsid w:val="00C03970"/>
    <w:rsid w:val="00C03DBC"/>
    <w:rsid w:val="00C0452F"/>
    <w:rsid w:val="00C05827"/>
    <w:rsid w:val="00C07EBB"/>
    <w:rsid w:val="00C07FE3"/>
    <w:rsid w:val="00C10474"/>
    <w:rsid w:val="00C10502"/>
    <w:rsid w:val="00C110BA"/>
    <w:rsid w:val="00C12F06"/>
    <w:rsid w:val="00C1333F"/>
    <w:rsid w:val="00C13A8E"/>
    <w:rsid w:val="00C144E8"/>
    <w:rsid w:val="00C160C0"/>
    <w:rsid w:val="00C164A0"/>
    <w:rsid w:val="00C16524"/>
    <w:rsid w:val="00C17FF6"/>
    <w:rsid w:val="00C226A1"/>
    <w:rsid w:val="00C2520D"/>
    <w:rsid w:val="00C25E0F"/>
    <w:rsid w:val="00C2740F"/>
    <w:rsid w:val="00C31322"/>
    <w:rsid w:val="00C31BAE"/>
    <w:rsid w:val="00C3258E"/>
    <w:rsid w:val="00C355EA"/>
    <w:rsid w:val="00C36B0F"/>
    <w:rsid w:val="00C41358"/>
    <w:rsid w:val="00C422CE"/>
    <w:rsid w:val="00C42937"/>
    <w:rsid w:val="00C47A03"/>
    <w:rsid w:val="00C47C3B"/>
    <w:rsid w:val="00C47EA5"/>
    <w:rsid w:val="00C5108C"/>
    <w:rsid w:val="00C52A65"/>
    <w:rsid w:val="00C52AC2"/>
    <w:rsid w:val="00C52BAA"/>
    <w:rsid w:val="00C53A8F"/>
    <w:rsid w:val="00C53DAF"/>
    <w:rsid w:val="00C54738"/>
    <w:rsid w:val="00C55EF3"/>
    <w:rsid w:val="00C56348"/>
    <w:rsid w:val="00C600CB"/>
    <w:rsid w:val="00C604B8"/>
    <w:rsid w:val="00C629C3"/>
    <w:rsid w:val="00C631B5"/>
    <w:rsid w:val="00C63B1C"/>
    <w:rsid w:val="00C655A3"/>
    <w:rsid w:val="00C72917"/>
    <w:rsid w:val="00C760FC"/>
    <w:rsid w:val="00C7709C"/>
    <w:rsid w:val="00C800D7"/>
    <w:rsid w:val="00C80655"/>
    <w:rsid w:val="00C80EAC"/>
    <w:rsid w:val="00C831E4"/>
    <w:rsid w:val="00C83EE5"/>
    <w:rsid w:val="00C855DC"/>
    <w:rsid w:val="00C85A90"/>
    <w:rsid w:val="00C86006"/>
    <w:rsid w:val="00C90F5B"/>
    <w:rsid w:val="00C92B18"/>
    <w:rsid w:val="00C945D7"/>
    <w:rsid w:val="00CA1BCF"/>
    <w:rsid w:val="00CA2B47"/>
    <w:rsid w:val="00CA4F71"/>
    <w:rsid w:val="00CA5979"/>
    <w:rsid w:val="00CA72F2"/>
    <w:rsid w:val="00CA7860"/>
    <w:rsid w:val="00CB386C"/>
    <w:rsid w:val="00CB56CE"/>
    <w:rsid w:val="00CB747D"/>
    <w:rsid w:val="00CC1480"/>
    <w:rsid w:val="00CC3F9D"/>
    <w:rsid w:val="00CC60A2"/>
    <w:rsid w:val="00CD16AA"/>
    <w:rsid w:val="00CD2F39"/>
    <w:rsid w:val="00CD530B"/>
    <w:rsid w:val="00CD653B"/>
    <w:rsid w:val="00CD65F2"/>
    <w:rsid w:val="00CD7620"/>
    <w:rsid w:val="00CE0B44"/>
    <w:rsid w:val="00CE15CE"/>
    <w:rsid w:val="00CE3338"/>
    <w:rsid w:val="00CE7CD0"/>
    <w:rsid w:val="00CF058B"/>
    <w:rsid w:val="00CF0B1F"/>
    <w:rsid w:val="00CF1621"/>
    <w:rsid w:val="00CF168A"/>
    <w:rsid w:val="00CF4935"/>
    <w:rsid w:val="00CF5D02"/>
    <w:rsid w:val="00CF628A"/>
    <w:rsid w:val="00CF7711"/>
    <w:rsid w:val="00D00B00"/>
    <w:rsid w:val="00D05510"/>
    <w:rsid w:val="00D05598"/>
    <w:rsid w:val="00D05E08"/>
    <w:rsid w:val="00D060B2"/>
    <w:rsid w:val="00D0642D"/>
    <w:rsid w:val="00D07924"/>
    <w:rsid w:val="00D10056"/>
    <w:rsid w:val="00D129F2"/>
    <w:rsid w:val="00D13683"/>
    <w:rsid w:val="00D1489F"/>
    <w:rsid w:val="00D14DBE"/>
    <w:rsid w:val="00D16229"/>
    <w:rsid w:val="00D1699F"/>
    <w:rsid w:val="00D1700D"/>
    <w:rsid w:val="00D22748"/>
    <w:rsid w:val="00D22791"/>
    <w:rsid w:val="00D22DDF"/>
    <w:rsid w:val="00D2385E"/>
    <w:rsid w:val="00D2397E"/>
    <w:rsid w:val="00D25688"/>
    <w:rsid w:val="00D26211"/>
    <w:rsid w:val="00D27729"/>
    <w:rsid w:val="00D320CE"/>
    <w:rsid w:val="00D36A46"/>
    <w:rsid w:val="00D37C37"/>
    <w:rsid w:val="00D37C91"/>
    <w:rsid w:val="00D428E9"/>
    <w:rsid w:val="00D437A8"/>
    <w:rsid w:val="00D44D87"/>
    <w:rsid w:val="00D45DBF"/>
    <w:rsid w:val="00D468AB"/>
    <w:rsid w:val="00D47FDA"/>
    <w:rsid w:val="00D5004E"/>
    <w:rsid w:val="00D53CE7"/>
    <w:rsid w:val="00D53DD1"/>
    <w:rsid w:val="00D56E5C"/>
    <w:rsid w:val="00D57464"/>
    <w:rsid w:val="00D5775D"/>
    <w:rsid w:val="00D606E9"/>
    <w:rsid w:val="00D61CC5"/>
    <w:rsid w:val="00D65662"/>
    <w:rsid w:val="00D65A7F"/>
    <w:rsid w:val="00D66C0E"/>
    <w:rsid w:val="00D72DEC"/>
    <w:rsid w:val="00D73462"/>
    <w:rsid w:val="00D741B0"/>
    <w:rsid w:val="00D74DF4"/>
    <w:rsid w:val="00D75D2D"/>
    <w:rsid w:val="00D76399"/>
    <w:rsid w:val="00D771B9"/>
    <w:rsid w:val="00D779B2"/>
    <w:rsid w:val="00D77C26"/>
    <w:rsid w:val="00D81E8D"/>
    <w:rsid w:val="00D81EFB"/>
    <w:rsid w:val="00D82101"/>
    <w:rsid w:val="00D834EA"/>
    <w:rsid w:val="00D83782"/>
    <w:rsid w:val="00D85FDA"/>
    <w:rsid w:val="00D8645F"/>
    <w:rsid w:val="00D86858"/>
    <w:rsid w:val="00D871FC"/>
    <w:rsid w:val="00D91AC6"/>
    <w:rsid w:val="00D92A25"/>
    <w:rsid w:val="00D93705"/>
    <w:rsid w:val="00D957A7"/>
    <w:rsid w:val="00D9600F"/>
    <w:rsid w:val="00DA0179"/>
    <w:rsid w:val="00DA1406"/>
    <w:rsid w:val="00DA46D0"/>
    <w:rsid w:val="00DA51C3"/>
    <w:rsid w:val="00DA5F40"/>
    <w:rsid w:val="00DA67ED"/>
    <w:rsid w:val="00DB05B3"/>
    <w:rsid w:val="00DB2191"/>
    <w:rsid w:val="00DB285B"/>
    <w:rsid w:val="00DB6EFD"/>
    <w:rsid w:val="00DC1CF1"/>
    <w:rsid w:val="00DC2A6C"/>
    <w:rsid w:val="00DC2FDB"/>
    <w:rsid w:val="00DC3827"/>
    <w:rsid w:val="00DC5158"/>
    <w:rsid w:val="00DC527B"/>
    <w:rsid w:val="00DC57CF"/>
    <w:rsid w:val="00DC6088"/>
    <w:rsid w:val="00DC79E5"/>
    <w:rsid w:val="00DD099C"/>
    <w:rsid w:val="00DD21C1"/>
    <w:rsid w:val="00DD2D67"/>
    <w:rsid w:val="00DD2E8E"/>
    <w:rsid w:val="00DD56F9"/>
    <w:rsid w:val="00DD74CA"/>
    <w:rsid w:val="00DE1E1B"/>
    <w:rsid w:val="00DE23CD"/>
    <w:rsid w:val="00DE7BC1"/>
    <w:rsid w:val="00DF0301"/>
    <w:rsid w:val="00DF1EB6"/>
    <w:rsid w:val="00DF3A21"/>
    <w:rsid w:val="00DF5807"/>
    <w:rsid w:val="00DF5C24"/>
    <w:rsid w:val="00DF6A1E"/>
    <w:rsid w:val="00E004F0"/>
    <w:rsid w:val="00E019C6"/>
    <w:rsid w:val="00E01AE5"/>
    <w:rsid w:val="00E01B83"/>
    <w:rsid w:val="00E01FBF"/>
    <w:rsid w:val="00E02189"/>
    <w:rsid w:val="00E02E7D"/>
    <w:rsid w:val="00E040B7"/>
    <w:rsid w:val="00E0491F"/>
    <w:rsid w:val="00E06090"/>
    <w:rsid w:val="00E11E85"/>
    <w:rsid w:val="00E14203"/>
    <w:rsid w:val="00E16C87"/>
    <w:rsid w:val="00E2077D"/>
    <w:rsid w:val="00E20BC0"/>
    <w:rsid w:val="00E225C3"/>
    <w:rsid w:val="00E22B22"/>
    <w:rsid w:val="00E24541"/>
    <w:rsid w:val="00E261ED"/>
    <w:rsid w:val="00E27D29"/>
    <w:rsid w:val="00E27E0B"/>
    <w:rsid w:val="00E30553"/>
    <w:rsid w:val="00E31DB8"/>
    <w:rsid w:val="00E32728"/>
    <w:rsid w:val="00E339AD"/>
    <w:rsid w:val="00E40273"/>
    <w:rsid w:val="00E41E7B"/>
    <w:rsid w:val="00E42265"/>
    <w:rsid w:val="00E4259B"/>
    <w:rsid w:val="00E432F5"/>
    <w:rsid w:val="00E44C92"/>
    <w:rsid w:val="00E45618"/>
    <w:rsid w:val="00E45D01"/>
    <w:rsid w:val="00E46694"/>
    <w:rsid w:val="00E467E7"/>
    <w:rsid w:val="00E46EBF"/>
    <w:rsid w:val="00E47AAF"/>
    <w:rsid w:val="00E47EDD"/>
    <w:rsid w:val="00E55762"/>
    <w:rsid w:val="00E5630E"/>
    <w:rsid w:val="00E60E8C"/>
    <w:rsid w:val="00E6188B"/>
    <w:rsid w:val="00E643F5"/>
    <w:rsid w:val="00E66BCE"/>
    <w:rsid w:val="00E6774A"/>
    <w:rsid w:val="00E67D65"/>
    <w:rsid w:val="00E70428"/>
    <w:rsid w:val="00E725DB"/>
    <w:rsid w:val="00E72C9F"/>
    <w:rsid w:val="00E74224"/>
    <w:rsid w:val="00E75979"/>
    <w:rsid w:val="00E75D5C"/>
    <w:rsid w:val="00E7615E"/>
    <w:rsid w:val="00E76C8C"/>
    <w:rsid w:val="00E802F4"/>
    <w:rsid w:val="00E82337"/>
    <w:rsid w:val="00E83277"/>
    <w:rsid w:val="00E8359D"/>
    <w:rsid w:val="00E84649"/>
    <w:rsid w:val="00E84A47"/>
    <w:rsid w:val="00E850A4"/>
    <w:rsid w:val="00E850A6"/>
    <w:rsid w:val="00E851B4"/>
    <w:rsid w:val="00E86DE9"/>
    <w:rsid w:val="00E905E0"/>
    <w:rsid w:val="00E916D3"/>
    <w:rsid w:val="00E91DE3"/>
    <w:rsid w:val="00E92953"/>
    <w:rsid w:val="00E967EA"/>
    <w:rsid w:val="00E96CD0"/>
    <w:rsid w:val="00EA1F78"/>
    <w:rsid w:val="00EA2CE0"/>
    <w:rsid w:val="00EA2FAF"/>
    <w:rsid w:val="00EA5687"/>
    <w:rsid w:val="00EA5916"/>
    <w:rsid w:val="00EA609D"/>
    <w:rsid w:val="00EA6A89"/>
    <w:rsid w:val="00EA7F70"/>
    <w:rsid w:val="00EB11E4"/>
    <w:rsid w:val="00EB2648"/>
    <w:rsid w:val="00EB2BD6"/>
    <w:rsid w:val="00EB3EFA"/>
    <w:rsid w:val="00EB5B62"/>
    <w:rsid w:val="00EB7FCB"/>
    <w:rsid w:val="00EC0918"/>
    <w:rsid w:val="00EC43ED"/>
    <w:rsid w:val="00EC4893"/>
    <w:rsid w:val="00EC5CA6"/>
    <w:rsid w:val="00EC6CF8"/>
    <w:rsid w:val="00EC7222"/>
    <w:rsid w:val="00EC7C62"/>
    <w:rsid w:val="00ED003E"/>
    <w:rsid w:val="00ED217D"/>
    <w:rsid w:val="00ED3E44"/>
    <w:rsid w:val="00ED573D"/>
    <w:rsid w:val="00EE1F5D"/>
    <w:rsid w:val="00EE2358"/>
    <w:rsid w:val="00EE42B6"/>
    <w:rsid w:val="00EE4A0E"/>
    <w:rsid w:val="00EE7564"/>
    <w:rsid w:val="00EF1613"/>
    <w:rsid w:val="00EF1862"/>
    <w:rsid w:val="00EF2208"/>
    <w:rsid w:val="00EF2FB8"/>
    <w:rsid w:val="00EF4D29"/>
    <w:rsid w:val="00EF4F4F"/>
    <w:rsid w:val="00EF62A4"/>
    <w:rsid w:val="00EF7CE4"/>
    <w:rsid w:val="00F01C3D"/>
    <w:rsid w:val="00F02F56"/>
    <w:rsid w:val="00F04747"/>
    <w:rsid w:val="00F05C95"/>
    <w:rsid w:val="00F1257F"/>
    <w:rsid w:val="00F14296"/>
    <w:rsid w:val="00F15A2F"/>
    <w:rsid w:val="00F16466"/>
    <w:rsid w:val="00F1705D"/>
    <w:rsid w:val="00F1774D"/>
    <w:rsid w:val="00F237C0"/>
    <w:rsid w:val="00F23D3C"/>
    <w:rsid w:val="00F242D3"/>
    <w:rsid w:val="00F24D2B"/>
    <w:rsid w:val="00F265E3"/>
    <w:rsid w:val="00F27437"/>
    <w:rsid w:val="00F278AF"/>
    <w:rsid w:val="00F30DEC"/>
    <w:rsid w:val="00F30FDF"/>
    <w:rsid w:val="00F329D7"/>
    <w:rsid w:val="00F33621"/>
    <w:rsid w:val="00F36737"/>
    <w:rsid w:val="00F37B59"/>
    <w:rsid w:val="00F400CD"/>
    <w:rsid w:val="00F43FCD"/>
    <w:rsid w:val="00F45158"/>
    <w:rsid w:val="00F454D9"/>
    <w:rsid w:val="00F46156"/>
    <w:rsid w:val="00F47534"/>
    <w:rsid w:val="00F47EF5"/>
    <w:rsid w:val="00F501F8"/>
    <w:rsid w:val="00F50A94"/>
    <w:rsid w:val="00F5170F"/>
    <w:rsid w:val="00F53BA3"/>
    <w:rsid w:val="00F55658"/>
    <w:rsid w:val="00F567D7"/>
    <w:rsid w:val="00F612AA"/>
    <w:rsid w:val="00F6244D"/>
    <w:rsid w:val="00F65ABA"/>
    <w:rsid w:val="00F6702D"/>
    <w:rsid w:val="00F67A6F"/>
    <w:rsid w:val="00F70E9D"/>
    <w:rsid w:val="00F7326A"/>
    <w:rsid w:val="00F73DEC"/>
    <w:rsid w:val="00F743B1"/>
    <w:rsid w:val="00F757CC"/>
    <w:rsid w:val="00F83AEC"/>
    <w:rsid w:val="00F85215"/>
    <w:rsid w:val="00F85641"/>
    <w:rsid w:val="00F85F5B"/>
    <w:rsid w:val="00F86469"/>
    <w:rsid w:val="00F87036"/>
    <w:rsid w:val="00F91707"/>
    <w:rsid w:val="00F91874"/>
    <w:rsid w:val="00F926A4"/>
    <w:rsid w:val="00F938CC"/>
    <w:rsid w:val="00F96B0B"/>
    <w:rsid w:val="00F96B30"/>
    <w:rsid w:val="00FA02FA"/>
    <w:rsid w:val="00FA1E84"/>
    <w:rsid w:val="00FA1FCA"/>
    <w:rsid w:val="00FA3023"/>
    <w:rsid w:val="00FA4891"/>
    <w:rsid w:val="00FA51EE"/>
    <w:rsid w:val="00FA63C8"/>
    <w:rsid w:val="00FA7A32"/>
    <w:rsid w:val="00FB008C"/>
    <w:rsid w:val="00FB00F0"/>
    <w:rsid w:val="00FB0E9B"/>
    <w:rsid w:val="00FB1542"/>
    <w:rsid w:val="00FB26FF"/>
    <w:rsid w:val="00FB3A91"/>
    <w:rsid w:val="00FB450E"/>
    <w:rsid w:val="00FB71D8"/>
    <w:rsid w:val="00FB7556"/>
    <w:rsid w:val="00FC3391"/>
    <w:rsid w:val="00FC432C"/>
    <w:rsid w:val="00FC4D5A"/>
    <w:rsid w:val="00FC65F4"/>
    <w:rsid w:val="00FD1307"/>
    <w:rsid w:val="00FD21C4"/>
    <w:rsid w:val="00FD2379"/>
    <w:rsid w:val="00FD29AA"/>
    <w:rsid w:val="00FD30EA"/>
    <w:rsid w:val="00FD332C"/>
    <w:rsid w:val="00FD3CC4"/>
    <w:rsid w:val="00FD4019"/>
    <w:rsid w:val="00FD60AA"/>
    <w:rsid w:val="00FD60CD"/>
    <w:rsid w:val="00FE0213"/>
    <w:rsid w:val="00FE03D0"/>
    <w:rsid w:val="00FE090F"/>
    <w:rsid w:val="00FE270E"/>
    <w:rsid w:val="00FE2767"/>
    <w:rsid w:val="00FE39C0"/>
    <w:rsid w:val="00FE576B"/>
    <w:rsid w:val="00FE5A59"/>
    <w:rsid w:val="00FE6148"/>
    <w:rsid w:val="00FE6944"/>
    <w:rsid w:val="00FF0115"/>
    <w:rsid w:val="00FF347E"/>
    <w:rsid w:val="00FF4071"/>
    <w:rsid w:val="00FF5F2F"/>
    <w:rsid w:val="00FF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720DC"/>
  <w15:docId w15:val="{E40FDC6F-2BC4-4FDB-86C5-62F669FB0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26F4B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61F2F"/>
    <w:pPr>
      <w:keepNext/>
      <w:keepLines/>
      <w:suppressAutoHyphens w:val="0"/>
      <w:autoSpaceDN/>
      <w:spacing w:before="40" w:line="259" w:lineRule="auto"/>
      <w:textAlignment w:val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04F77"/>
    <w:pPr>
      <w:keepNext/>
      <w:keepLines/>
      <w:suppressAutoHyphens w:val="0"/>
      <w:autoSpaceDN/>
      <w:spacing w:before="40" w:line="259" w:lineRule="auto"/>
      <w:textAlignment w:val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B03F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13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39B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A271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86C9E"/>
    <w:pPr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</w:rPr>
  </w:style>
  <w:style w:type="character" w:customStyle="1" w:styleId="Heading3Char">
    <w:name w:val="Heading 3 Char"/>
    <w:basedOn w:val="DefaultParagraphFont"/>
    <w:link w:val="Heading3"/>
    <w:uiPriority w:val="9"/>
    <w:rsid w:val="00161F2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7F3C4E"/>
    <w:pPr>
      <w:suppressAutoHyphens w:val="0"/>
      <w:autoSpaceDN/>
      <w:textAlignment w:val="auto"/>
    </w:pPr>
    <w:rPr>
      <w:rFonts w:ascii="Arial" w:eastAsiaTheme="minorHAnsi" w:hAnsi="Arial" w:cs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F3C4E"/>
    <w:rPr>
      <w:rFonts w:ascii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F3C4E"/>
    <w:rPr>
      <w:vertAlign w:val="superscript"/>
    </w:rPr>
  </w:style>
  <w:style w:type="paragraph" w:styleId="NormalWeb">
    <w:name w:val="Normal (Web)"/>
    <w:basedOn w:val="Normal"/>
    <w:uiPriority w:val="99"/>
    <w:unhideWhenUsed/>
    <w:rsid w:val="00C54738"/>
    <w:pPr>
      <w:suppressAutoHyphens w:val="0"/>
      <w:autoSpaceDN/>
      <w:textAlignment w:val="auto"/>
    </w:pPr>
    <w:rPr>
      <w:rFonts w:eastAsiaTheme="minorHAnsi" w:cs="Calibri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304F7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PlainText">
    <w:name w:val="Plain Text"/>
    <w:basedOn w:val="Normal"/>
    <w:link w:val="PlainTextChar"/>
    <w:uiPriority w:val="99"/>
    <w:unhideWhenUsed/>
    <w:rsid w:val="00D8645F"/>
    <w:pPr>
      <w:suppressAutoHyphens w:val="0"/>
      <w:autoSpaceDN/>
      <w:textAlignment w:val="auto"/>
    </w:pPr>
    <w:rPr>
      <w:rFonts w:eastAsia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8645F"/>
    <w:rPr>
      <w:rFonts w:ascii="Calibri" w:eastAsia="Times New Roman" w:hAnsi="Calibri" w:cs="Times New Roman"/>
      <w:szCs w:val="21"/>
    </w:rPr>
  </w:style>
  <w:style w:type="paragraph" w:customStyle="1" w:styleId="xmsoplaintext">
    <w:name w:val="x_msoplaintext"/>
    <w:basedOn w:val="Normal"/>
    <w:uiPriority w:val="99"/>
    <w:rsid w:val="00C56348"/>
    <w:pPr>
      <w:suppressAutoHyphens w:val="0"/>
      <w:autoSpaceDN/>
      <w:textAlignment w:val="auto"/>
    </w:pPr>
    <w:rPr>
      <w:rFonts w:eastAsiaTheme="minorHAnsi" w:cs="Calibri"/>
      <w:lang w:eastAsia="en-GB"/>
    </w:rPr>
  </w:style>
  <w:style w:type="paragraph" w:styleId="CommentText">
    <w:name w:val="annotation text"/>
    <w:basedOn w:val="Normal"/>
    <w:link w:val="CommentTextChar"/>
    <w:uiPriority w:val="99"/>
    <w:unhideWhenUsed/>
    <w:rsid w:val="002A16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A16EC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9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615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6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92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4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4019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EE08E-8C4C-448B-BB89-CE01ABA15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3845</TotalTime>
  <Pages>8</Pages>
  <Words>2357</Words>
  <Characters>13435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MISD, University of Cambridge</Company>
  <LinksUpToDate>false</LinksUpToDate>
  <CharactersWithSpaces>15761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Smith</dc:creator>
  <cp:lastModifiedBy>Robert</cp:lastModifiedBy>
  <cp:revision>869</cp:revision>
  <cp:lastPrinted>2018-03-06T12:24:00Z</cp:lastPrinted>
  <dcterms:created xsi:type="dcterms:W3CDTF">2018-11-09T16:39:00Z</dcterms:created>
  <dcterms:modified xsi:type="dcterms:W3CDTF">2021-02-08T14:08:00Z</dcterms:modified>
</cp:coreProperties>
</file>