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BF04" w14:textId="0D8DBB89" w:rsidR="00626F4B" w:rsidRDefault="00626F4B" w:rsidP="00626F4B">
      <w:pPr>
        <w:jc w:val="center"/>
        <w:rPr>
          <w:rFonts w:ascii="Verdana" w:hAnsi="Verdana"/>
          <w:b/>
        </w:rPr>
      </w:pPr>
      <w:r>
        <w:rPr>
          <w:rFonts w:ascii="Verdana" w:hAnsi="Verdana"/>
          <w:b/>
        </w:rPr>
        <w:t>CORPORATION OF SIR GEORGE MONOUX COLLEGE</w:t>
      </w:r>
    </w:p>
    <w:p w14:paraId="27E5AECF" w14:textId="77777777" w:rsidR="00626F4B" w:rsidRDefault="00626F4B" w:rsidP="00626F4B">
      <w:pPr>
        <w:jc w:val="center"/>
        <w:rPr>
          <w:rFonts w:ascii="Verdana" w:hAnsi="Verdana"/>
          <w:b/>
        </w:rPr>
      </w:pPr>
    </w:p>
    <w:p w14:paraId="4647AB39" w14:textId="77777777" w:rsidR="00CD65F2" w:rsidRDefault="00626F4B" w:rsidP="004D37CF">
      <w:pPr>
        <w:jc w:val="center"/>
        <w:rPr>
          <w:rFonts w:ascii="Verdana" w:hAnsi="Verdana"/>
          <w:b/>
        </w:rPr>
      </w:pPr>
      <w:r>
        <w:rPr>
          <w:rFonts w:ascii="Verdana" w:hAnsi="Verdana"/>
          <w:b/>
        </w:rPr>
        <w:t xml:space="preserve">Minutes of the Meeting of the </w:t>
      </w:r>
      <w:r w:rsidR="00AA7B4E">
        <w:rPr>
          <w:rFonts w:ascii="Verdana" w:hAnsi="Verdana"/>
          <w:b/>
        </w:rPr>
        <w:t>External Relations</w:t>
      </w:r>
      <w:r>
        <w:rPr>
          <w:rFonts w:ascii="Verdana" w:hAnsi="Verdana"/>
          <w:b/>
        </w:rPr>
        <w:t xml:space="preserve"> Committee </w:t>
      </w:r>
    </w:p>
    <w:p w14:paraId="2E803062" w14:textId="26D03AE9" w:rsidR="00626F4B" w:rsidRDefault="00626F4B" w:rsidP="00CD65F2">
      <w:pPr>
        <w:jc w:val="center"/>
        <w:rPr>
          <w:rFonts w:ascii="Verdana" w:hAnsi="Verdana"/>
          <w:b/>
        </w:rPr>
      </w:pPr>
      <w:r>
        <w:rPr>
          <w:rFonts w:ascii="Verdana" w:hAnsi="Verdana"/>
          <w:b/>
        </w:rPr>
        <w:t xml:space="preserve">held on </w:t>
      </w:r>
      <w:r w:rsidR="002D5B58">
        <w:rPr>
          <w:rFonts w:ascii="Verdana" w:hAnsi="Verdana"/>
          <w:b/>
        </w:rPr>
        <w:t>2</w:t>
      </w:r>
      <w:r w:rsidR="00645FB0">
        <w:rPr>
          <w:rFonts w:ascii="Verdana" w:hAnsi="Verdana"/>
          <w:b/>
        </w:rPr>
        <w:t>2</w:t>
      </w:r>
      <w:r w:rsidR="002D5B58">
        <w:rPr>
          <w:rFonts w:ascii="Verdana" w:hAnsi="Verdana"/>
          <w:b/>
        </w:rPr>
        <w:t xml:space="preserve"> </w:t>
      </w:r>
      <w:r w:rsidR="00645FB0">
        <w:rPr>
          <w:rFonts w:ascii="Verdana" w:hAnsi="Verdana"/>
          <w:b/>
        </w:rPr>
        <w:t>June</w:t>
      </w:r>
      <w:r w:rsidR="000F5F64">
        <w:rPr>
          <w:rFonts w:ascii="Verdana" w:hAnsi="Verdana"/>
          <w:b/>
        </w:rPr>
        <w:t xml:space="preserve"> 2021</w:t>
      </w:r>
    </w:p>
    <w:p w14:paraId="524FC9FB" w14:textId="77777777" w:rsidR="00F454D9" w:rsidRDefault="00F454D9" w:rsidP="00626F4B">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2376"/>
        <w:gridCol w:w="7088"/>
      </w:tblGrid>
      <w:tr w:rsidR="00626F4B" w14:paraId="3029CBF4" w14:textId="77777777" w:rsidTr="003A7ED1">
        <w:tc>
          <w:tcPr>
            <w:tcW w:w="2376" w:type="dxa"/>
            <w:shd w:val="clear" w:color="auto" w:fill="auto"/>
            <w:tcMar>
              <w:top w:w="0" w:type="dxa"/>
              <w:left w:w="108" w:type="dxa"/>
              <w:bottom w:w="0" w:type="dxa"/>
              <w:right w:w="108" w:type="dxa"/>
            </w:tcMar>
          </w:tcPr>
          <w:p w14:paraId="06CCE836" w14:textId="77777777" w:rsidR="00626F4B" w:rsidRDefault="00626F4B" w:rsidP="005363B3">
            <w:pPr>
              <w:tabs>
                <w:tab w:val="left" w:pos="1455"/>
              </w:tabs>
              <w:rPr>
                <w:rFonts w:ascii="Verdana" w:hAnsi="Verdana"/>
                <w:b/>
              </w:rPr>
            </w:pPr>
            <w:r>
              <w:rPr>
                <w:rFonts w:ascii="Verdana" w:hAnsi="Verdana"/>
                <w:b/>
              </w:rPr>
              <w:t>Present</w:t>
            </w:r>
            <w:r>
              <w:rPr>
                <w:rFonts w:ascii="Verdana" w:hAnsi="Verdana"/>
                <w:b/>
              </w:rPr>
              <w:tab/>
            </w:r>
          </w:p>
          <w:p w14:paraId="7DF51377" w14:textId="77777777" w:rsidR="00626F4B" w:rsidRDefault="00626F4B" w:rsidP="005363B3">
            <w:pPr>
              <w:rPr>
                <w:rFonts w:ascii="Verdana" w:hAnsi="Verdana"/>
                <w:b/>
              </w:rPr>
            </w:pPr>
          </w:p>
        </w:tc>
        <w:tc>
          <w:tcPr>
            <w:tcW w:w="7088" w:type="dxa"/>
            <w:shd w:val="clear" w:color="auto" w:fill="auto"/>
            <w:tcMar>
              <w:top w:w="0" w:type="dxa"/>
              <w:left w:w="108" w:type="dxa"/>
              <w:bottom w:w="0" w:type="dxa"/>
              <w:right w:w="108" w:type="dxa"/>
            </w:tcMar>
          </w:tcPr>
          <w:p w14:paraId="3DF8B0BF" w14:textId="51FA89EA" w:rsidR="00626F4B" w:rsidRPr="00543365" w:rsidRDefault="00532D61" w:rsidP="005363B3">
            <w:pPr>
              <w:rPr>
                <w:rFonts w:ascii="Verdana" w:hAnsi="Verdana"/>
              </w:rPr>
            </w:pPr>
            <w:r w:rsidRPr="00543365">
              <w:rPr>
                <w:rFonts w:ascii="Verdana" w:hAnsi="Verdana"/>
              </w:rPr>
              <w:t>Stewart Maclean</w:t>
            </w:r>
            <w:r w:rsidR="00626F4B" w:rsidRPr="00543365">
              <w:rPr>
                <w:rFonts w:ascii="Verdana" w:hAnsi="Verdana"/>
              </w:rPr>
              <w:t xml:space="preserve"> (Chair), </w:t>
            </w:r>
            <w:r w:rsidR="008345F2" w:rsidRPr="00543365">
              <w:rPr>
                <w:rFonts w:ascii="Verdana" w:hAnsi="Verdana"/>
              </w:rPr>
              <w:t xml:space="preserve">Tom </w:t>
            </w:r>
            <w:proofErr w:type="spellStart"/>
            <w:r w:rsidR="008345F2" w:rsidRPr="00543365">
              <w:rPr>
                <w:rFonts w:ascii="Verdana" w:hAnsi="Verdana"/>
              </w:rPr>
              <w:t>Foakes</w:t>
            </w:r>
            <w:proofErr w:type="spellEnd"/>
            <w:r w:rsidR="008345F2" w:rsidRPr="00543365">
              <w:rPr>
                <w:rFonts w:ascii="Verdana" w:hAnsi="Verdana"/>
              </w:rPr>
              <w:t xml:space="preserve">, </w:t>
            </w:r>
            <w:r w:rsidR="002E7806">
              <w:rPr>
                <w:rFonts w:ascii="Verdana" w:hAnsi="Verdana"/>
              </w:rPr>
              <w:t xml:space="preserve">Farhana Juhera, </w:t>
            </w:r>
            <w:r w:rsidR="00E0491F" w:rsidRPr="00543365">
              <w:rPr>
                <w:rFonts w:ascii="Verdana" w:hAnsi="Verdana"/>
              </w:rPr>
              <w:t>Dav</w:t>
            </w:r>
            <w:r w:rsidR="00AB1F20" w:rsidRPr="00543365">
              <w:rPr>
                <w:rFonts w:ascii="Verdana" w:hAnsi="Verdana"/>
              </w:rPr>
              <w:t xml:space="preserve">id </w:t>
            </w:r>
            <w:proofErr w:type="spellStart"/>
            <w:r w:rsidR="00AB1F20" w:rsidRPr="00543365">
              <w:rPr>
                <w:rFonts w:ascii="Verdana" w:hAnsi="Verdana"/>
              </w:rPr>
              <w:t>Vasse</w:t>
            </w:r>
            <w:proofErr w:type="spellEnd"/>
            <w:r w:rsidR="00B425CD">
              <w:rPr>
                <w:rFonts w:ascii="Verdana" w:hAnsi="Verdana"/>
              </w:rPr>
              <w:t>, Sara Whittaker</w:t>
            </w:r>
            <w:r w:rsidR="00626F4B" w:rsidRPr="00543365">
              <w:rPr>
                <w:rFonts w:ascii="Verdana" w:hAnsi="Verdana"/>
              </w:rPr>
              <w:t xml:space="preserve">. </w:t>
            </w:r>
          </w:p>
          <w:p w14:paraId="08A15440" w14:textId="77777777" w:rsidR="00626F4B" w:rsidRDefault="00626F4B" w:rsidP="005363B3">
            <w:pPr>
              <w:rPr>
                <w:rFonts w:ascii="Verdana" w:hAnsi="Verdana"/>
              </w:rPr>
            </w:pPr>
          </w:p>
        </w:tc>
      </w:tr>
      <w:tr w:rsidR="00626F4B" w14:paraId="11C5FDBC" w14:textId="77777777" w:rsidTr="003A7ED1">
        <w:tc>
          <w:tcPr>
            <w:tcW w:w="2376" w:type="dxa"/>
            <w:shd w:val="clear" w:color="auto" w:fill="auto"/>
            <w:tcMar>
              <w:top w:w="0" w:type="dxa"/>
              <w:left w:w="108" w:type="dxa"/>
              <w:bottom w:w="0" w:type="dxa"/>
              <w:right w:w="108" w:type="dxa"/>
            </w:tcMar>
          </w:tcPr>
          <w:p w14:paraId="4E822C07" w14:textId="2D55B9DB" w:rsidR="00626F4B" w:rsidRDefault="00413682" w:rsidP="005363B3">
            <w:pPr>
              <w:rPr>
                <w:rFonts w:ascii="Verdana" w:hAnsi="Verdana"/>
                <w:b/>
              </w:rPr>
            </w:pPr>
            <w:r>
              <w:rPr>
                <w:rFonts w:ascii="Verdana" w:hAnsi="Verdana"/>
                <w:b/>
              </w:rPr>
              <w:t>In Attendance</w:t>
            </w:r>
          </w:p>
        </w:tc>
        <w:tc>
          <w:tcPr>
            <w:tcW w:w="7088" w:type="dxa"/>
            <w:shd w:val="clear" w:color="auto" w:fill="auto"/>
            <w:tcMar>
              <w:top w:w="0" w:type="dxa"/>
              <w:left w:w="108" w:type="dxa"/>
              <w:bottom w:w="0" w:type="dxa"/>
              <w:right w:w="108" w:type="dxa"/>
            </w:tcMar>
          </w:tcPr>
          <w:p w14:paraId="72DFE0F5" w14:textId="3311EFEB" w:rsidR="00626F4B" w:rsidRDefault="008C2D18" w:rsidP="005363B3">
            <w:pPr>
              <w:rPr>
                <w:rFonts w:ascii="Verdana" w:hAnsi="Verdana"/>
              </w:rPr>
            </w:pPr>
            <w:r>
              <w:rPr>
                <w:rFonts w:ascii="Verdana" w:hAnsi="Verdana"/>
              </w:rPr>
              <w:t>James Gould (Vice</w:t>
            </w:r>
            <w:r w:rsidR="00651D04">
              <w:rPr>
                <w:rFonts w:ascii="Verdana" w:hAnsi="Verdana"/>
              </w:rPr>
              <w:t>-</w:t>
            </w:r>
            <w:r>
              <w:rPr>
                <w:rFonts w:ascii="Verdana" w:hAnsi="Verdana"/>
              </w:rPr>
              <w:t xml:space="preserve">Principal: </w:t>
            </w:r>
            <w:r w:rsidRPr="00FE7EDC">
              <w:rPr>
                <w:rFonts w:ascii="Verdana" w:hAnsi="Verdana"/>
              </w:rPr>
              <w:t>Student S</w:t>
            </w:r>
            <w:r>
              <w:rPr>
                <w:rFonts w:ascii="Verdana" w:hAnsi="Verdana"/>
              </w:rPr>
              <w:t>ervices and Recruitment</w:t>
            </w:r>
            <w:r w:rsidR="00626F4B">
              <w:rPr>
                <w:rFonts w:ascii="Verdana" w:hAnsi="Verdana"/>
              </w:rPr>
              <w:t>)</w:t>
            </w:r>
            <w:r w:rsidR="00953ACF">
              <w:rPr>
                <w:rFonts w:ascii="Verdana" w:hAnsi="Verdana"/>
              </w:rPr>
              <w:t>, Robert Smith (Clerk to the Corporation</w:t>
            </w:r>
            <w:r w:rsidR="00232C98">
              <w:rPr>
                <w:rFonts w:ascii="Verdana" w:hAnsi="Verdana"/>
              </w:rPr>
              <w:t>)</w:t>
            </w:r>
            <w:r w:rsidR="002D5B58">
              <w:rPr>
                <w:rFonts w:ascii="Verdana" w:hAnsi="Verdana"/>
              </w:rPr>
              <w:t>.</w:t>
            </w:r>
          </w:p>
        </w:tc>
      </w:tr>
    </w:tbl>
    <w:p w14:paraId="73A3C9F8" w14:textId="77777777" w:rsidR="00626F4B" w:rsidRDefault="00626F4B" w:rsidP="00626F4B">
      <w:pPr>
        <w:rPr>
          <w:rFonts w:ascii="Verdana" w:hAnsi="Verdana"/>
          <w:b/>
        </w:rPr>
      </w:pPr>
    </w:p>
    <w:tbl>
      <w:tblPr>
        <w:tblW w:w="9464" w:type="dxa"/>
        <w:tblCellMar>
          <w:left w:w="10" w:type="dxa"/>
          <w:right w:w="10" w:type="dxa"/>
        </w:tblCellMar>
        <w:tblLook w:val="0000" w:firstRow="0" w:lastRow="0" w:firstColumn="0" w:lastColumn="0" w:noHBand="0" w:noVBand="0"/>
      </w:tblPr>
      <w:tblGrid>
        <w:gridCol w:w="529"/>
        <w:gridCol w:w="8935"/>
      </w:tblGrid>
      <w:tr w:rsidR="00626F4B" w14:paraId="64A738ED" w14:textId="77777777" w:rsidTr="003A7ED1">
        <w:tc>
          <w:tcPr>
            <w:tcW w:w="529" w:type="dxa"/>
            <w:shd w:val="clear" w:color="auto" w:fill="auto"/>
            <w:tcMar>
              <w:top w:w="0" w:type="dxa"/>
              <w:left w:w="108" w:type="dxa"/>
              <w:bottom w:w="0" w:type="dxa"/>
              <w:right w:w="108" w:type="dxa"/>
            </w:tcMar>
          </w:tcPr>
          <w:p w14:paraId="6D882388" w14:textId="77777777" w:rsidR="00626F4B" w:rsidRDefault="00626F4B" w:rsidP="005363B3">
            <w:pPr>
              <w:pStyle w:val="NoSpacing"/>
              <w:rPr>
                <w:b/>
              </w:rPr>
            </w:pPr>
            <w:r>
              <w:rPr>
                <w:b/>
              </w:rPr>
              <w:t>1</w:t>
            </w:r>
          </w:p>
          <w:p w14:paraId="1AC7FCBD" w14:textId="77777777" w:rsidR="00626F4B" w:rsidRDefault="00626F4B" w:rsidP="005363B3">
            <w:pPr>
              <w:pStyle w:val="NoSpacing"/>
              <w:rPr>
                <w:b/>
              </w:rPr>
            </w:pPr>
          </w:p>
          <w:p w14:paraId="05379A88" w14:textId="77777777" w:rsidR="00626F4B" w:rsidRDefault="00626F4B" w:rsidP="005363B3">
            <w:pPr>
              <w:pStyle w:val="NoSpacing"/>
              <w:rPr>
                <w:b/>
              </w:rPr>
            </w:pPr>
          </w:p>
        </w:tc>
        <w:tc>
          <w:tcPr>
            <w:tcW w:w="8935" w:type="dxa"/>
            <w:shd w:val="clear" w:color="auto" w:fill="auto"/>
            <w:tcMar>
              <w:top w:w="0" w:type="dxa"/>
              <w:left w:w="108" w:type="dxa"/>
              <w:bottom w:w="0" w:type="dxa"/>
              <w:right w:w="108" w:type="dxa"/>
            </w:tcMar>
          </w:tcPr>
          <w:p w14:paraId="41300BE7" w14:textId="1B559461" w:rsidR="00626F4B" w:rsidRDefault="00626F4B" w:rsidP="005363B3">
            <w:pPr>
              <w:pStyle w:val="NoSpacing"/>
              <w:rPr>
                <w:b/>
              </w:rPr>
            </w:pPr>
            <w:r>
              <w:rPr>
                <w:b/>
              </w:rPr>
              <w:t>Apologies for Absence</w:t>
            </w:r>
            <w:r w:rsidR="005D35E5">
              <w:rPr>
                <w:b/>
              </w:rPr>
              <w:t xml:space="preserve"> </w:t>
            </w:r>
            <w:r w:rsidR="00E261ED">
              <w:rPr>
                <w:b/>
              </w:rPr>
              <w:t>&amp; Quoracy</w:t>
            </w:r>
          </w:p>
          <w:p w14:paraId="6B45751B" w14:textId="77777777" w:rsidR="00626F4B" w:rsidRDefault="00626F4B" w:rsidP="005363B3">
            <w:pPr>
              <w:pStyle w:val="NoSpacing"/>
            </w:pPr>
          </w:p>
          <w:p w14:paraId="05DE54CD" w14:textId="407DB5B2" w:rsidR="00626F4B" w:rsidRDefault="000F5F64" w:rsidP="00645FB0">
            <w:pPr>
              <w:pStyle w:val="NoSpacing"/>
            </w:pPr>
            <w:r>
              <w:t>Apologies were received from the following member</w:t>
            </w:r>
            <w:r w:rsidR="009F2F4A">
              <w:t>s</w:t>
            </w:r>
            <w:r>
              <w:t xml:space="preserve"> of the Corporation:</w:t>
            </w:r>
            <w:r w:rsidR="00560D6F">
              <w:t xml:space="preserve"> Maurine Lewin</w:t>
            </w:r>
            <w:r>
              <w:t xml:space="preserve"> </w:t>
            </w:r>
          </w:p>
          <w:p w14:paraId="54B28E60" w14:textId="77777777" w:rsidR="00645FB0" w:rsidRDefault="00645FB0" w:rsidP="00645FB0">
            <w:pPr>
              <w:pStyle w:val="NoSpacing"/>
            </w:pPr>
          </w:p>
          <w:p w14:paraId="68287D2A" w14:textId="77777777" w:rsidR="00645FB0" w:rsidRDefault="00645FB0" w:rsidP="00645FB0">
            <w:pPr>
              <w:pStyle w:val="NoSpacing"/>
            </w:pPr>
            <w:r>
              <w:t>The meeting was quorate.</w:t>
            </w:r>
          </w:p>
          <w:p w14:paraId="42BCEB9A" w14:textId="23434E88" w:rsidR="00645FB0" w:rsidRDefault="00645FB0" w:rsidP="00645FB0">
            <w:pPr>
              <w:pStyle w:val="NoSpacing"/>
            </w:pPr>
          </w:p>
        </w:tc>
      </w:tr>
      <w:tr w:rsidR="00626F4B" w14:paraId="04C558D7" w14:textId="77777777" w:rsidTr="003A7ED1">
        <w:tc>
          <w:tcPr>
            <w:tcW w:w="529" w:type="dxa"/>
            <w:shd w:val="clear" w:color="auto" w:fill="auto"/>
            <w:tcMar>
              <w:top w:w="0" w:type="dxa"/>
              <w:left w:w="108" w:type="dxa"/>
              <w:bottom w:w="0" w:type="dxa"/>
              <w:right w:w="108" w:type="dxa"/>
            </w:tcMar>
          </w:tcPr>
          <w:p w14:paraId="7E3FCEF6" w14:textId="77777777" w:rsidR="00626F4B" w:rsidRDefault="00626F4B" w:rsidP="005363B3">
            <w:pPr>
              <w:pStyle w:val="NoSpacing"/>
              <w:rPr>
                <w:b/>
              </w:rPr>
            </w:pPr>
            <w:r>
              <w:rPr>
                <w:b/>
              </w:rPr>
              <w:t>2</w:t>
            </w:r>
          </w:p>
        </w:tc>
        <w:tc>
          <w:tcPr>
            <w:tcW w:w="8935" w:type="dxa"/>
            <w:shd w:val="clear" w:color="auto" w:fill="auto"/>
            <w:tcMar>
              <w:top w:w="0" w:type="dxa"/>
              <w:left w:w="108" w:type="dxa"/>
              <w:bottom w:w="0" w:type="dxa"/>
              <w:right w:w="108" w:type="dxa"/>
            </w:tcMar>
          </w:tcPr>
          <w:p w14:paraId="70F39EA9" w14:textId="77777777" w:rsidR="00626F4B" w:rsidRDefault="00626F4B" w:rsidP="005363B3">
            <w:pPr>
              <w:pStyle w:val="NoSpacing"/>
              <w:rPr>
                <w:b/>
              </w:rPr>
            </w:pPr>
            <w:r>
              <w:rPr>
                <w:b/>
              </w:rPr>
              <w:t>Declarations of Interest</w:t>
            </w:r>
          </w:p>
          <w:p w14:paraId="4D1ABDCB" w14:textId="77777777" w:rsidR="00626F4B" w:rsidRDefault="00626F4B" w:rsidP="005363B3">
            <w:pPr>
              <w:pStyle w:val="NoSpacing"/>
            </w:pPr>
          </w:p>
          <w:p w14:paraId="15EFED17" w14:textId="77777777" w:rsidR="00626F4B" w:rsidRDefault="00626F4B" w:rsidP="005363B3">
            <w:pPr>
              <w:pStyle w:val="NoSpacing"/>
            </w:pPr>
            <w:r>
              <w:t>None.</w:t>
            </w:r>
          </w:p>
          <w:p w14:paraId="306744C0" w14:textId="77777777" w:rsidR="00626F4B" w:rsidRDefault="00626F4B" w:rsidP="005363B3">
            <w:pPr>
              <w:pStyle w:val="NoSpacing"/>
            </w:pPr>
          </w:p>
        </w:tc>
      </w:tr>
      <w:tr w:rsidR="00504FAF" w14:paraId="4300FB80" w14:textId="77777777" w:rsidTr="003A7ED1">
        <w:tc>
          <w:tcPr>
            <w:tcW w:w="529" w:type="dxa"/>
            <w:shd w:val="clear" w:color="auto" w:fill="auto"/>
            <w:tcMar>
              <w:top w:w="0" w:type="dxa"/>
              <w:left w:w="108" w:type="dxa"/>
              <w:bottom w:w="0" w:type="dxa"/>
              <w:right w:w="108" w:type="dxa"/>
            </w:tcMar>
          </w:tcPr>
          <w:p w14:paraId="16021741" w14:textId="52B0F006" w:rsidR="00504FAF" w:rsidRDefault="00504FAF" w:rsidP="005363B3">
            <w:pPr>
              <w:pStyle w:val="NoSpacing"/>
              <w:rPr>
                <w:b/>
              </w:rPr>
            </w:pPr>
            <w:r>
              <w:rPr>
                <w:b/>
              </w:rPr>
              <w:t>3</w:t>
            </w:r>
          </w:p>
        </w:tc>
        <w:tc>
          <w:tcPr>
            <w:tcW w:w="8935" w:type="dxa"/>
            <w:shd w:val="clear" w:color="auto" w:fill="auto"/>
            <w:tcMar>
              <w:top w:w="0" w:type="dxa"/>
              <w:left w:w="108" w:type="dxa"/>
              <w:bottom w:w="0" w:type="dxa"/>
              <w:right w:w="108" w:type="dxa"/>
            </w:tcMar>
          </w:tcPr>
          <w:p w14:paraId="491B33EE" w14:textId="388BBB57" w:rsidR="00504FAF" w:rsidRDefault="007F3FF7" w:rsidP="005363B3">
            <w:pPr>
              <w:pStyle w:val="NoSpacing"/>
              <w:rPr>
                <w:b/>
              </w:rPr>
            </w:pPr>
            <w:r w:rsidRPr="00FE6148">
              <w:rPr>
                <w:b/>
              </w:rPr>
              <w:t xml:space="preserve">Draft Minutes of the Previous Meeting (Ordinary Business): </w:t>
            </w:r>
            <w:r w:rsidR="00645FB0">
              <w:rPr>
                <w:b/>
              </w:rPr>
              <w:t>2 February 2021</w:t>
            </w:r>
          </w:p>
          <w:p w14:paraId="639ED152" w14:textId="77777777" w:rsidR="00645FB0" w:rsidRDefault="00645FB0" w:rsidP="005363B3">
            <w:pPr>
              <w:pStyle w:val="NoSpacing"/>
              <w:rPr>
                <w:b/>
              </w:rPr>
            </w:pPr>
          </w:p>
          <w:p w14:paraId="7FD7BD9F" w14:textId="77777777" w:rsidR="00816A70" w:rsidRPr="00CA1B35" w:rsidRDefault="00816A70" w:rsidP="00816A70">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12926E48" w14:textId="77777777" w:rsidR="00816A70" w:rsidRDefault="00816A70" w:rsidP="00816A70">
            <w:pPr>
              <w:pStyle w:val="NoSpacing"/>
            </w:pPr>
          </w:p>
          <w:p w14:paraId="169D7AD4" w14:textId="4EBF9521" w:rsidR="00816A70" w:rsidRDefault="00816A70" w:rsidP="00816A70">
            <w:pPr>
              <w:pStyle w:val="NoSpacing"/>
            </w:pPr>
            <w:r w:rsidRPr="008D40C1">
              <w:t xml:space="preserve">The minutes were approved as a correct record of the business transacted, and </w:t>
            </w:r>
            <w:r w:rsidRPr="00B152B1">
              <w:rPr>
                <w:i/>
              </w:rPr>
              <w:t>prima facie</w:t>
            </w:r>
            <w:r w:rsidRPr="008D40C1">
              <w:t xml:space="preserve"> evidence of the proceedings to which they relate</w:t>
            </w:r>
            <w:r w:rsidR="00DA51C3">
              <w:t>.</w:t>
            </w:r>
          </w:p>
          <w:p w14:paraId="6942CEB6" w14:textId="610CF4E1" w:rsidR="0081701D" w:rsidRDefault="0081701D" w:rsidP="005363B3">
            <w:pPr>
              <w:pStyle w:val="NoSpacing"/>
              <w:rPr>
                <w:b/>
              </w:rPr>
            </w:pPr>
          </w:p>
        </w:tc>
      </w:tr>
      <w:tr w:rsidR="00504FAF" w14:paraId="0E57A065" w14:textId="77777777" w:rsidTr="003A7ED1">
        <w:tc>
          <w:tcPr>
            <w:tcW w:w="529" w:type="dxa"/>
            <w:shd w:val="clear" w:color="auto" w:fill="auto"/>
            <w:tcMar>
              <w:top w:w="0" w:type="dxa"/>
              <w:left w:w="108" w:type="dxa"/>
              <w:bottom w:w="0" w:type="dxa"/>
              <w:right w:w="108" w:type="dxa"/>
            </w:tcMar>
          </w:tcPr>
          <w:p w14:paraId="17BD401C" w14:textId="68F4EBE5" w:rsidR="00504FAF" w:rsidRDefault="00504FAF" w:rsidP="005363B3">
            <w:pPr>
              <w:pStyle w:val="NoSpacing"/>
              <w:rPr>
                <w:b/>
              </w:rPr>
            </w:pPr>
            <w:r>
              <w:rPr>
                <w:b/>
              </w:rPr>
              <w:t>4</w:t>
            </w:r>
          </w:p>
        </w:tc>
        <w:tc>
          <w:tcPr>
            <w:tcW w:w="8935" w:type="dxa"/>
            <w:shd w:val="clear" w:color="auto" w:fill="auto"/>
            <w:tcMar>
              <w:top w:w="0" w:type="dxa"/>
              <w:left w:w="108" w:type="dxa"/>
              <w:bottom w:w="0" w:type="dxa"/>
              <w:right w:w="108" w:type="dxa"/>
            </w:tcMar>
          </w:tcPr>
          <w:p w14:paraId="15D3BE06" w14:textId="77777777" w:rsidR="00645FB0" w:rsidRDefault="0081701D" w:rsidP="00A610AD">
            <w:pPr>
              <w:pStyle w:val="NormalWeb"/>
              <w:rPr>
                <w:rFonts w:ascii="Verdana" w:hAnsi="Verdana"/>
                <w:b/>
              </w:rPr>
            </w:pPr>
            <w:r w:rsidRPr="00FE6148">
              <w:rPr>
                <w:rFonts w:ascii="Verdana" w:hAnsi="Verdana"/>
                <w:b/>
              </w:rPr>
              <w:t xml:space="preserve">Matters Arising from the Draft Minutes (Ordinary Business): </w:t>
            </w:r>
            <w:r w:rsidR="00645FB0">
              <w:rPr>
                <w:rFonts w:ascii="Verdana" w:hAnsi="Verdana"/>
                <w:b/>
              </w:rPr>
              <w:t>2 February 2021</w:t>
            </w:r>
          </w:p>
          <w:p w14:paraId="2F7D5D3C" w14:textId="77777777" w:rsidR="00645FB0" w:rsidRDefault="00645FB0" w:rsidP="00A610AD">
            <w:pPr>
              <w:pStyle w:val="NormalWeb"/>
              <w:rPr>
                <w:rFonts w:ascii="Verdana" w:hAnsi="Verdana"/>
                <w:b/>
              </w:rPr>
            </w:pPr>
          </w:p>
          <w:p w14:paraId="43F6D17F" w14:textId="77777777" w:rsidR="00A610AD" w:rsidRDefault="0063226F" w:rsidP="00B304E6">
            <w:pPr>
              <w:pStyle w:val="NormalWeb"/>
              <w:rPr>
                <w:rFonts w:ascii="Verdana" w:hAnsi="Verdana"/>
              </w:rPr>
            </w:pPr>
            <w:r w:rsidRPr="0063226F">
              <w:rPr>
                <w:rFonts w:ascii="Verdana" w:hAnsi="Verdana"/>
                <w:i/>
                <w:iCs/>
              </w:rPr>
              <w:t>Minute 11:</w:t>
            </w:r>
            <w:r>
              <w:rPr>
                <w:rFonts w:ascii="Verdana" w:hAnsi="Verdana"/>
              </w:rPr>
              <w:t xml:space="preserve">  those members who were affected </w:t>
            </w:r>
            <w:r w:rsidR="00B304E6">
              <w:rPr>
                <w:rFonts w:ascii="Verdana" w:hAnsi="Verdana"/>
              </w:rPr>
              <w:t xml:space="preserve">had </w:t>
            </w:r>
            <w:r>
              <w:rPr>
                <w:rFonts w:ascii="Verdana" w:hAnsi="Verdana"/>
              </w:rPr>
              <w:t xml:space="preserve">received an email from the Clerk to the Corporation in the terms </w:t>
            </w:r>
            <w:proofErr w:type="spellStart"/>
            <w:r>
              <w:rPr>
                <w:rFonts w:ascii="Verdana" w:hAnsi="Verdana"/>
              </w:rPr>
              <w:t>minuted</w:t>
            </w:r>
            <w:proofErr w:type="spellEnd"/>
            <w:r>
              <w:rPr>
                <w:rFonts w:ascii="Verdana" w:hAnsi="Verdana"/>
              </w:rPr>
              <w:t xml:space="preserve">.  </w:t>
            </w:r>
          </w:p>
          <w:p w14:paraId="52512725" w14:textId="2C0E8451" w:rsidR="00B304E6" w:rsidRPr="00816A70" w:rsidRDefault="00B304E6" w:rsidP="00B304E6">
            <w:pPr>
              <w:pStyle w:val="NormalWeb"/>
            </w:pPr>
          </w:p>
        </w:tc>
      </w:tr>
      <w:tr w:rsidR="000F5F64" w:rsidRPr="005D6214" w14:paraId="6EADDBB8" w14:textId="77777777" w:rsidTr="003A7ED1">
        <w:tc>
          <w:tcPr>
            <w:tcW w:w="529" w:type="dxa"/>
            <w:shd w:val="clear" w:color="auto" w:fill="auto"/>
            <w:tcMar>
              <w:top w:w="0" w:type="dxa"/>
              <w:left w:w="108" w:type="dxa"/>
              <w:bottom w:w="0" w:type="dxa"/>
              <w:right w:w="108" w:type="dxa"/>
            </w:tcMar>
          </w:tcPr>
          <w:p w14:paraId="61E27A86" w14:textId="1ED30CB2" w:rsidR="000F5F64" w:rsidRDefault="000F5F64" w:rsidP="005363B3">
            <w:pPr>
              <w:pStyle w:val="NoSpacing"/>
              <w:rPr>
                <w:b/>
              </w:rPr>
            </w:pPr>
            <w:r>
              <w:rPr>
                <w:b/>
              </w:rPr>
              <w:t>5</w:t>
            </w:r>
          </w:p>
        </w:tc>
        <w:tc>
          <w:tcPr>
            <w:tcW w:w="8935" w:type="dxa"/>
            <w:shd w:val="clear" w:color="auto" w:fill="auto"/>
            <w:tcMar>
              <w:top w:w="0" w:type="dxa"/>
              <w:left w:w="108" w:type="dxa"/>
              <w:bottom w:w="0" w:type="dxa"/>
              <w:right w:w="108" w:type="dxa"/>
            </w:tcMar>
          </w:tcPr>
          <w:p w14:paraId="48530133" w14:textId="77777777" w:rsidR="000F5F64" w:rsidRDefault="000F5F64" w:rsidP="000F5F64">
            <w:pPr>
              <w:rPr>
                <w:rFonts w:ascii="Verdana" w:hAnsi="Verdana"/>
                <w:b/>
              </w:rPr>
            </w:pPr>
            <w:r>
              <w:rPr>
                <w:rFonts w:ascii="Verdana" w:hAnsi="Verdana"/>
                <w:b/>
              </w:rPr>
              <w:t>Risk Management Report</w:t>
            </w:r>
          </w:p>
          <w:p w14:paraId="0509B537" w14:textId="77777777" w:rsidR="000F5F64" w:rsidRDefault="000F5F64" w:rsidP="002D5B58">
            <w:pPr>
              <w:rPr>
                <w:rFonts w:ascii="Verdana" w:hAnsi="Verdana"/>
                <w:b/>
              </w:rPr>
            </w:pPr>
          </w:p>
          <w:p w14:paraId="593B27F5" w14:textId="2193442A" w:rsidR="000F5F64" w:rsidRDefault="000F5F64" w:rsidP="000F5F64">
            <w:pPr>
              <w:rPr>
                <w:rFonts w:ascii="Verdana" w:hAnsi="Verdana"/>
                <w:bCs/>
              </w:rPr>
            </w:pPr>
            <w:r>
              <w:rPr>
                <w:rFonts w:ascii="Verdana" w:hAnsi="Verdana"/>
                <w:bCs/>
              </w:rPr>
              <w:t>It was noted</w:t>
            </w:r>
            <w:r w:rsidRPr="00B57A06">
              <w:rPr>
                <w:rFonts w:ascii="Verdana" w:hAnsi="Verdana"/>
                <w:bCs/>
              </w:rPr>
              <w:t xml:space="preserve"> </w:t>
            </w:r>
            <w:r>
              <w:rPr>
                <w:rFonts w:ascii="Verdana" w:hAnsi="Verdana"/>
                <w:bCs/>
              </w:rPr>
              <w:t>that the Board level</w:t>
            </w:r>
            <w:r w:rsidRPr="00B57A06">
              <w:rPr>
                <w:rFonts w:ascii="Verdana" w:hAnsi="Verdana"/>
                <w:bCs/>
              </w:rPr>
              <w:t xml:space="preserve"> risk falling within the remit of the Committee</w:t>
            </w:r>
            <w:r>
              <w:rPr>
                <w:rFonts w:ascii="Verdana" w:hAnsi="Verdana"/>
                <w:bCs/>
              </w:rPr>
              <w:t xml:space="preserve"> is considered under Agendum 6 below</w:t>
            </w:r>
            <w:r w:rsidRPr="00B57A06">
              <w:rPr>
                <w:rFonts w:ascii="Verdana" w:hAnsi="Verdana"/>
                <w:bCs/>
              </w:rPr>
              <w:t>.</w:t>
            </w:r>
          </w:p>
          <w:p w14:paraId="4D78CDAD" w14:textId="77777777" w:rsidR="000F5F64" w:rsidRDefault="000F5F64" w:rsidP="000F5F64">
            <w:pPr>
              <w:rPr>
                <w:rFonts w:ascii="Verdana" w:hAnsi="Verdana"/>
                <w:bCs/>
              </w:rPr>
            </w:pPr>
          </w:p>
          <w:p w14:paraId="2E77405D" w14:textId="4A29C72C" w:rsidR="000F5F64" w:rsidRPr="00B57A06" w:rsidRDefault="000F5F64" w:rsidP="000F5F64">
            <w:pPr>
              <w:rPr>
                <w:rFonts w:ascii="Verdana" w:hAnsi="Verdana"/>
                <w:bCs/>
              </w:rPr>
            </w:pPr>
            <w:r>
              <w:rPr>
                <w:rFonts w:ascii="Verdana" w:hAnsi="Verdana"/>
                <w:bCs/>
              </w:rPr>
              <w:t>No other risks needing to be drawn to the attention of the Audit Committee were identified in the course of the meeting.</w:t>
            </w:r>
          </w:p>
          <w:p w14:paraId="488342FE" w14:textId="0FD2739C" w:rsidR="0063226F" w:rsidRDefault="0063226F" w:rsidP="002D5B58">
            <w:pPr>
              <w:rPr>
                <w:rFonts w:ascii="Verdana" w:hAnsi="Verdana"/>
                <w:b/>
              </w:rPr>
            </w:pPr>
          </w:p>
        </w:tc>
      </w:tr>
      <w:tr w:rsidR="00346D1D" w:rsidRPr="005D6214" w14:paraId="13E4C6D6" w14:textId="77777777" w:rsidTr="003A7ED1">
        <w:tc>
          <w:tcPr>
            <w:tcW w:w="529" w:type="dxa"/>
            <w:shd w:val="clear" w:color="auto" w:fill="auto"/>
            <w:tcMar>
              <w:top w:w="0" w:type="dxa"/>
              <w:left w:w="108" w:type="dxa"/>
              <w:bottom w:w="0" w:type="dxa"/>
              <w:right w:w="108" w:type="dxa"/>
            </w:tcMar>
          </w:tcPr>
          <w:p w14:paraId="2E41F514" w14:textId="503153F8" w:rsidR="00346D1D" w:rsidRDefault="000F5F64" w:rsidP="005363B3">
            <w:pPr>
              <w:pStyle w:val="NoSpacing"/>
              <w:rPr>
                <w:b/>
              </w:rPr>
            </w:pPr>
            <w:r>
              <w:rPr>
                <w:b/>
              </w:rPr>
              <w:t>6</w:t>
            </w:r>
          </w:p>
        </w:tc>
        <w:tc>
          <w:tcPr>
            <w:tcW w:w="8935" w:type="dxa"/>
            <w:shd w:val="clear" w:color="auto" w:fill="auto"/>
            <w:tcMar>
              <w:top w:w="0" w:type="dxa"/>
              <w:left w:w="108" w:type="dxa"/>
              <w:bottom w:w="0" w:type="dxa"/>
              <w:right w:w="108" w:type="dxa"/>
            </w:tcMar>
          </w:tcPr>
          <w:p w14:paraId="35FE88B1" w14:textId="77777777" w:rsidR="000D19EE" w:rsidRDefault="000D19EE" w:rsidP="000D19EE">
            <w:pPr>
              <w:rPr>
                <w:rFonts w:ascii="Verdana" w:hAnsi="Verdana"/>
                <w:b/>
              </w:rPr>
            </w:pPr>
            <w:r>
              <w:rPr>
                <w:rFonts w:ascii="Verdana" w:hAnsi="Verdana"/>
                <w:b/>
              </w:rPr>
              <w:t xml:space="preserve">Communications and Marketing, with Special Reference to Student Recruitment 2021-22 </w:t>
            </w:r>
          </w:p>
          <w:p w14:paraId="7BCE9247" w14:textId="77777777" w:rsidR="00346D1D" w:rsidRDefault="00346D1D" w:rsidP="00953ACF">
            <w:pPr>
              <w:rPr>
                <w:rFonts w:ascii="Verdana" w:hAnsi="Verdana"/>
                <w:b/>
              </w:rPr>
            </w:pPr>
          </w:p>
          <w:p w14:paraId="361E071B" w14:textId="59151E56" w:rsidR="00346D1D" w:rsidRDefault="00232C98" w:rsidP="00953ACF">
            <w:pPr>
              <w:rPr>
                <w:rFonts w:ascii="Verdana" w:hAnsi="Verdana"/>
              </w:rPr>
            </w:pPr>
            <w:r>
              <w:rPr>
                <w:rFonts w:ascii="Verdana" w:hAnsi="Verdana"/>
                <w:bCs/>
              </w:rPr>
              <w:t xml:space="preserve">A report prepared by the </w:t>
            </w:r>
            <w:r>
              <w:rPr>
                <w:rFonts w:ascii="Verdana" w:hAnsi="Verdana"/>
              </w:rPr>
              <w:t xml:space="preserve">Vice-Principal: </w:t>
            </w:r>
            <w:r w:rsidRPr="00FE7EDC">
              <w:rPr>
                <w:rFonts w:ascii="Verdana" w:hAnsi="Verdana"/>
              </w:rPr>
              <w:t>Student S</w:t>
            </w:r>
            <w:r>
              <w:rPr>
                <w:rFonts w:ascii="Verdana" w:hAnsi="Verdana"/>
              </w:rPr>
              <w:t>ervices and Recruitment</w:t>
            </w:r>
            <w:r w:rsidR="00D606E9">
              <w:rPr>
                <w:rFonts w:ascii="Verdana" w:hAnsi="Verdana"/>
              </w:rPr>
              <w:t>, together with an attendant schematic</w:t>
            </w:r>
            <w:r w:rsidR="00554208">
              <w:rPr>
                <w:rFonts w:ascii="Verdana" w:hAnsi="Verdana"/>
              </w:rPr>
              <w:t xml:space="preserve"> and a 2020-21 internal audit report on student recruitment (giving significant assurance)</w:t>
            </w:r>
            <w:r>
              <w:rPr>
                <w:rFonts w:ascii="Verdana" w:hAnsi="Verdana"/>
              </w:rPr>
              <w:t xml:space="preserve"> was received and considered.</w:t>
            </w:r>
          </w:p>
          <w:p w14:paraId="6A6B2CA4" w14:textId="2C9C740F" w:rsidR="00232C98" w:rsidRDefault="00232C98" w:rsidP="00953ACF">
            <w:pPr>
              <w:rPr>
                <w:rFonts w:ascii="Verdana" w:hAnsi="Verdana"/>
                <w:bCs/>
              </w:rPr>
            </w:pPr>
          </w:p>
          <w:p w14:paraId="3363BA09" w14:textId="653D6CF9" w:rsidR="002D5B58" w:rsidRPr="00346D1D" w:rsidRDefault="00232C98" w:rsidP="00232C98">
            <w:pPr>
              <w:rPr>
                <w:rFonts w:ascii="Verdana" w:hAnsi="Verdana"/>
                <w:bCs/>
              </w:rPr>
            </w:pPr>
            <w:r>
              <w:rPr>
                <w:rFonts w:ascii="Verdana" w:hAnsi="Verdana"/>
                <w:bCs/>
              </w:rPr>
              <w:t xml:space="preserve">It was </w:t>
            </w:r>
            <w:r w:rsidR="000D19EE">
              <w:rPr>
                <w:rFonts w:ascii="Verdana" w:hAnsi="Verdana"/>
                <w:bCs/>
              </w:rPr>
              <w:t>repor</w:t>
            </w:r>
            <w:r>
              <w:rPr>
                <w:rFonts w:ascii="Verdana" w:hAnsi="Verdana"/>
                <w:bCs/>
              </w:rPr>
              <w:t>ted that:</w:t>
            </w:r>
          </w:p>
        </w:tc>
      </w:tr>
    </w:tbl>
    <w:p w14:paraId="27450A0E" w14:textId="77777777" w:rsidR="000F5F64" w:rsidRDefault="000F5F6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346D1D" w:rsidRPr="002F412F" w14:paraId="013494D9" w14:textId="77777777" w:rsidTr="003A7ED1">
        <w:tc>
          <w:tcPr>
            <w:tcW w:w="534" w:type="dxa"/>
          </w:tcPr>
          <w:p w14:paraId="53229DB4" w14:textId="77777777" w:rsidR="00346D1D" w:rsidRPr="002F412F" w:rsidRDefault="00346D1D" w:rsidP="007A6234">
            <w:pPr>
              <w:rPr>
                <w:rFonts w:ascii="Verdana" w:hAnsi="Verdana"/>
                <w:color w:val="FF0000"/>
              </w:rPr>
            </w:pPr>
          </w:p>
        </w:tc>
        <w:tc>
          <w:tcPr>
            <w:tcW w:w="312" w:type="dxa"/>
          </w:tcPr>
          <w:p w14:paraId="7208D1F6" w14:textId="77777777" w:rsidR="00346D1D" w:rsidRPr="00495EDD" w:rsidRDefault="00346D1D" w:rsidP="007A6234">
            <w:pPr>
              <w:rPr>
                <w:rFonts w:ascii="Verdana" w:hAnsi="Verdana"/>
                <w:b/>
              </w:rPr>
            </w:pPr>
            <w:r w:rsidRPr="00495EDD">
              <w:rPr>
                <w:rFonts w:ascii="Verdana" w:hAnsi="Verdana"/>
                <w:b/>
              </w:rPr>
              <w:t>.</w:t>
            </w:r>
          </w:p>
        </w:tc>
        <w:tc>
          <w:tcPr>
            <w:tcW w:w="8618" w:type="dxa"/>
          </w:tcPr>
          <w:p w14:paraId="624E1F74" w14:textId="33F3CDA0" w:rsidR="00781AE3" w:rsidRDefault="00B304E6" w:rsidP="007A6234">
            <w:pPr>
              <w:pStyle w:val="NoSpacing"/>
            </w:pPr>
            <w:r>
              <w:t>t</w:t>
            </w:r>
            <w:r w:rsidR="000D19EE">
              <w:t>he College is slightly below the equivalent point in the level of applications by comparison with the previous year, but is slightly above the leve</w:t>
            </w:r>
            <w:r w:rsidR="00554208">
              <w:t>l</w:t>
            </w:r>
            <w:r w:rsidR="000D19EE">
              <w:t xml:space="preserve"> of offers;</w:t>
            </w:r>
          </w:p>
          <w:p w14:paraId="5CB75B40" w14:textId="36B1E940" w:rsidR="000D19EE" w:rsidRPr="00495EDD" w:rsidRDefault="000D19EE" w:rsidP="007A6234">
            <w:pPr>
              <w:pStyle w:val="NoSpacing"/>
            </w:pPr>
          </w:p>
        </w:tc>
      </w:tr>
      <w:tr w:rsidR="00346D1D" w:rsidRPr="007C2BF3" w14:paraId="1FDAF7E7" w14:textId="77777777" w:rsidTr="003A7ED1">
        <w:tc>
          <w:tcPr>
            <w:tcW w:w="534" w:type="dxa"/>
          </w:tcPr>
          <w:p w14:paraId="593F0034" w14:textId="77777777" w:rsidR="00346D1D" w:rsidRPr="002F412F" w:rsidRDefault="00346D1D" w:rsidP="007A6234">
            <w:pPr>
              <w:rPr>
                <w:rFonts w:ascii="Verdana" w:hAnsi="Verdana"/>
                <w:color w:val="FF0000"/>
              </w:rPr>
            </w:pPr>
          </w:p>
        </w:tc>
        <w:tc>
          <w:tcPr>
            <w:tcW w:w="312" w:type="dxa"/>
          </w:tcPr>
          <w:p w14:paraId="60F7ADA5" w14:textId="77777777" w:rsidR="00346D1D" w:rsidRPr="00495EDD" w:rsidRDefault="00346D1D" w:rsidP="007A6234">
            <w:pPr>
              <w:rPr>
                <w:rFonts w:ascii="Verdana" w:hAnsi="Verdana"/>
                <w:b/>
              </w:rPr>
            </w:pPr>
            <w:r w:rsidRPr="00495EDD">
              <w:rPr>
                <w:rFonts w:ascii="Verdana" w:hAnsi="Verdana"/>
                <w:b/>
              </w:rPr>
              <w:t>.</w:t>
            </w:r>
          </w:p>
        </w:tc>
        <w:tc>
          <w:tcPr>
            <w:tcW w:w="8618" w:type="dxa"/>
          </w:tcPr>
          <w:p w14:paraId="25046A85" w14:textId="77777777" w:rsidR="00232C98" w:rsidRDefault="000D19EE" w:rsidP="007A6234">
            <w:pPr>
              <w:pStyle w:val="NoSpacing"/>
            </w:pPr>
            <w:r>
              <w:t xml:space="preserve">a marginal increase, by comparison with the previous year, in the number of applications (+6%) and offers (+1%) is anticipated following initiatives launched in June; </w:t>
            </w:r>
          </w:p>
          <w:p w14:paraId="18CD87AF" w14:textId="11813614" w:rsidR="000D19EE" w:rsidRPr="00495EDD" w:rsidRDefault="000D19EE" w:rsidP="007A6234">
            <w:pPr>
              <w:pStyle w:val="NoSpacing"/>
            </w:pPr>
          </w:p>
        </w:tc>
      </w:tr>
      <w:tr w:rsidR="00781AE3" w:rsidRPr="007C2BF3" w14:paraId="6150A34D" w14:textId="77777777" w:rsidTr="003A7ED1">
        <w:tc>
          <w:tcPr>
            <w:tcW w:w="534" w:type="dxa"/>
          </w:tcPr>
          <w:p w14:paraId="286E0EC3" w14:textId="77777777" w:rsidR="00781AE3" w:rsidRPr="002F412F" w:rsidRDefault="00781AE3" w:rsidP="007A6234">
            <w:pPr>
              <w:rPr>
                <w:rFonts w:ascii="Verdana" w:hAnsi="Verdana"/>
                <w:color w:val="FF0000"/>
              </w:rPr>
            </w:pPr>
          </w:p>
        </w:tc>
        <w:tc>
          <w:tcPr>
            <w:tcW w:w="312" w:type="dxa"/>
          </w:tcPr>
          <w:p w14:paraId="21390949" w14:textId="6FA9C1BD" w:rsidR="00781AE3" w:rsidRPr="00495EDD" w:rsidRDefault="00781AE3" w:rsidP="007A6234">
            <w:pPr>
              <w:rPr>
                <w:rFonts w:ascii="Verdana" w:hAnsi="Verdana"/>
                <w:b/>
              </w:rPr>
            </w:pPr>
            <w:r w:rsidRPr="00495EDD">
              <w:rPr>
                <w:rFonts w:ascii="Verdana" w:hAnsi="Verdana"/>
                <w:b/>
              </w:rPr>
              <w:t>.</w:t>
            </w:r>
          </w:p>
        </w:tc>
        <w:tc>
          <w:tcPr>
            <w:tcW w:w="8618" w:type="dxa"/>
          </w:tcPr>
          <w:p w14:paraId="52A455D0" w14:textId="77777777" w:rsidR="00495EDD" w:rsidRDefault="000D19EE" w:rsidP="007A6234">
            <w:pPr>
              <w:pStyle w:val="NoSpacing"/>
            </w:pPr>
            <w:r>
              <w:t>the target of 1,820 College enrolments is expected to be met;</w:t>
            </w:r>
          </w:p>
          <w:p w14:paraId="24260313" w14:textId="4F1779B1" w:rsidR="000D19EE" w:rsidRPr="00495EDD" w:rsidRDefault="000D19EE" w:rsidP="007A6234">
            <w:pPr>
              <w:pStyle w:val="NoSpacing"/>
            </w:pPr>
          </w:p>
        </w:tc>
      </w:tr>
      <w:tr w:rsidR="00781AE3" w:rsidRPr="007C2BF3" w14:paraId="32E4E085" w14:textId="77777777" w:rsidTr="003A7ED1">
        <w:tc>
          <w:tcPr>
            <w:tcW w:w="534" w:type="dxa"/>
          </w:tcPr>
          <w:p w14:paraId="6D95B209" w14:textId="77777777" w:rsidR="00781AE3" w:rsidRPr="002F412F" w:rsidRDefault="00781AE3" w:rsidP="007A6234">
            <w:pPr>
              <w:rPr>
                <w:rFonts w:ascii="Verdana" w:hAnsi="Verdana"/>
                <w:color w:val="FF0000"/>
              </w:rPr>
            </w:pPr>
          </w:p>
        </w:tc>
        <w:tc>
          <w:tcPr>
            <w:tcW w:w="312" w:type="dxa"/>
          </w:tcPr>
          <w:p w14:paraId="22DC0725" w14:textId="5E7A5004" w:rsidR="00781AE3" w:rsidRPr="002F412F" w:rsidRDefault="00781AE3" w:rsidP="007A6234">
            <w:pPr>
              <w:rPr>
                <w:rFonts w:ascii="Verdana" w:hAnsi="Verdana"/>
                <w:b/>
              </w:rPr>
            </w:pPr>
            <w:r>
              <w:rPr>
                <w:rFonts w:ascii="Verdana" w:hAnsi="Verdana"/>
                <w:b/>
              </w:rPr>
              <w:t>.</w:t>
            </w:r>
          </w:p>
        </w:tc>
        <w:tc>
          <w:tcPr>
            <w:tcW w:w="8618" w:type="dxa"/>
          </w:tcPr>
          <w:p w14:paraId="5436DAD4" w14:textId="69451EA3" w:rsidR="008963A3" w:rsidRPr="00580054" w:rsidRDefault="00560D6F" w:rsidP="007A6234">
            <w:pPr>
              <w:pStyle w:val="NoSpacing"/>
              <w:rPr>
                <w:i/>
                <w:iCs/>
              </w:rPr>
            </w:pPr>
            <w:r>
              <w:t xml:space="preserve">most </w:t>
            </w:r>
            <w:r w:rsidR="00B304E6">
              <w:t xml:space="preserve">internal </w:t>
            </w:r>
            <w:r>
              <w:t>graduation decisions had been made, and a</w:t>
            </w:r>
            <w:r w:rsidR="000D19EE">
              <w:t xml:space="preserve"> graduation percentage for Level 3</w:t>
            </w:r>
            <w:r w:rsidR="008511C7">
              <w:t xml:space="preserve"> </w:t>
            </w:r>
            <w:proofErr w:type="spellStart"/>
            <w:r w:rsidR="008511C7">
              <w:t>Yr</w:t>
            </w:r>
            <w:proofErr w:type="spellEnd"/>
            <w:r w:rsidR="008511C7">
              <w:t xml:space="preserve"> 1 and A level Yr.1</w:t>
            </w:r>
            <w:r w:rsidR="000D19EE">
              <w:t xml:space="preserve"> (a measure of internal progression) of 89% is expected to be achieved, constitut</w:t>
            </w:r>
            <w:r w:rsidR="00B304E6">
              <w:t>ing</w:t>
            </w:r>
            <w:r w:rsidR="000D19EE">
              <w:t xml:space="preserve"> an improvement on the previous year;</w:t>
            </w:r>
            <w:r w:rsidR="00580054">
              <w:t xml:space="preserve"> </w:t>
            </w:r>
            <w:r w:rsidR="00580054">
              <w:rPr>
                <w:i/>
                <w:iCs/>
              </w:rPr>
              <w:t>and</w:t>
            </w:r>
          </w:p>
          <w:p w14:paraId="6E0AE44A" w14:textId="45471D2B" w:rsidR="000D19EE" w:rsidRPr="00495EDD" w:rsidRDefault="000D19EE" w:rsidP="007A6234">
            <w:pPr>
              <w:pStyle w:val="NoSpacing"/>
            </w:pPr>
          </w:p>
        </w:tc>
      </w:tr>
      <w:tr w:rsidR="00495EDD" w:rsidRPr="007C2BF3" w14:paraId="5BBBEB66" w14:textId="77777777" w:rsidTr="003A7ED1">
        <w:tc>
          <w:tcPr>
            <w:tcW w:w="534" w:type="dxa"/>
          </w:tcPr>
          <w:p w14:paraId="5407A0F4" w14:textId="77777777" w:rsidR="00495EDD" w:rsidRPr="002F412F" w:rsidRDefault="00495EDD" w:rsidP="007A6234">
            <w:pPr>
              <w:rPr>
                <w:rFonts w:ascii="Verdana" w:hAnsi="Verdana"/>
                <w:color w:val="FF0000"/>
              </w:rPr>
            </w:pPr>
          </w:p>
        </w:tc>
        <w:tc>
          <w:tcPr>
            <w:tcW w:w="312" w:type="dxa"/>
          </w:tcPr>
          <w:p w14:paraId="43B68875" w14:textId="10ABE95B" w:rsidR="00495EDD" w:rsidRDefault="00495EDD" w:rsidP="007A6234">
            <w:pPr>
              <w:rPr>
                <w:rFonts w:ascii="Verdana" w:hAnsi="Verdana"/>
                <w:b/>
              </w:rPr>
            </w:pPr>
            <w:r>
              <w:rPr>
                <w:rFonts w:ascii="Verdana" w:hAnsi="Verdana"/>
                <w:b/>
              </w:rPr>
              <w:t>.</w:t>
            </w:r>
          </w:p>
        </w:tc>
        <w:tc>
          <w:tcPr>
            <w:tcW w:w="8618" w:type="dxa"/>
          </w:tcPr>
          <w:p w14:paraId="4C9DC5D9" w14:textId="4C050C46" w:rsidR="00580054" w:rsidRPr="008573B4" w:rsidRDefault="00B304E6" w:rsidP="007A6234">
            <w:pPr>
              <w:pStyle w:val="NoSpacing"/>
            </w:pPr>
            <w:r>
              <w:t>as discussed at an earlier meeting</w:t>
            </w:r>
            <w:r w:rsidR="00580054">
              <w:t>, there had been lower in-year retention at Level 2, whose cohort underwent a more acute set of challenges as a result of Centre-Assessed Grades and loss of learning habits during the first lockdown – because similar challenges are anticipated in 2021-22, a plan has been developed that includes bespoke, and structured, Talent Lab</w:t>
            </w:r>
            <w:r w:rsidR="008D63E6">
              <w:t xml:space="preserve"> activities</w:t>
            </w:r>
            <w:r w:rsidR="00580054">
              <w:t xml:space="preserve"> for Level 2 students, greater skills building during induction and earlier targeting for support intervention.</w:t>
            </w:r>
          </w:p>
        </w:tc>
      </w:tr>
    </w:tbl>
    <w:p w14:paraId="4818C041" w14:textId="77777777" w:rsidR="009C081E" w:rsidRDefault="009C081E"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573B4" w:rsidRPr="00346D1D" w14:paraId="7CC1CA08" w14:textId="77777777" w:rsidTr="003A7ED1">
        <w:tc>
          <w:tcPr>
            <w:tcW w:w="529" w:type="dxa"/>
            <w:shd w:val="clear" w:color="auto" w:fill="auto"/>
            <w:tcMar>
              <w:top w:w="0" w:type="dxa"/>
              <w:left w:w="108" w:type="dxa"/>
              <w:bottom w:w="0" w:type="dxa"/>
              <w:right w:w="108" w:type="dxa"/>
            </w:tcMar>
          </w:tcPr>
          <w:p w14:paraId="4AD5CF9E" w14:textId="575A62CB" w:rsidR="008573B4" w:rsidRDefault="008573B4" w:rsidP="00FD3C9C">
            <w:pPr>
              <w:pStyle w:val="NoSpacing"/>
              <w:rPr>
                <w:b/>
              </w:rPr>
            </w:pPr>
          </w:p>
        </w:tc>
        <w:tc>
          <w:tcPr>
            <w:tcW w:w="8935" w:type="dxa"/>
            <w:shd w:val="clear" w:color="auto" w:fill="auto"/>
            <w:tcMar>
              <w:top w:w="0" w:type="dxa"/>
              <w:left w:w="108" w:type="dxa"/>
              <w:bottom w:w="0" w:type="dxa"/>
              <w:right w:w="108" w:type="dxa"/>
            </w:tcMar>
          </w:tcPr>
          <w:p w14:paraId="62575311" w14:textId="6DF724DF" w:rsidR="00554208" w:rsidRDefault="00554208" w:rsidP="00FD3C9C">
            <w:pPr>
              <w:rPr>
                <w:rFonts w:ascii="Verdana" w:hAnsi="Verdana"/>
                <w:bCs/>
              </w:rPr>
            </w:pPr>
            <w:r w:rsidRPr="00554208">
              <w:rPr>
                <w:rFonts w:ascii="Verdana" w:hAnsi="Verdana"/>
                <w:bCs/>
              </w:rPr>
              <w:t>An update on various marketing activities was noted.</w:t>
            </w:r>
          </w:p>
          <w:p w14:paraId="3D4E6630" w14:textId="03B31DED" w:rsidR="00560D6F" w:rsidRDefault="00560D6F" w:rsidP="00FD3C9C">
            <w:pPr>
              <w:rPr>
                <w:rFonts w:ascii="Verdana" w:hAnsi="Verdana"/>
                <w:bCs/>
              </w:rPr>
            </w:pPr>
          </w:p>
          <w:p w14:paraId="098FC273" w14:textId="01F0DD74" w:rsidR="00560D6F" w:rsidRDefault="00560D6F" w:rsidP="00FD3C9C">
            <w:pPr>
              <w:rPr>
                <w:rFonts w:ascii="Verdana" w:hAnsi="Verdana"/>
                <w:bCs/>
              </w:rPr>
            </w:pPr>
            <w:r>
              <w:rPr>
                <w:rFonts w:ascii="Verdana" w:hAnsi="Verdana"/>
                <w:bCs/>
              </w:rPr>
              <w:t xml:space="preserve">It was commented that a measure of uncertainty attends the projected enrolment numbers owing </w:t>
            </w:r>
            <w:r w:rsidR="008D63E6">
              <w:rPr>
                <w:rFonts w:ascii="Verdana" w:hAnsi="Verdana"/>
                <w:bCs/>
              </w:rPr>
              <w:t xml:space="preserve">to </w:t>
            </w:r>
            <w:r>
              <w:rPr>
                <w:rFonts w:ascii="Verdana" w:hAnsi="Verdana"/>
                <w:bCs/>
              </w:rPr>
              <w:t xml:space="preserve">a lower than normal rate of face-to-face interviews.  However, the opportunity, given the absence of external examinations, to enrol students early (103 to date, representing 10-15% of total enrolments) had afforded a measure of compensatory assurance, though the level of “walk-ins” remains speculative. </w:t>
            </w:r>
          </w:p>
          <w:p w14:paraId="3DD838E9" w14:textId="2B0C1897" w:rsidR="00560D6F" w:rsidRDefault="00560D6F" w:rsidP="00FD3C9C">
            <w:pPr>
              <w:rPr>
                <w:rFonts w:ascii="Verdana" w:hAnsi="Verdana"/>
                <w:bCs/>
              </w:rPr>
            </w:pPr>
          </w:p>
          <w:p w14:paraId="0A181973" w14:textId="1DC8E526" w:rsidR="00560D6F" w:rsidRDefault="00560D6F" w:rsidP="00FD3C9C">
            <w:pPr>
              <w:rPr>
                <w:rFonts w:ascii="Verdana" w:hAnsi="Verdana"/>
                <w:bCs/>
              </w:rPr>
            </w:pPr>
            <w:r>
              <w:rPr>
                <w:rFonts w:ascii="Verdana" w:hAnsi="Verdana"/>
                <w:bCs/>
              </w:rPr>
              <w:t>It was also observed that the College is the only local provider making firm early offers of places on specific courses to students</w:t>
            </w:r>
            <w:r w:rsidR="009C367A">
              <w:rPr>
                <w:rFonts w:ascii="Verdana" w:hAnsi="Verdana"/>
                <w:bCs/>
              </w:rPr>
              <w:t>.</w:t>
            </w:r>
          </w:p>
          <w:p w14:paraId="3F0BA99D" w14:textId="3D76B876" w:rsidR="009C367A" w:rsidRDefault="009C367A" w:rsidP="00FD3C9C">
            <w:pPr>
              <w:rPr>
                <w:rFonts w:ascii="Verdana" w:hAnsi="Verdana"/>
                <w:bCs/>
              </w:rPr>
            </w:pPr>
          </w:p>
          <w:p w14:paraId="0E8F6B33" w14:textId="0EFE4CAE" w:rsidR="009C367A" w:rsidRDefault="009C367A" w:rsidP="00FD3C9C">
            <w:pPr>
              <w:rPr>
                <w:rFonts w:ascii="Verdana" w:hAnsi="Verdana"/>
                <w:bCs/>
              </w:rPr>
            </w:pPr>
            <w:r>
              <w:rPr>
                <w:rFonts w:ascii="Verdana" w:hAnsi="Verdana"/>
                <w:bCs/>
              </w:rPr>
              <w:t>It was also commented that, in the absence of externally assessed grades, the use of diagnostic tests is valuable in ensuring that students are directed to the courses best suited to their abilities and potential.</w:t>
            </w:r>
          </w:p>
          <w:p w14:paraId="4CD0727F" w14:textId="73C55052" w:rsidR="009C367A" w:rsidRDefault="009C367A" w:rsidP="00FD3C9C">
            <w:pPr>
              <w:rPr>
                <w:rFonts w:ascii="Verdana" w:hAnsi="Verdana"/>
                <w:bCs/>
              </w:rPr>
            </w:pPr>
          </w:p>
          <w:p w14:paraId="73A73FFD" w14:textId="66046599" w:rsidR="009C367A" w:rsidRPr="00554208" w:rsidRDefault="009C367A" w:rsidP="00FD3C9C">
            <w:pPr>
              <w:rPr>
                <w:rFonts w:ascii="Verdana" w:hAnsi="Verdana"/>
                <w:bCs/>
              </w:rPr>
            </w:pPr>
            <w:r>
              <w:rPr>
                <w:rFonts w:ascii="Verdana" w:hAnsi="Verdana"/>
                <w:bCs/>
              </w:rPr>
              <w:t>It was noted that the Quality &amp; Performance Committee had kept Level 2 retention under review.  It was noted that particular difficulties had attended the entry cohort owing to the cancellation of external examinations and the incidence of school shutdowns in 2020, necessitating deployment of the full resources of improved teaching to keep the number of retained students to a maximum in the circumstances.  Similar considerations are expected to attend the 2021 entry</w:t>
            </w:r>
            <w:r w:rsidR="008D63E6">
              <w:rPr>
                <w:rFonts w:ascii="Verdana" w:hAnsi="Verdana"/>
                <w:bCs/>
              </w:rPr>
              <w:t xml:space="preserve"> for analogous reasons</w:t>
            </w:r>
            <w:r>
              <w:rPr>
                <w:rFonts w:ascii="Verdana" w:hAnsi="Verdana"/>
                <w:bCs/>
              </w:rPr>
              <w:t>.</w:t>
            </w:r>
          </w:p>
          <w:p w14:paraId="55F3D4DD" w14:textId="77777777" w:rsidR="00554208" w:rsidRPr="00554208" w:rsidRDefault="00554208" w:rsidP="00FD3C9C">
            <w:pPr>
              <w:rPr>
                <w:rFonts w:ascii="Verdana" w:hAnsi="Verdana"/>
                <w:bCs/>
              </w:rPr>
            </w:pPr>
          </w:p>
          <w:p w14:paraId="7B56149A" w14:textId="78B54E2F" w:rsidR="00554208" w:rsidRDefault="00554208" w:rsidP="00554208">
            <w:pPr>
              <w:rPr>
                <w:rFonts w:ascii="Verdana" w:hAnsi="Verdana"/>
              </w:rPr>
            </w:pPr>
            <w:r>
              <w:rPr>
                <w:rFonts w:ascii="Verdana" w:hAnsi="Verdana"/>
              </w:rPr>
              <w:t>It was further reported that d</w:t>
            </w:r>
            <w:r w:rsidRPr="00554208">
              <w:rPr>
                <w:rFonts w:ascii="Verdana" w:hAnsi="Verdana"/>
              </w:rPr>
              <w:t>uring a previous audit of Marketing, a recommendation</w:t>
            </w:r>
            <w:r>
              <w:rPr>
                <w:rFonts w:ascii="Verdana" w:hAnsi="Verdana"/>
              </w:rPr>
              <w:t xml:space="preserve"> had been made</w:t>
            </w:r>
            <w:r w:rsidRPr="00554208">
              <w:rPr>
                <w:rFonts w:ascii="Verdana" w:hAnsi="Verdana"/>
              </w:rPr>
              <w:t xml:space="preserve"> that a value for money assessment of </w:t>
            </w:r>
            <w:r w:rsidRPr="00554208">
              <w:rPr>
                <w:rFonts w:ascii="Verdana" w:hAnsi="Verdana"/>
              </w:rPr>
              <w:lastRenderedPageBreak/>
              <w:t xml:space="preserve">advertising </w:t>
            </w:r>
            <w:r>
              <w:rPr>
                <w:rFonts w:ascii="Verdana" w:hAnsi="Verdana"/>
              </w:rPr>
              <w:t>expenditure</w:t>
            </w:r>
            <w:r w:rsidRPr="00554208">
              <w:rPr>
                <w:rFonts w:ascii="Verdana" w:hAnsi="Verdana"/>
              </w:rPr>
              <w:t xml:space="preserve"> be brought </w:t>
            </w:r>
            <w:r>
              <w:rPr>
                <w:rFonts w:ascii="Verdana" w:hAnsi="Verdana"/>
              </w:rPr>
              <w:t xml:space="preserve">for consideration </w:t>
            </w:r>
            <w:r w:rsidRPr="00554208">
              <w:rPr>
                <w:rFonts w:ascii="Verdana" w:hAnsi="Verdana"/>
              </w:rPr>
              <w:t xml:space="preserve">to the External Relations </w:t>
            </w:r>
            <w:r>
              <w:rPr>
                <w:rFonts w:ascii="Verdana" w:hAnsi="Verdana"/>
              </w:rPr>
              <w:t>C</w:t>
            </w:r>
            <w:r w:rsidRPr="00554208">
              <w:rPr>
                <w:rFonts w:ascii="Verdana" w:hAnsi="Verdana"/>
              </w:rPr>
              <w:t xml:space="preserve">ommittee. </w:t>
            </w:r>
            <w:r>
              <w:rPr>
                <w:rFonts w:ascii="Verdana" w:hAnsi="Verdana"/>
              </w:rPr>
              <w:t xml:space="preserve"> </w:t>
            </w:r>
            <w:r w:rsidRPr="00554208">
              <w:rPr>
                <w:rFonts w:ascii="Verdana" w:hAnsi="Verdana"/>
              </w:rPr>
              <w:t>The impact of advertising can be challenging to measure</w:t>
            </w:r>
            <w:r>
              <w:rPr>
                <w:rFonts w:ascii="Verdana" w:hAnsi="Verdana"/>
              </w:rPr>
              <w:t xml:space="preserve">, </w:t>
            </w:r>
            <w:r w:rsidRPr="00554208">
              <w:rPr>
                <w:rFonts w:ascii="Verdana" w:hAnsi="Verdana"/>
              </w:rPr>
              <w:t xml:space="preserve">because applications, offers and enrolments </w:t>
            </w:r>
            <w:r>
              <w:rPr>
                <w:rFonts w:ascii="Verdana" w:hAnsi="Verdana"/>
              </w:rPr>
              <w:t>may</w:t>
            </w:r>
            <w:r w:rsidRPr="00554208">
              <w:rPr>
                <w:rFonts w:ascii="Verdana" w:hAnsi="Verdana"/>
              </w:rPr>
              <w:t xml:space="preserve"> be influenced by a number of factors including reputation, school liaison, and the quality of advice given in secondary schools. </w:t>
            </w:r>
            <w:r>
              <w:rPr>
                <w:rFonts w:ascii="Verdana" w:hAnsi="Verdana"/>
              </w:rPr>
              <w:t xml:space="preserve"> </w:t>
            </w:r>
            <w:r w:rsidRPr="00554208">
              <w:rPr>
                <w:rFonts w:ascii="Verdana" w:hAnsi="Verdana"/>
              </w:rPr>
              <w:t xml:space="preserve">Marketing campaigns also indirectly contribute to general brand awareness in the community, rather than direct website visits. However, two of the highest </w:t>
            </w:r>
            <w:r>
              <w:rPr>
                <w:rFonts w:ascii="Verdana" w:hAnsi="Verdana"/>
              </w:rPr>
              <w:t>expenditures</w:t>
            </w:r>
            <w:r w:rsidRPr="00554208">
              <w:rPr>
                <w:rFonts w:ascii="Verdana" w:hAnsi="Verdana"/>
              </w:rPr>
              <w:t xml:space="preserve"> on advertising in the marketing team ha</w:t>
            </w:r>
            <w:r>
              <w:rPr>
                <w:rFonts w:ascii="Verdana" w:hAnsi="Verdana"/>
              </w:rPr>
              <w:t>d</w:t>
            </w:r>
            <w:r w:rsidRPr="00554208">
              <w:rPr>
                <w:rFonts w:ascii="Verdana" w:hAnsi="Verdana"/>
              </w:rPr>
              <w:t xml:space="preserve"> been analysed in terms of direct response rates</w:t>
            </w:r>
            <w:r>
              <w:rPr>
                <w:rFonts w:ascii="Verdana" w:hAnsi="Verdana"/>
              </w:rPr>
              <w:t xml:space="preserve">, </w:t>
            </w:r>
            <w:r w:rsidRPr="00554208">
              <w:rPr>
                <w:rFonts w:ascii="Verdana" w:hAnsi="Verdana"/>
              </w:rPr>
              <w:t>giv</w:t>
            </w:r>
            <w:r>
              <w:rPr>
                <w:rFonts w:ascii="Verdana" w:hAnsi="Verdana"/>
              </w:rPr>
              <w:t>ing</w:t>
            </w:r>
            <w:r w:rsidRPr="00554208">
              <w:rPr>
                <w:rFonts w:ascii="Verdana" w:hAnsi="Verdana"/>
              </w:rPr>
              <w:t xml:space="preserve"> </w:t>
            </w:r>
            <w:r w:rsidR="008D63E6">
              <w:rPr>
                <w:rFonts w:ascii="Verdana" w:hAnsi="Verdana"/>
              </w:rPr>
              <w:t xml:space="preserve">a measure of </w:t>
            </w:r>
            <w:r w:rsidRPr="00554208">
              <w:rPr>
                <w:rFonts w:ascii="Verdana" w:hAnsi="Verdana"/>
              </w:rPr>
              <w:t xml:space="preserve">assurance that </w:t>
            </w:r>
            <w:r>
              <w:rPr>
                <w:rFonts w:ascii="Verdana" w:hAnsi="Verdana"/>
              </w:rPr>
              <w:t>marketing expenditure</w:t>
            </w:r>
            <w:r w:rsidRPr="00554208">
              <w:rPr>
                <w:rFonts w:ascii="Verdana" w:hAnsi="Verdana"/>
              </w:rPr>
              <w:t xml:space="preserve"> represent</w:t>
            </w:r>
            <w:r>
              <w:rPr>
                <w:rFonts w:ascii="Verdana" w:hAnsi="Verdana"/>
              </w:rPr>
              <w:t>s</w:t>
            </w:r>
            <w:r w:rsidRPr="00554208">
              <w:rPr>
                <w:rFonts w:ascii="Verdana" w:hAnsi="Verdana"/>
              </w:rPr>
              <w:t xml:space="preserve"> value for money.</w:t>
            </w:r>
          </w:p>
          <w:p w14:paraId="5B272F0D" w14:textId="0944FA3D" w:rsidR="00554208" w:rsidRDefault="00554208" w:rsidP="00554208">
            <w:pPr>
              <w:rPr>
                <w:rFonts w:ascii="Verdana" w:hAnsi="Verdana"/>
              </w:rPr>
            </w:pPr>
          </w:p>
          <w:p w14:paraId="3640BAF2" w14:textId="23357715" w:rsidR="00554208" w:rsidRDefault="00560D6F" w:rsidP="00554208">
            <w:pPr>
              <w:rPr>
                <w:rFonts w:ascii="Verdana" w:hAnsi="Verdana"/>
              </w:rPr>
            </w:pPr>
            <w:r>
              <w:rPr>
                <w:rFonts w:ascii="Verdana" w:hAnsi="Verdana"/>
              </w:rPr>
              <w:t>In response to a question from the Committee Chair as to what elements of the pandemic experience might be retained in future years, attention was focused on the value of early enrolments (where these are possible) and greater use of online interaction with students (as a preferred option to telephone contact).</w:t>
            </w:r>
          </w:p>
          <w:p w14:paraId="552616CD" w14:textId="13732E02" w:rsidR="009C367A" w:rsidRDefault="009C367A" w:rsidP="00554208">
            <w:pPr>
              <w:rPr>
                <w:rFonts w:ascii="Verdana" w:hAnsi="Verdana"/>
              </w:rPr>
            </w:pPr>
          </w:p>
          <w:p w14:paraId="01320C87" w14:textId="0E21FD7A" w:rsidR="006A592E" w:rsidRDefault="006A592E" w:rsidP="006A592E">
            <w:pPr>
              <w:rPr>
                <w:rFonts w:ascii="Verdana" w:hAnsi="Verdana"/>
                <w:bCs/>
              </w:rPr>
            </w:pPr>
            <w:r>
              <w:rPr>
                <w:rFonts w:ascii="Verdana" w:hAnsi="Verdana"/>
                <w:bCs/>
              </w:rPr>
              <w:t>The internal audit report on student recruitment and retention, which had given significant assurances for the activities reviewed, was received and noted.</w:t>
            </w:r>
          </w:p>
          <w:p w14:paraId="781740C6" w14:textId="77777777" w:rsidR="006A592E" w:rsidRDefault="006A592E" w:rsidP="006A592E">
            <w:pPr>
              <w:rPr>
                <w:rFonts w:ascii="Verdana" w:hAnsi="Verdana"/>
                <w:bCs/>
              </w:rPr>
            </w:pPr>
          </w:p>
          <w:p w14:paraId="44B8D0E0" w14:textId="78C56219" w:rsidR="006A592E" w:rsidRDefault="006A592E" w:rsidP="006A592E">
            <w:pPr>
              <w:rPr>
                <w:rFonts w:ascii="Verdana" w:hAnsi="Verdana"/>
                <w:bCs/>
              </w:rPr>
            </w:pPr>
            <w:r>
              <w:rPr>
                <w:rFonts w:ascii="Verdana" w:hAnsi="Verdana"/>
                <w:bCs/>
              </w:rPr>
              <w:t>In connection with the Report, it was proposed that students be asked in the next main iteration of the Student Survey to indicate what had made them choose the College as the place to study.</w:t>
            </w:r>
          </w:p>
          <w:p w14:paraId="475141E8" w14:textId="77777777" w:rsidR="006A592E" w:rsidRDefault="006A592E" w:rsidP="006A592E">
            <w:pPr>
              <w:rPr>
                <w:rFonts w:ascii="Verdana" w:hAnsi="Verdana"/>
              </w:rPr>
            </w:pPr>
          </w:p>
          <w:p w14:paraId="7C06EEB8" w14:textId="5B7CC230" w:rsidR="008573B4" w:rsidRDefault="009C367A" w:rsidP="00FD3C9C">
            <w:pPr>
              <w:rPr>
                <w:rFonts w:ascii="Verdana" w:hAnsi="Verdana"/>
              </w:rPr>
            </w:pPr>
            <w:r>
              <w:rPr>
                <w:rFonts w:ascii="Verdana" w:hAnsi="Verdana"/>
              </w:rPr>
              <w:t xml:space="preserve">The adeptness, flexibility and creativity of the communications and marketing team were </w:t>
            </w:r>
            <w:r w:rsidR="008D63E6">
              <w:rPr>
                <w:rFonts w:ascii="Verdana" w:hAnsi="Verdana"/>
              </w:rPr>
              <w:t>recognised for commendation</w:t>
            </w:r>
            <w:r>
              <w:rPr>
                <w:rFonts w:ascii="Verdana" w:hAnsi="Verdana"/>
              </w:rPr>
              <w:t xml:space="preserve"> by the Committee.</w:t>
            </w:r>
          </w:p>
          <w:p w14:paraId="4407DD4E" w14:textId="5DF0DACE" w:rsidR="009C367A" w:rsidRPr="009C367A" w:rsidRDefault="009C367A" w:rsidP="00FD3C9C">
            <w:pPr>
              <w:rPr>
                <w:rFonts w:ascii="Verdana" w:hAnsi="Verdana"/>
              </w:rPr>
            </w:pPr>
          </w:p>
        </w:tc>
      </w:tr>
      <w:tr w:rsidR="009C367A" w:rsidRPr="00346D1D" w14:paraId="7F89A0F5" w14:textId="77777777" w:rsidTr="003A7ED1">
        <w:tc>
          <w:tcPr>
            <w:tcW w:w="529" w:type="dxa"/>
            <w:shd w:val="clear" w:color="auto" w:fill="auto"/>
            <w:tcMar>
              <w:top w:w="0" w:type="dxa"/>
              <w:left w:w="108" w:type="dxa"/>
              <w:bottom w:w="0" w:type="dxa"/>
              <w:right w:w="108" w:type="dxa"/>
            </w:tcMar>
          </w:tcPr>
          <w:p w14:paraId="2047F328" w14:textId="290AECFB" w:rsidR="009C367A" w:rsidRDefault="009C367A" w:rsidP="009C367A">
            <w:pPr>
              <w:pStyle w:val="NoSpacing"/>
              <w:rPr>
                <w:b/>
              </w:rPr>
            </w:pPr>
            <w:r>
              <w:rPr>
                <w:b/>
              </w:rPr>
              <w:lastRenderedPageBreak/>
              <w:t>7</w:t>
            </w:r>
          </w:p>
        </w:tc>
        <w:tc>
          <w:tcPr>
            <w:tcW w:w="8935" w:type="dxa"/>
            <w:shd w:val="clear" w:color="auto" w:fill="auto"/>
            <w:tcMar>
              <w:top w:w="0" w:type="dxa"/>
              <w:left w:w="108" w:type="dxa"/>
              <w:bottom w:w="0" w:type="dxa"/>
              <w:right w:w="108" w:type="dxa"/>
            </w:tcMar>
          </w:tcPr>
          <w:p w14:paraId="23321CC5" w14:textId="77777777" w:rsidR="009C367A" w:rsidRDefault="009C367A" w:rsidP="009C367A">
            <w:pPr>
              <w:rPr>
                <w:rFonts w:ascii="Verdana" w:hAnsi="Verdana"/>
                <w:b/>
              </w:rPr>
            </w:pPr>
            <w:r>
              <w:rPr>
                <w:rFonts w:ascii="Verdana" w:hAnsi="Verdana"/>
                <w:b/>
              </w:rPr>
              <w:t>Work Experience, with Special Reference to the Effects of the Public Health Emergency</w:t>
            </w:r>
          </w:p>
          <w:p w14:paraId="54868543" w14:textId="77777777" w:rsidR="009C367A" w:rsidRDefault="009C367A" w:rsidP="009C367A">
            <w:pPr>
              <w:rPr>
                <w:rFonts w:ascii="Verdana" w:hAnsi="Verdana"/>
                <w:b/>
              </w:rPr>
            </w:pPr>
          </w:p>
          <w:p w14:paraId="47B3310F" w14:textId="77777777" w:rsidR="009C367A" w:rsidRDefault="009C367A" w:rsidP="009C367A">
            <w:pPr>
              <w:rPr>
                <w:rFonts w:ascii="Verdana" w:hAnsi="Verdana"/>
              </w:rPr>
            </w:pPr>
            <w:r w:rsidRPr="00D606E9">
              <w:rPr>
                <w:rFonts w:ascii="Verdana" w:hAnsi="Verdana"/>
                <w:bCs/>
              </w:rPr>
              <w:t>A report</w:t>
            </w:r>
            <w:r>
              <w:rPr>
                <w:rFonts w:ascii="Verdana" w:hAnsi="Verdana"/>
                <w:bCs/>
              </w:rPr>
              <w:t xml:space="preserve"> summarising work experienced in the 2020-21 academic year.</w:t>
            </w:r>
            <w:r w:rsidRPr="00D606E9">
              <w:rPr>
                <w:rFonts w:ascii="Verdana" w:hAnsi="Verdana"/>
                <w:bCs/>
              </w:rPr>
              <w:t xml:space="preserve"> prepared by the </w:t>
            </w:r>
            <w:r w:rsidRPr="00D606E9">
              <w:rPr>
                <w:rFonts w:ascii="Verdana" w:hAnsi="Verdana"/>
              </w:rPr>
              <w:t>Vice-Principal: Student Services and Recruitment</w:t>
            </w:r>
            <w:r>
              <w:rPr>
                <w:rFonts w:ascii="Verdana" w:hAnsi="Verdana"/>
              </w:rPr>
              <w:t>,</w:t>
            </w:r>
            <w:r w:rsidRPr="00D606E9">
              <w:rPr>
                <w:rFonts w:ascii="Verdana" w:hAnsi="Verdana"/>
              </w:rPr>
              <w:t xml:space="preserve"> was received and considered.</w:t>
            </w:r>
          </w:p>
          <w:p w14:paraId="406DDE7F" w14:textId="77777777" w:rsidR="009C367A" w:rsidRDefault="009C367A" w:rsidP="009C367A">
            <w:pPr>
              <w:rPr>
                <w:rFonts w:ascii="Verdana" w:hAnsi="Verdana"/>
              </w:rPr>
            </w:pPr>
          </w:p>
          <w:p w14:paraId="51FD8401" w14:textId="77777777" w:rsidR="009C367A" w:rsidRPr="00D606E9" w:rsidRDefault="009C367A" w:rsidP="009C367A">
            <w:pPr>
              <w:rPr>
                <w:rFonts w:ascii="Verdana" w:hAnsi="Verdana"/>
              </w:rPr>
            </w:pPr>
            <w:r>
              <w:rPr>
                <w:rFonts w:ascii="Verdana" w:hAnsi="Verdana"/>
              </w:rPr>
              <w:t>The definitions of Work Experience Placements (</w:t>
            </w:r>
            <w:proofErr w:type="spellStart"/>
            <w:r>
              <w:rPr>
                <w:rFonts w:ascii="Verdana" w:hAnsi="Verdana"/>
              </w:rPr>
              <w:t>WEXPlacements</w:t>
            </w:r>
            <w:proofErr w:type="spellEnd"/>
            <w:r>
              <w:rPr>
                <w:rFonts w:ascii="Verdana" w:hAnsi="Verdana"/>
              </w:rPr>
              <w:t>), Industry Placements, Work Experience Projects (</w:t>
            </w:r>
            <w:proofErr w:type="spellStart"/>
            <w:r>
              <w:rPr>
                <w:rFonts w:ascii="Verdana" w:hAnsi="Verdana"/>
              </w:rPr>
              <w:t>WEXProjects</w:t>
            </w:r>
            <w:proofErr w:type="spellEnd"/>
            <w:r>
              <w:rPr>
                <w:rFonts w:ascii="Verdana" w:hAnsi="Verdana"/>
              </w:rPr>
              <w:t>), and Talks &amp; Workshops were noted, and the College’s expectations for the year in each regard.</w:t>
            </w:r>
          </w:p>
          <w:p w14:paraId="05BDFA5A" w14:textId="77777777" w:rsidR="009C367A" w:rsidRPr="00D606E9" w:rsidRDefault="009C367A" w:rsidP="009C367A">
            <w:pPr>
              <w:rPr>
                <w:rFonts w:ascii="Verdana" w:hAnsi="Verdana"/>
                <w:bCs/>
              </w:rPr>
            </w:pPr>
          </w:p>
          <w:p w14:paraId="0348163C" w14:textId="6439F5F5" w:rsidR="009C367A" w:rsidRPr="00554208" w:rsidRDefault="009C367A" w:rsidP="009C367A">
            <w:pPr>
              <w:rPr>
                <w:rFonts w:ascii="Verdana" w:hAnsi="Verdana"/>
                <w:bCs/>
              </w:rPr>
            </w:pPr>
            <w:r>
              <w:rPr>
                <w:rFonts w:ascii="Verdana" w:hAnsi="Verdana"/>
              </w:rPr>
              <w:t xml:space="preserve">With regard to </w:t>
            </w:r>
            <w:proofErr w:type="spellStart"/>
            <w:r>
              <w:rPr>
                <w:rFonts w:ascii="Verdana" w:hAnsi="Verdana"/>
              </w:rPr>
              <w:t>WEXPlacements</w:t>
            </w:r>
            <w:proofErr w:type="spellEnd"/>
            <w:r>
              <w:rPr>
                <w:rFonts w:ascii="Verdana" w:hAnsi="Verdana"/>
              </w:rPr>
              <w:t>, i</w:t>
            </w:r>
            <w:r w:rsidRPr="00D606E9">
              <w:rPr>
                <w:rFonts w:ascii="Verdana" w:hAnsi="Verdana"/>
              </w:rPr>
              <w:t>t was reported that</w:t>
            </w:r>
            <w:r>
              <w:rPr>
                <w:rFonts w:ascii="Verdana" w:hAnsi="Verdana"/>
              </w:rPr>
              <w:t xml:space="preserve">, owing to the incidence of a second national lockdown in January 2021, in addition to a necessary concentration on </w:t>
            </w:r>
            <w:proofErr w:type="spellStart"/>
            <w:r>
              <w:rPr>
                <w:rFonts w:ascii="Verdana" w:hAnsi="Verdana"/>
              </w:rPr>
              <w:t>WEXProjects</w:t>
            </w:r>
            <w:proofErr w:type="spellEnd"/>
            <w:r>
              <w:rPr>
                <w:rFonts w:ascii="Verdana" w:hAnsi="Verdana"/>
              </w:rPr>
              <w:t xml:space="preserve"> and Talks/Workshops, the College had responded with two initiatives to ensure that students were not overly disadvantaged, namely:</w:t>
            </w:r>
          </w:p>
        </w:tc>
      </w:tr>
    </w:tbl>
    <w:p w14:paraId="4842E85A" w14:textId="49D8AC8C" w:rsidR="000F5F64" w:rsidRDefault="000F5F6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1E7277" w:rsidRPr="001E7277" w14:paraId="40C1B2D7" w14:textId="77777777" w:rsidTr="003A7ED1">
        <w:tc>
          <w:tcPr>
            <w:tcW w:w="534" w:type="dxa"/>
          </w:tcPr>
          <w:p w14:paraId="4DE43124" w14:textId="77777777" w:rsidR="00D606E9" w:rsidRPr="001E7277" w:rsidRDefault="00D606E9" w:rsidP="00242FEC">
            <w:pPr>
              <w:rPr>
                <w:rFonts w:ascii="Verdana" w:hAnsi="Verdana"/>
              </w:rPr>
            </w:pPr>
          </w:p>
        </w:tc>
        <w:tc>
          <w:tcPr>
            <w:tcW w:w="312" w:type="dxa"/>
          </w:tcPr>
          <w:p w14:paraId="463E0D44" w14:textId="77777777" w:rsidR="00D606E9" w:rsidRPr="001E7277" w:rsidRDefault="00D606E9" w:rsidP="00242FEC">
            <w:pPr>
              <w:rPr>
                <w:rFonts w:ascii="Verdana" w:hAnsi="Verdana"/>
                <w:b/>
              </w:rPr>
            </w:pPr>
            <w:r w:rsidRPr="001E7277">
              <w:rPr>
                <w:rFonts w:ascii="Verdana" w:hAnsi="Verdana"/>
                <w:b/>
              </w:rPr>
              <w:t>.</w:t>
            </w:r>
          </w:p>
        </w:tc>
        <w:tc>
          <w:tcPr>
            <w:tcW w:w="8618" w:type="dxa"/>
          </w:tcPr>
          <w:p w14:paraId="7EE6893C" w14:textId="4032C7C9" w:rsidR="0098332A" w:rsidRPr="0098332A" w:rsidRDefault="001E7277" w:rsidP="0098332A">
            <w:pPr>
              <w:pStyle w:val="NoSpacing"/>
              <w:rPr>
                <w:i/>
                <w:iCs/>
              </w:rPr>
            </w:pPr>
            <w:r>
              <w:t>t</w:t>
            </w:r>
            <w:r w:rsidRPr="001E7277">
              <w:t>he “E</w:t>
            </w:r>
            <w:r>
              <w:t>m</w:t>
            </w:r>
            <w:r w:rsidRPr="001E7277">
              <w:t>ployability Passport”</w:t>
            </w:r>
            <w:r w:rsidR="0098332A">
              <w:t xml:space="preserve"> – designed initially to replace </w:t>
            </w:r>
            <w:proofErr w:type="spellStart"/>
            <w:r w:rsidR="0098332A">
              <w:t>WEXPlacements</w:t>
            </w:r>
            <w:proofErr w:type="spellEnd"/>
            <w:r w:rsidR="0098332A">
              <w:t xml:space="preserve">, it provides a preparatory module for students to complete prior to a placement, or will serve its original purpose in the event of further restrictions; </w:t>
            </w:r>
            <w:r w:rsidR="0098332A" w:rsidRPr="0098332A">
              <w:rPr>
                <w:i/>
                <w:iCs/>
              </w:rPr>
              <w:t>and</w:t>
            </w:r>
          </w:p>
          <w:p w14:paraId="07A0D96C" w14:textId="719BBE75" w:rsidR="0098332A" w:rsidRPr="001E7277" w:rsidRDefault="0098332A" w:rsidP="0098332A">
            <w:pPr>
              <w:pStyle w:val="NoSpacing"/>
            </w:pPr>
          </w:p>
        </w:tc>
      </w:tr>
      <w:tr w:rsidR="001E7277" w:rsidRPr="001E7277" w14:paraId="4559B394" w14:textId="77777777" w:rsidTr="003A7ED1">
        <w:tc>
          <w:tcPr>
            <w:tcW w:w="534" w:type="dxa"/>
          </w:tcPr>
          <w:p w14:paraId="61F6BB32" w14:textId="77777777" w:rsidR="00D606E9" w:rsidRPr="001E7277" w:rsidRDefault="00D606E9" w:rsidP="00242FEC">
            <w:pPr>
              <w:rPr>
                <w:rFonts w:ascii="Verdana" w:hAnsi="Verdana"/>
              </w:rPr>
            </w:pPr>
          </w:p>
        </w:tc>
        <w:tc>
          <w:tcPr>
            <w:tcW w:w="312" w:type="dxa"/>
          </w:tcPr>
          <w:p w14:paraId="517845E1" w14:textId="77777777" w:rsidR="00D606E9" w:rsidRPr="001E7277" w:rsidRDefault="00D606E9" w:rsidP="00242FEC">
            <w:pPr>
              <w:rPr>
                <w:rFonts w:ascii="Verdana" w:hAnsi="Verdana"/>
                <w:b/>
              </w:rPr>
            </w:pPr>
            <w:r w:rsidRPr="001E7277">
              <w:rPr>
                <w:rFonts w:ascii="Verdana" w:hAnsi="Verdana"/>
                <w:b/>
              </w:rPr>
              <w:t>.</w:t>
            </w:r>
          </w:p>
        </w:tc>
        <w:tc>
          <w:tcPr>
            <w:tcW w:w="8618" w:type="dxa"/>
          </w:tcPr>
          <w:p w14:paraId="224ED54D" w14:textId="677D8767" w:rsidR="00091C4E" w:rsidRPr="001E7277" w:rsidRDefault="0098332A" w:rsidP="00242FEC">
            <w:pPr>
              <w:pStyle w:val="NoSpacing"/>
            </w:pPr>
            <w:r>
              <w:t>scanning by the Careers and Employability Team for national and local opportunities for students to gain work experience online,</w:t>
            </w:r>
            <w:r w:rsidRPr="0098332A">
              <w:t xml:space="preserve"> which service </w:t>
            </w:r>
            <w:r w:rsidRPr="0098332A">
              <w:lastRenderedPageBreak/>
              <w:t xml:space="preserve">will be retained in 2021-22, </w:t>
            </w:r>
            <w:r>
              <w:t>irrespective of whether</w:t>
            </w:r>
            <w:r w:rsidRPr="0098332A">
              <w:t xml:space="preserve"> </w:t>
            </w:r>
            <w:r>
              <w:t xml:space="preserve">on-site </w:t>
            </w:r>
            <w:r w:rsidRPr="0098332A">
              <w:t>placements resume</w:t>
            </w:r>
            <w:r>
              <w:t>.</w:t>
            </w:r>
          </w:p>
        </w:tc>
      </w:tr>
    </w:tbl>
    <w:p w14:paraId="6F338011" w14:textId="77777777" w:rsidR="009C081E" w:rsidRPr="001E7277" w:rsidRDefault="009C081E" w:rsidP="00626F4B"/>
    <w:tbl>
      <w:tblPr>
        <w:tblW w:w="9464" w:type="dxa"/>
        <w:tblCellMar>
          <w:left w:w="10" w:type="dxa"/>
          <w:right w:w="10" w:type="dxa"/>
        </w:tblCellMar>
        <w:tblLook w:val="0000" w:firstRow="0" w:lastRow="0" w:firstColumn="0" w:lastColumn="0" w:noHBand="0" w:noVBand="0"/>
      </w:tblPr>
      <w:tblGrid>
        <w:gridCol w:w="529"/>
        <w:gridCol w:w="8935"/>
      </w:tblGrid>
      <w:tr w:rsidR="00E46694" w:rsidRPr="000400AD" w14:paraId="1745F8AC" w14:textId="77777777" w:rsidTr="003A7ED1">
        <w:tc>
          <w:tcPr>
            <w:tcW w:w="529" w:type="dxa"/>
            <w:shd w:val="clear" w:color="auto" w:fill="auto"/>
            <w:tcMar>
              <w:top w:w="0" w:type="dxa"/>
              <w:left w:w="108" w:type="dxa"/>
              <w:bottom w:w="0" w:type="dxa"/>
              <w:right w:w="108" w:type="dxa"/>
            </w:tcMar>
          </w:tcPr>
          <w:p w14:paraId="77217BA4" w14:textId="77777777" w:rsidR="00E46694" w:rsidRPr="000400AD" w:rsidRDefault="00E46694" w:rsidP="00242FEC">
            <w:pPr>
              <w:pStyle w:val="NoSpacing"/>
              <w:rPr>
                <w:b/>
              </w:rPr>
            </w:pPr>
          </w:p>
        </w:tc>
        <w:tc>
          <w:tcPr>
            <w:tcW w:w="8935" w:type="dxa"/>
            <w:shd w:val="clear" w:color="auto" w:fill="auto"/>
            <w:tcMar>
              <w:top w:w="0" w:type="dxa"/>
              <w:left w:w="108" w:type="dxa"/>
              <w:bottom w:w="0" w:type="dxa"/>
              <w:right w:w="108" w:type="dxa"/>
            </w:tcMar>
          </w:tcPr>
          <w:p w14:paraId="0A1DE780" w14:textId="1A8E76B1" w:rsidR="00984752" w:rsidRDefault="0098332A" w:rsidP="00E46694">
            <w:pPr>
              <w:rPr>
                <w:rFonts w:ascii="Verdana" w:hAnsi="Verdana"/>
                <w:bCs/>
              </w:rPr>
            </w:pPr>
            <w:r>
              <w:rPr>
                <w:rFonts w:ascii="Verdana" w:hAnsi="Verdana"/>
                <w:bCs/>
              </w:rPr>
              <w:t xml:space="preserve">Members noted the impact of the public health emergency on </w:t>
            </w:r>
            <w:proofErr w:type="spellStart"/>
            <w:r>
              <w:rPr>
                <w:rFonts w:ascii="Verdana" w:hAnsi="Verdana"/>
                <w:bCs/>
              </w:rPr>
              <w:t>WEXPlacement</w:t>
            </w:r>
            <w:proofErr w:type="spellEnd"/>
            <w:r>
              <w:rPr>
                <w:rFonts w:ascii="Verdana" w:hAnsi="Verdana"/>
                <w:bCs/>
              </w:rPr>
              <w:t xml:space="preserve"> data and the achievement of the relevant College target, and that it wi</w:t>
            </w:r>
            <w:r w:rsidR="003258B8">
              <w:rPr>
                <w:rFonts w:ascii="Verdana" w:hAnsi="Verdana"/>
                <w:bCs/>
              </w:rPr>
              <w:t>l</w:t>
            </w:r>
            <w:r>
              <w:rPr>
                <w:rFonts w:ascii="Verdana" w:hAnsi="Verdana"/>
                <w:bCs/>
              </w:rPr>
              <w:t xml:space="preserve">l have a lagged effect </w:t>
            </w:r>
            <w:r w:rsidR="008D63E6">
              <w:rPr>
                <w:rFonts w:ascii="Verdana" w:hAnsi="Verdana"/>
                <w:bCs/>
              </w:rPr>
              <w:t>i</w:t>
            </w:r>
            <w:r>
              <w:rPr>
                <w:rFonts w:ascii="Verdana" w:hAnsi="Verdana"/>
                <w:bCs/>
              </w:rPr>
              <w:t>n 2021-22</w:t>
            </w:r>
            <w:r w:rsidR="003258B8">
              <w:rPr>
                <w:rFonts w:ascii="Verdana" w:hAnsi="Verdana"/>
                <w:bCs/>
              </w:rPr>
              <w:t>, even if national restrictions are not imposed.  Notwithstanding the above, the College is reported to have systems and processes in place to deliver 400-600 placements in 2021-22 if the public health circumstances are favourable, and employer confidence returns.</w:t>
            </w:r>
          </w:p>
          <w:p w14:paraId="0D6C38EE" w14:textId="77777777" w:rsidR="003258B8" w:rsidRDefault="003258B8" w:rsidP="00E46694">
            <w:pPr>
              <w:rPr>
                <w:rFonts w:ascii="Verdana" w:hAnsi="Verdana"/>
                <w:bCs/>
              </w:rPr>
            </w:pPr>
          </w:p>
          <w:p w14:paraId="454FD771" w14:textId="6FFF5E51" w:rsidR="003258B8" w:rsidRDefault="003258B8" w:rsidP="00E46694">
            <w:pPr>
              <w:rPr>
                <w:rFonts w:ascii="Verdana" w:hAnsi="Verdana"/>
                <w:bCs/>
              </w:rPr>
            </w:pPr>
            <w:r>
              <w:rPr>
                <w:rFonts w:ascii="Verdana" w:hAnsi="Verdana"/>
                <w:bCs/>
              </w:rPr>
              <w:t>It was reported that, owing to the public health emergency, the College had been unable to meet its target for Industry Placements.  It was also reported that the College is prioritising groups for block bookings that are m</w:t>
            </w:r>
            <w:r w:rsidR="008D63E6">
              <w:rPr>
                <w:rFonts w:ascii="Verdana" w:hAnsi="Verdana"/>
                <w:bCs/>
              </w:rPr>
              <w:t>o</w:t>
            </w:r>
            <w:r>
              <w:rPr>
                <w:rFonts w:ascii="Verdana" w:hAnsi="Verdana"/>
                <w:bCs/>
              </w:rPr>
              <w:t>st likely to be in the vanguard of future T level delivery.  A brokerage agency ha</w:t>
            </w:r>
            <w:r w:rsidR="008D63E6">
              <w:rPr>
                <w:rFonts w:ascii="Verdana" w:hAnsi="Verdana"/>
                <w:bCs/>
              </w:rPr>
              <w:t>d</w:t>
            </w:r>
            <w:r>
              <w:rPr>
                <w:rFonts w:ascii="Verdana" w:hAnsi="Verdana"/>
                <w:bCs/>
              </w:rPr>
              <w:t xml:space="preserve"> been commissioned to aid the College’s efforts in this regard.</w:t>
            </w:r>
          </w:p>
          <w:p w14:paraId="25A8A42F" w14:textId="77777777" w:rsidR="003258B8" w:rsidRDefault="003258B8" w:rsidP="00E46694">
            <w:pPr>
              <w:rPr>
                <w:rFonts w:ascii="Verdana" w:hAnsi="Verdana"/>
                <w:bCs/>
              </w:rPr>
            </w:pPr>
          </w:p>
          <w:p w14:paraId="3E60811D" w14:textId="3A503D7A" w:rsidR="003258B8" w:rsidRPr="000400AD" w:rsidRDefault="003258B8" w:rsidP="00E46694">
            <w:pPr>
              <w:rPr>
                <w:rFonts w:ascii="Verdana" w:hAnsi="Verdana"/>
                <w:bCs/>
              </w:rPr>
            </w:pPr>
            <w:r>
              <w:rPr>
                <w:rFonts w:ascii="Verdana" w:hAnsi="Verdana"/>
                <w:bCs/>
              </w:rPr>
              <w:t xml:space="preserve">It was reported that approximately the same number of </w:t>
            </w:r>
            <w:proofErr w:type="spellStart"/>
            <w:r>
              <w:rPr>
                <w:rFonts w:ascii="Verdana" w:hAnsi="Verdana"/>
                <w:bCs/>
              </w:rPr>
              <w:t>WEXProjects</w:t>
            </w:r>
            <w:proofErr w:type="spellEnd"/>
            <w:r>
              <w:rPr>
                <w:rFonts w:ascii="Verdana" w:hAnsi="Verdana"/>
                <w:bCs/>
              </w:rPr>
              <w:t xml:space="preserve"> had been delivered as in the previous year, with the outcomes of the standardisation exercise attending this activity due for report to the Committee at its next meeting.  However, the final outturn for the activity will fail to meet the relevant target for the following reasons</w:t>
            </w:r>
            <w:r w:rsidR="009F0973">
              <w:rPr>
                <w:rFonts w:ascii="Verdana" w:hAnsi="Verdana"/>
                <w:bCs/>
              </w:rPr>
              <w:t>, namely that</w:t>
            </w:r>
            <w:r>
              <w:rPr>
                <w:rFonts w:ascii="Verdana" w:hAnsi="Verdana"/>
                <w:bCs/>
              </w:rPr>
              <w:t>:</w:t>
            </w:r>
          </w:p>
        </w:tc>
      </w:tr>
    </w:tbl>
    <w:p w14:paraId="4F405F6E" w14:textId="57F6EE36" w:rsidR="00B44384" w:rsidRDefault="00B4438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3258B8" w:rsidRPr="001E7277" w14:paraId="1F48F216" w14:textId="77777777" w:rsidTr="003A7ED1">
        <w:tc>
          <w:tcPr>
            <w:tcW w:w="534" w:type="dxa"/>
          </w:tcPr>
          <w:p w14:paraId="0410277A" w14:textId="77777777" w:rsidR="003258B8" w:rsidRPr="001E7277" w:rsidRDefault="003258B8" w:rsidP="001813F6">
            <w:pPr>
              <w:rPr>
                <w:rFonts w:ascii="Verdana" w:hAnsi="Verdana"/>
              </w:rPr>
            </w:pPr>
          </w:p>
        </w:tc>
        <w:tc>
          <w:tcPr>
            <w:tcW w:w="312" w:type="dxa"/>
          </w:tcPr>
          <w:p w14:paraId="7AC71CAD" w14:textId="77777777" w:rsidR="003258B8" w:rsidRPr="001E7277" w:rsidRDefault="003258B8" w:rsidP="001813F6">
            <w:pPr>
              <w:rPr>
                <w:rFonts w:ascii="Verdana" w:hAnsi="Verdana"/>
                <w:b/>
              </w:rPr>
            </w:pPr>
            <w:r w:rsidRPr="001E7277">
              <w:rPr>
                <w:rFonts w:ascii="Verdana" w:hAnsi="Verdana"/>
                <w:b/>
              </w:rPr>
              <w:t>.</w:t>
            </w:r>
          </w:p>
        </w:tc>
        <w:tc>
          <w:tcPr>
            <w:tcW w:w="8618" w:type="dxa"/>
          </w:tcPr>
          <w:p w14:paraId="32CCEC60" w14:textId="76CDD78E" w:rsidR="003258B8" w:rsidRPr="009F0973" w:rsidRDefault="003258B8" w:rsidP="001813F6">
            <w:pPr>
              <w:pStyle w:val="NoSpacing"/>
              <w:rPr>
                <w:i/>
                <w:iCs/>
              </w:rPr>
            </w:pPr>
            <w:r>
              <w:t xml:space="preserve">many </w:t>
            </w:r>
            <w:r w:rsidR="009F0973">
              <w:t xml:space="preserve">engagements on the part of employers had taken the form of talks or workshops; </w:t>
            </w:r>
            <w:r w:rsidR="009F0973">
              <w:rPr>
                <w:i/>
                <w:iCs/>
              </w:rPr>
              <w:t>and</w:t>
            </w:r>
          </w:p>
          <w:p w14:paraId="0AE8C7E2" w14:textId="1BE4C7AD" w:rsidR="009F0973" w:rsidRPr="001E7277" w:rsidRDefault="009F0973" w:rsidP="001813F6">
            <w:pPr>
              <w:pStyle w:val="NoSpacing"/>
            </w:pPr>
          </w:p>
        </w:tc>
      </w:tr>
      <w:tr w:rsidR="003258B8" w:rsidRPr="001E7277" w14:paraId="2661626E" w14:textId="77777777" w:rsidTr="003A7ED1">
        <w:tc>
          <w:tcPr>
            <w:tcW w:w="534" w:type="dxa"/>
          </w:tcPr>
          <w:p w14:paraId="4C7BE652" w14:textId="77777777" w:rsidR="003258B8" w:rsidRPr="001E7277" w:rsidRDefault="003258B8" w:rsidP="001813F6">
            <w:pPr>
              <w:rPr>
                <w:rFonts w:ascii="Verdana" w:hAnsi="Verdana"/>
              </w:rPr>
            </w:pPr>
          </w:p>
        </w:tc>
        <w:tc>
          <w:tcPr>
            <w:tcW w:w="312" w:type="dxa"/>
          </w:tcPr>
          <w:p w14:paraId="483FB7B2" w14:textId="77777777" w:rsidR="003258B8" w:rsidRPr="001E7277" w:rsidRDefault="003258B8" w:rsidP="001813F6">
            <w:pPr>
              <w:rPr>
                <w:rFonts w:ascii="Verdana" w:hAnsi="Verdana"/>
                <w:b/>
              </w:rPr>
            </w:pPr>
            <w:r w:rsidRPr="001E7277">
              <w:rPr>
                <w:rFonts w:ascii="Verdana" w:hAnsi="Verdana"/>
                <w:b/>
              </w:rPr>
              <w:t>.</w:t>
            </w:r>
          </w:p>
        </w:tc>
        <w:tc>
          <w:tcPr>
            <w:tcW w:w="8618" w:type="dxa"/>
          </w:tcPr>
          <w:p w14:paraId="4F7714AF" w14:textId="2B620C6D" w:rsidR="009F0973" w:rsidRPr="001E7277" w:rsidRDefault="009F0973" w:rsidP="001813F6">
            <w:pPr>
              <w:pStyle w:val="NoSpacing"/>
            </w:pPr>
            <w:r>
              <w:t>some employers had been unable to continue their engagements for reasons deriving from the public health emergency.</w:t>
            </w:r>
          </w:p>
        </w:tc>
      </w:tr>
    </w:tbl>
    <w:p w14:paraId="371D6FB3" w14:textId="7F52F6F2" w:rsidR="00C600CB" w:rsidRDefault="00C600CB"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9F0973" w:rsidRPr="000400AD" w14:paraId="4EB5A776" w14:textId="77777777" w:rsidTr="003A7ED1">
        <w:tc>
          <w:tcPr>
            <w:tcW w:w="529" w:type="dxa"/>
            <w:shd w:val="clear" w:color="auto" w:fill="auto"/>
            <w:tcMar>
              <w:top w:w="0" w:type="dxa"/>
              <w:left w:w="108" w:type="dxa"/>
              <w:bottom w:w="0" w:type="dxa"/>
              <w:right w:w="108" w:type="dxa"/>
            </w:tcMar>
          </w:tcPr>
          <w:p w14:paraId="1883DD84" w14:textId="77777777" w:rsidR="009F0973" w:rsidRPr="000400AD" w:rsidRDefault="009F0973" w:rsidP="001813F6">
            <w:pPr>
              <w:pStyle w:val="NoSpacing"/>
              <w:rPr>
                <w:b/>
              </w:rPr>
            </w:pPr>
          </w:p>
        </w:tc>
        <w:tc>
          <w:tcPr>
            <w:tcW w:w="8935" w:type="dxa"/>
            <w:shd w:val="clear" w:color="auto" w:fill="auto"/>
            <w:tcMar>
              <w:top w:w="0" w:type="dxa"/>
              <w:left w:w="108" w:type="dxa"/>
              <w:bottom w:w="0" w:type="dxa"/>
              <w:right w:w="108" w:type="dxa"/>
            </w:tcMar>
          </w:tcPr>
          <w:p w14:paraId="28F7515C" w14:textId="07221CF3" w:rsidR="009F0973" w:rsidRDefault="009F0973" w:rsidP="001813F6">
            <w:pPr>
              <w:rPr>
                <w:rFonts w:ascii="Verdana" w:hAnsi="Verdana"/>
                <w:bCs/>
              </w:rPr>
            </w:pPr>
            <w:r>
              <w:rPr>
                <w:rFonts w:ascii="Verdana" w:hAnsi="Verdana"/>
                <w:bCs/>
              </w:rPr>
              <w:t xml:space="preserve">It was reported that there had been a centralised focus on talks and workshops, reflecting the prevailing </w:t>
            </w:r>
            <w:r w:rsidR="000545BA">
              <w:rPr>
                <w:rFonts w:ascii="Verdana" w:hAnsi="Verdana"/>
                <w:bCs/>
              </w:rPr>
              <w:t xml:space="preserve">adverse </w:t>
            </w:r>
            <w:r>
              <w:rPr>
                <w:rFonts w:ascii="Verdana" w:hAnsi="Verdana"/>
                <w:bCs/>
              </w:rPr>
              <w:t>circumstances affecting other areas of work experience.  Many had been delivered through an online platform either under Employability Passport arrangements or at the Careers &amp; HE Fair.  The College target for this area is expected to be met.</w:t>
            </w:r>
          </w:p>
          <w:p w14:paraId="155C89C2" w14:textId="77777777" w:rsidR="009F0973" w:rsidRDefault="009F0973" w:rsidP="001813F6">
            <w:pPr>
              <w:rPr>
                <w:rFonts w:ascii="Verdana" w:hAnsi="Verdana"/>
                <w:bCs/>
              </w:rPr>
            </w:pPr>
          </w:p>
          <w:p w14:paraId="4395D58C" w14:textId="33AE058A" w:rsidR="009F0973" w:rsidRDefault="009C367A" w:rsidP="001813F6">
            <w:pPr>
              <w:rPr>
                <w:rFonts w:ascii="Verdana" w:hAnsi="Verdana"/>
                <w:bCs/>
              </w:rPr>
            </w:pPr>
            <w:r>
              <w:rPr>
                <w:rFonts w:ascii="Verdana" w:hAnsi="Verdana"/>
                <w:bCs/>
              </w:rPr>
              <w:t>It was commented that, in the context of Ofsted’s criterion of “imminent credible plans” for a full resumption of work experience, the College’s arrangements had been highly cre</w:t>
            </w:r>
            <w:r w:rsidR="00725BBC">
              <w:rPr>
                <w:rFonts w:ascii="Verdana" w:hAnsi="Verdana"/>
                <w:bCs/>
              </w:rPr>
              <w:t>d</w:t>
            </w:r>
            <w:r>
              <w:rPr>
                <w:rFonts w:ascii="Verdana" w:hAnsi="Verdana"/>
                <w:bCs/>
              </w:rPr>
              <w:t>itable.</w:t>
            </w:r>
          </w:p>
          <w:p w14:paraId="361743B1" w14:textId="358CBEDC" w:rsidR="00725BBC" w:rsidRDefault="00725BBC" w:rsidP="001813F6">
            <w:pPr>
              <w:rPr>
                <w:rFonts w:ascii="Verdana" w:hAnsi="Verdana"/>
                <w:bCs/>
              </w:rPr>
            </w:pPr>
          </w:p>
          <w:p w14:paraId="7382C46D" w14:textId="4E498FEC" w:rsidR="00725BBC" w:rsidRDefault="00725BBC" w:rsidP="001813F6">
            <w:pPr>
              <w:rPr>
                <w:rFonts w:ascii="Verdana" w:hAnsi="Verdana"/>
                <w:bCs/>
              </w:rPr>
            </w:pPr>
            <w:r>
              <w:rPr>
                <w:rFonts w:ascii="Verdana" w:hAnsi="Verdana"/>
                <w:bCs/>
              </w:rPr>
              <w:t>In terms of the fulfilment of such plans in 2021-22, it was acknowledged that much might depend on the extent to which home-working is preserved in the new environment.  The difficult position of many smaller enterprises was also acknowledged.  It was reported that there appears to be good employer appetite for work experience activities involving the College’s students, with some firms actively contacting the College in this regard.</w:t>
            </w:r>
          </w:p>
          <w:p w14:paraId="77232314" w14:textId="1A05A802" w:rsidR="00725BBC" w:rsidRDefault="00725BBC" w:rsidP="001813F6">
            <w:pPr>
              <w:rPr>
                <w:rFonts w:ascii="Verdana" w:hAnsi="Verdana"/>
                <w:bCs/>
              </w:rPr>
            </w:pPr>
          </w:p>
          <w:p w14:paraId="660B2460" w14:textId="44602830" w:rsidR="00725BBC" w:rsidRDefault="00725BBC" w:rsidP="001813F6">
            <w:pPr>
              <w:rPr>
                <w:rFonts w:ascii="Verdana" w:hAnsi="Verdana"/>
                <w:bCs/>
              </w:rPr>
            </w:pPr>
            <w:r>
              <w:rPr>
                <w:rFonts w:ascii="Verdana" w:hAnsi="Verdana"/>
                <w:bCs/>
              </w:rPr>
              <w:t>It was noted that, because of the low level of activity in 2020-21, activity in 2021-22 would not be properly reflected in the data owing to the lagged effect from the prior year, and that it might take the College two years to get back on course.</w:t>
            </w:r>
          </w:p>
          <w:p w14:paraId="41FAB5B4" w14:textId="4A1988B1" w:rsidR="00725BBC" w:rsidRDefault="00725BBC" w:rsidP="001813F6">
            <w:pPr>
              <w:rPr>
                <w:rFonts w:ascii="Verdana" w:hAnsi="Verdana"/>
                <w:bCs/>
              </w:rPr>
            </w:pPr>
          </w:p>
          <w:p w14:paraId="2D3C8441" w14:textId="77777777" w:rsidR="00725BBC" w:rsidRDefault="00725BBC" w:rsidP="001813F6">
            <w:pPr>
              <w:rPr>
                <w:rFonts w:ascii="Verdana" w:hAnsi="Verdana"/>
                <w:bCs/>
              </w:rPr>
            </w:pPr>
            <w:r>
              <w:rPr>
                <w:rFonts w:ascii="Verdana" w:hAnsi="Verdana"/>
                <w:bCs/>
              </w:rPr>
              <w:lastRenderedPageBreak/>
              <w:t>It was noted that priority would be accorded to those students for whom work experience is essential to their prospects of gaining admission to university, or who are expected to go straight into employment.</w:t>
            </w:r>
          </w:p>
          <w:p w14:paraId="79B7BE31" w14:textId="77777777" w:rsidR="00725BBC" w:rsidRDefault="00725BBC" w:rsidP="001813F6">
            <w:pPr>
              <w:rPr>
                <w:rFonts w:ascii="Verdana" w:hAnsi="Verdana"/>
                <w:bCs/>
              </w:rPr>
            </w:pPr>
          </w:p>
          <w:p w14:paraId="5959C72B" w14:textId="3099D4BE" w:rsidR="009F0973" w:rsidRDefault="00725BBC" w:rsidP="001813F6">
            <w:pPr>
              <w:rPr>
                <w:rFonts w:ascii="Verdana" w:hAnsi="Verdana"/>
                <w:bCs/>
              </w:rPr>
            </w:pPr>
            <w:r>
              <w:rPr>
                <w:rFonts w:ascii="Verdana" w:hAnsi="Verdana"/>
                <w:bCs/>
              </w:rPr>
              <w:t>It was reported that, if the public health emergency had not occurred, the College would have achieved between 60-65% of its students undertaking work experience</w:t>
            </w:r>
            <w:r w:rsidR="008D63E6">
              <w:rPr>
                <w:rFonts w:ascii="Verdana" w:hAnsi="Verdana"/>
                <w:bCs/>
              </w:rPr>
              <w:t xml:space="preserve"> in 2020-21</w:t>
            </w:r>
            <w:r>
              <w:rPr>
                <w:rFonts w:ascii="Verdana" w:hAnsi="Verdana"/>
                <w:bCs/>
              </w:rPr>
              <w:t>, and that its underlying position is therefore relatively strong for this measure.</w:t>
            </w:r>
          </w:p>
          <w:p w14:paraId="2BEA185E" w14:textId="4B821B2F" w:rsidR="001278CA" w:rsidRPr="000400AD" w:rsidRDefault="001278CA" w:rsidP="001813F6">
            <w:pPr>
              <w:rPr>
                <w:rFonts w:ascii="Verdana" w:hAnsi="Verdana"/>
                <w:bCs/>
              </w:rPr>
            </w:pPr>
          </w:p>
        </w:tc>
      </w:tr>
      <w:tr w:rsidR="001278CA" w:rsidRPr="000400AD" w14:paraId="14121C2D" w14:textId="77777777" w:rsidTr="003A7ED1">
        <w:tc>
          <w:tcPr>
            <w:tcW w:w="529" w:type="dxa"/>
            <w:shd w:val="clear" w:color="auto" w:fill="auto"/>
            <w:tcMar>
              <w:top w:w="0" w:type="dxa"/>
              <w:left w:w="108" w:type="dxa"/>
              <w:bottom w:w="0" w:type="dxa"/>
              <w:right w:w="108" w:type="dxa"/>
            </w:tcMar>
          </w:tcPr>
          <w:p w14:paraId="0694686C" w14:textId="382BC9BD" w:rsidR="001278CA" w:rsidRPr="000400AD" w:rsidRDefault="001278CA" w:rsidP="001278CA">
            <w:pPr>
              <w:pStyle w:val="NoSpacing"/>
              <w:rPr>
                <w:b/>
              </w:rPr>
            </w:pPr>
            <w:r>
              <w:rPr>
                <w:b/>
              </w:rPr>
              <w:lastRenderedPageBreak/>
              <w:t>8</w:t>
            </w:r>
          </w:p>
        </w:tc>
        <w:tc>
          <w:tcPr>
            <w:tcW w:w="8935" w:type="dxa"/>
            <w:shd w:val="clear" w:color="auto" w:fill="auto"/>
            <w:tcMar>
              <w:top w:w="0" w:type="dxa"/>
              <w:left w:w="108" w:type="dxa"/>
              <w:bottom w:w="0" w:type="dxa"/>
              <w:right w:w="108" w:type="dxa"/>
            </w:tcMar>
          </w:tcPr>
          <w:p w14:paraId="02E7279D" w14:textId="77777777" w:rsidR="001278CA" w:rsidRDefault="001278CA" w:rsidP="001278CA">
            <w:pPr>
              <w:rPr>
                <w:rFonts w:ascii="Verdana" w:hAnsi="Verdana"/>
                <w:b/>
              </w:rPr>
            </w:pPr>
            <w:r w:rsidRPr="00431A61">
              <w:rPr>
                <w:rFonts w:ascii="Verdana" w:hAnsi="Verdana"/>
                <w:b/>
              </w:rPr>
              <w:t>Key Performance Indicators</w:t>
            </w:r>
            <w:r>
              <w:rPr>
                <w:rFonts w:ascii="Verdana" w:hAnsi="Verdana"/>
                <w:b/>
              </w:rPr>
              <w:t xml:space="preserve"> 2020-21</w:t>
            </w:r>
          </w:p>
          <w:p w14:paraId="78E75E3D" w14:textId="77777777" w:rsidR="001278CA" w:rsidRPr="00431A61" w:rsidRDefault="001278CA" w:rsidP="001278CA">
            <w:pPr>
              <w:rPr>
                <w:rFonts w:ascii="Verdana" w:hAnsi="Verdana"/>
                <w:b/>
              </w:rPr>
            </w:pPr>
          </w:p>
          <w:p w14:paraId="5F1750CF" w14:textId="77777777" w:rsidR="001278CA" w:rsidRDefault="001278CA" w:rsidP="001278CA">
            <w:pPr>
              <w:rPr>
                <w:rFonts w:ascii="Verdana" w:hAnsi="Verdana"/>
              </w:rPr>
            </w:pPr>
            <w:r>
              <w:rPr>
                <w:rFonts w:ascii="Verdana" w:hAnsi="Verdana"/>
              </w:rPr>
              <w:t xml:space="preserve">A schedule recording progress towards 2020-21 targets falling within the Committee’s remit was received and considered.  </w:t>
            </w:r>
          </w:p>
          <w:p w14:paraId="1C83EF57" w14:textId="77777777" w:rsidR="001278CA" w:rsidRDefault="001278CA" w:rsidP="001278CA">
            <w:pPr>
              <w:rPr>
                <w:rFonts w:ascii="Verdana" w:hAnsi="Verdana"/>
              </w:rPr>
            </w:pPr>
          </w:p>
          <w:p w14:paraId="0C81A3CA" w14:textId="77777777" w:rsidR="001278CA" w:rsidRDefault="001278CA" w:rsidP="001278CA">
            <w:pPr>
              <w:rPr>
                <w:rFonts w:ascii="Verdana" w:hAnsi="Verdana"/>
              </w:rPr>
            </w:pPr>
            <w:r>
              <w:rPr>
                <w:rFonts w:ascii="Verdana" w:hAnsi="Verdana"/>
              </w:rPr>
              <w:t xml:space="preserve">It was noted </w:t>
            </w:r>
            <w:r w:rsidRPr="008D405D">
              <w:rPr>
                <w:rFonts w:ascii="Verdana" w:hAnsi="Verdana"/>
                <w:i/>
                <w:iCs/>
              </w:rPr>
              <w:t>inter alia</w:t>
            </w:r>
            <w:r>
              <w:rPr>
                <w:rFonts w:ascii="Verdana" w:hAnsi="Verdana"/>
              </w:rPr>
              <w:t xml:space="preserve"> that the number of students expected to be recruited in September 2021 is 1,820, which would achieve the agreed target.  The Committee accordingly advises the Corporation that it may use this figure as a basis for assessing the College’s projected financial performance in the 2021-22 year.</w:t>
            </w:r>
          </w:p>
          <w:p w14:paraId="64754549" w14:textId="77777777" w:rsidR="001278CA" w:rsidRDefault="001278CA" w:rsidP="001278CA">
            <w:pPr>
              <w:rPr>
                <w:rFonts w:ascii="Verdana" w:hAnsi="Verdana"/>
                <w:bCs/>
              </w:rPr>
            </w:pPr>
          </w:p>
          <w:p w14:paraId="01EFF79C" w14:textId="20B50BF4" w:rsidR="001278CA" w:rsidRDefault="001278CA" w:rsidP="001278CA">
            <w:pPr>
              <w:rPr>
                <w:rFonts w:ascii="Verdana" w:hAnsi="Verdana"/>
                <w:bCs/>
              </w:rPr>
            </w:pPr>
            <w:r>
              <w:rPr>
                <w:rFonts w:ascii="Verdana" w:hAnsi="Verdana"/>
                <w:bCs/>
              </w:rPr>
              <w:t>The application</w:t>
            </w:r>
            <w:r w:rsidR="006A592E">
              <w:rPr>
                <w:rFonts w:ascii="Verdana" w:hAnsi="Verdana"/>
                <w:bCs/>
              </w:rPr>
              <w:t>-</w:t>
            </w:r>
            <w:r>
              <w:rPr>
                <w:rFonts w:ascii="Verdana" w:hAnsi="Verdana"/>
                <w:bCs/>
              </w:rPr>
              <w:t>to</w:t>
            </w:r>
            <w:r w:rsidR="006A592E">
              <w:rPr>
                <w:rFonts w:ascii="Verdana" w:hAnsi="Verdana"/>
                <w:bCs/>
              </w:rPr>
              <w:t>-</w:t>
            </w:r>
            <w:r>
              <w:rPr>
                <w:rFonts w:ascii="Verdana" w:hAnsi="Verdana"/>
                <w:bCs/>
              </w:rPr>
              <w:t>offer conversion rate is reported to be ahead of target as at June 2021.</w:t>
            </w:r>
          </w:p>
          <w:p w14:paraId="6DFAD956" w14:textId="77777777" w:rsidR="001278CA" w:rsidRDefault="001278CA" w:rsidP="001278CA">
            <w:pPr>
              <w:rPr>
                <w:rFonts w:ascii="Verdana" w:hAnsi="Verdana"/>
                <w:bCs/>
              </w:rPr>
            </w:pPr>
          </w:p>
          <w:p w14:paraId="4B70A4E4" w14:textId="2DFEE5E2" w:rsidR="001278CA" w:rsidRDefault="006A592E" w:rsidP="001278CA">
            <w:pPr>
              <w:rPr>
                <w:rFonts w:ascii="Verdana" w:hAnsi="Verdana"/>
                <w:bCs/>
              </w:rPr>
            </w:pPr>
            <w:r>
              <w:rPr>
                <w:rFonts w:ascii="Verdana" w:hAnsi="Verdana"/>
                <w:bCs/>
              </w:rPr>
              <w:t>Performance against o</w:t>
            </w:r>
            <w:r w:rsidR="001278CA">
              <w:rPr>
                <w:rFonts w:ascii="Verdana" w:hAnsi="Verdana"/>
                <w:bCs/>
              </w:rPr>
              <w:t>ther targets will be reported once relevant data have been collected and analysed after the year-end.</w:t>
            </w:r>
          </w:p>
          <w:p w14:paraId="0676BBDF" w14:textId="77777777" w:rsidR="001278CA" w:rsidRDefault="001278CA" w:rsidP="001278CA">
            <w:pPr>
              <w:rPr>
                <w:rFonts w:ascii="Verdana" w:hAnsi="Verdana"/>
                <w:bCs/>
              </w:rPr>
            </w:pPr>
          </w:p>
        </w:tc>
      </w:tr>
      <w:tr w:rsidR="001278CA" w:rsidRPr="000400AD" w14:paraId="0A3B7765" w14:textId="77777777" w:rsidTr="003A7ED1">
        <w:tc>
          <w:tcPr>
            <w:tcW w:w="529" w:type="dxa"/>
            <w:shd w:val="clear" w:color="auto" w:fill="auto"/>
            <w:tcMar>
              <w:top w:w="0" w:type="dxa"/>
              <w:left w:w="108" w:type="dxa"/>
              <w:bottom w:w="0" w:type="dxa"/>
              <w:right w:w="108" w:type="dxa"/>
            </w:tcMar>
          </w:tcPr>
          <w:p w14:paraId="55858EC8" w14:textId="66767D10" w:rsidR="001278CA" w:rsidRPr="000400AD" w:rsidRDefault="001278CA" w:rsidP="001278CA">
            <w:pPr>
              <w:pStyle w:val="NoSpacing"/>
              <w:rPr>
                <w:b/>
              </w:rPr>
            </w:pPr>
            <w:r>
              <w:rPr>
                <w:b/>
              </w:rPr>
              <w:t>9</w:t>
            </w:r>
          </w:p>
        </w:tc>
        <w:tc>
          <w:tcPr>
            <w:tcW w:w="8935" w:type="dxa"/>
            <w:shd w:val="clear" w:color="auto" w:fill="auto"/>
            <w:tcMar>
              <w:top w:w="0" w:type="dxa"/>
              <w:left w:w="108" w:type="dxa"/>
              <w:bottom w:w="0" w:type="dxa"/>
              <w:right w:w="108" w:type="dxa"/>
            </w:tcMar>
          </w:tcPr>
          <w:p w14:paraId="6AA8B04B" w14:textId="77777777" w:rsidR="001278CA" w:rsidRDefault="001278CA" w:rsidP="001278CA">
            <w:pPr>
              <w:rPr>
                <w:rFonts w:ascii="Verdana" w:hAnsi="Verdana"/>
                <w:b/>
              </w:rPr>
            </w:pPr>
            <w:r>
              <w:rPr>
                <w:rFonts w:ascii="Verdana" w:hAnsi="Verdana"/>
                <w:b/>
              </w:rPr>
              <w:t xml:space="preserve">External Corporate Hospitality </w:t>
            </w:r>
          </w:p>
          <w:p w14:paraId="64801326" w14:textId="77777777" w:rsidR="001278CA" w:rsidRDefault="001278CA" w:rsidP="001278CA">
            <w:pPr>
              <w:rPr>
                <w:rFonts w:ascii="Verdana" w:hAnsi="Verdana"/>
                <w:bCs/>
              </w:rPr>
            </w:pPr>
          </w:p>
          <w:p w14:paraId="206B73D8" w14:textId="77777777" w:rsidR="001278CA" w:rsidRDefault="001278CA" w:rsidP="001278CA">
            <w:pPr>
              <w:rPr>
                <w:rFonts w:ascii="Verdana" w:hAnsi="Verdana"/>
                <w:bCs/>
              </w:rPr>
            </w:pPr>
            <w:r>
              <w:rPr>
                <w:rFonts w:ascii="Verdana" w:hAnsi="Verdana"/>
                <w:bCs/>
              </w:rPr>
              <w:t>No instances were reported.</w:t>
            </w:r>
          </w:p>
          <w:p w14:paraId="7FC38111" w14:textId="77777777" w:rsidR="001278CA" w:rsidRDefault="001278CA" w:rsidP="001278CA">
            <w:pPr>
              <w:rPr>
                <w:rFonts w:ascii="Verdana" w:hAnsi="Verdana"/>
                <w:bCs/>
              </w:rPr>
            </w:pPr>
          </w:p>
        </w:tc>
      </w:tr>
      <w:tr w:rsidR="001278CA" w:rsidRPr="000400AD" w14:paraId="28A24E0D" w14:textId="77777777" w:rsidTr="003A7ED1">
        <w:tc>
          <w:tcPr>
            <w:tcW w:w="529" w:type="dxa"/>
            <w:shd w:val="clear" w:color="auto" w:fill="auto"/>
            <w:tcMar>
              <w:top w:w="0" w:type="dxa"/>
              <w:left w:w="108" w:type="dxa"/>
              <w:bottom w:w="0" w:type="dxa"/>
              <w:right w:w="108" w:type="dxa"/>
            </w:tcMar>
          </w:tcPr>
          <w:p w14:paraId="1FE87C32" w14:textId="0717BFE7" w:rsidR="001278CA" w:rsidRPr="000400AD" w:rsidRDefault="001278CA" w:rsidP="001278CA">
            <w:pPr>
              <w:pStyle w:val="NoSpacing"/>
              <w:rPr>
                <w:b/>
              </w:rPr>
            </w:pPr>
            <w:r>
              <w:rPr>
                <w:b/>
              </w:rPr>
              <w:t>10</w:t>
            </w:r>
          </w:p>
        </w:tc>
        <w:tc>
          <w:tcPr>
            <w:tcW w:w="8935" w:type="dxa"/>
            <w:shd w:val="clear" w:color="auto" w:fill="auto"/>
            <w:tcMar>
              <w:top w:w="0" w:type="dxa"/>
              <w:left w:w="108" w:type="dxa"/>
              <w:bottom w:w="0" w:type="dxa"/>
              <w:right w:w="108" w:type="dxa"/>
            </w:tcMar>
          </w:tcPr>
          <w:p w14:paraId="3529BD89" w14:textId="77777777" w:rsidR="001278CA" w:rsidRDefault="001278CA" w:rsidP="001278CA">
            <w:pPr>
              <w:rPr>
                <w:rFonts w:ascii="Verdana" w:hAnsi="Verdana"/>
                <w:b/>
              </w:rPr>
            </w:pPr>
            <w:r>
              <w:rPr>
                <w:rFonts w:ascii="Verdana" w:hAnsi="Verdana"/>
                <w:b/>
              </w:rPr>
              <w:t>Disclosure and Barring Service (DBS) Checking of Governors</w:t>
            </w:r>
          </w:p>
          <w:p w14:paraId="1D590897" w14:textId="77777777" w:rsidR="001278CA" w:rsidRDefault="001278CA" w:rsidP="001278CA">
            <w:pPr>
              <w:rPr>
                <w:rFonts w:ascii="Verdana" w:hAnsi="Verdana"/>
                <w:bCs/>
              </w:rPr>
            </w:pPr>
          </w:p>
          <w:p w14:paraId="7BAB37D5" w14:textId="26C5E2F3" w:rsidR="001278CA" w:rsidRDefault="001278CA" w:rsidP="001278CA">
            <w:pPr>
              <w:rPr>
                <w:rFonts w:ascii="Verdana" w:hAnsi="Verdana"/>
                <w:bCs/>
              </w:rPr>
            </w:pPr>
            <w:r>
              <w:rPr>
                <w:rFonts w:ascii="Verdana" w:hAnsi="Verdana"/>
                <w:bCs/>
              </w:rPr>
              <w:t>Owing to the circumstances noted by the Clerk to the Corporation at the previous meeting, it was reported that, as had been predicted, four governor DBS checks had expired, with a further one due to expire in July.</w:t>
            </w:r>
          </w:p>
          <w:p w14:paraId="10A04192" w14:textId="6F0047D7" w:rsidR="006A592E" w:rsidRDefault="006A592E" w:rsidP="001278CA">
            <w:pPr>
              <w:rPr>
                <w:rFonts w:ascii="Verdana" w:hAnsi="Verdana"/>
                <w:bCs/>
              </w:rPr>
            </w:pPr>
          </w:p>
          <w:p w14:paraId="78D10015" w14:textId="60B2EAB4" w:rsidR="006A592E" w:rsidRDefault="006A592E" w:rsidP="001278CA">
            <w:pPr>
              <w:rPr>
                <w:rFonts w:ascii="Verdana" w:hAnsi="Verdana"/>
                <w:bCs/>
              </w:rPr>
            </w:pPr>
            <w:r>
              <w:rPr>
                <w:rFonts w:ascii="Verdana" w:hAnsi="Verdana"/>
                <w:bCs/>
              </w:rPr>
              <w:t>None of the members affected had visited the College since the expiry of their clea</w:t>
            </w:r>
            <w:r w:rsidR="00D053A3">
              <w:rPr>
                <w:rFonts w:ascii="Verdana" w:hAnsi="Verdana"/>
                <w:bCs/>
              </w:rPr>
              <w:t>r</w:t>
            </w:r>
            <w:r>
              <w:rPr>
                <w:rFonts w:ascii="Verdana" w:hAnsi="Verdana"/>
                <w:bCs/>
              </w:rPr>
              <w:t>ances.</w:t>
            </w:r>
          </w:p>
          <w:p w14:paraId="0AC55B97" w14:textId="50576115" w:rsidR="001278CA" w:rsidRDefault="001278CA" w:rsidP="001278CA">
            <w:pPr>
              <w:rPr>
                <w:rFonts w:ascii="Verdana" w:hAnsi="Verdana"/>
                <w:bCs/>
              </w:rPr>
            </w:pPr>
          </w:p>
          <w:p w14:paraId="4334496E" w14:textId="231855F1" w:rsidR="001278CA" w:rsidRDefault="001278CA" w:rsidP="001278CA">
            <w:pPr>
              <w:rPr>
                <w:rFonts w:ascii="Verdana" w:hAnsi="Verdana"/>
                <w:bCs/>
              </w:rPr>
            </w:pPr>
            <w:r>
              <w:rPr>
                <w:rFonts w:ascii="Verdana" w:hAnsi="Verdana"/>
                <w:bCs/>
              </w:rPr>
              <w:t>Now that more normal operations are being resumed, and it is possible for governors to safely come into the College for their supporting documentation to be verified on a face-to-face basis, the outstanding checks will be conducted as a matter of priority.</w:t>
            </w:r>
          </w:p>
          <w:p w14:paraId="77A5C3C8" w14:textId="2D54C991" w:rsidR="00D053A3" w:rsidRDefault="00D053A3" w:rsidP="001278CA">
            <w:pPr>
              <w:rPr>
                <w:rFonts w:ascii="Verdana" w:hAnsi="Verdana"/>
                <w:bCs/>
              </w:rPr>
            </w:pPr>
          </w:p>
          <w:p w14:paraId="41FA2111" w14:textId="4AE2E4E4" w:rsidR="00D053A3" w:rsidRDefault="00D053A3" w:rsidP="00D053A3">
            <w:pPr>
              <w:rPr>
                <w:rFonts w:eastAsia="Times New Roman"/>
                <w:color w:val="000000"/>
              </w:rPr>
            </w:pPr>
            <w:r>
              <w:rPr>
                <w:rFonts w:ascii="Verdana" w:eastAsia="Times New Roman" w:hAnsi="Verdana"/>
                <w:color w:val="201F1E"/>
                <w:shd w:val="clear" w:color="auto" w:fill="FFFFFF"/>
              </w:rPr>
              <w:t>The committee noted that DBS checking of college governors is not a legal requirement, but reconfirmed its commitment, in normal times, to ensure the continuous DBS checking of all governors.</w:t>
            </w:r>
          </w:p>
          <w:p w14:paraId="15D3407F" w14:textId="77777777" w:rsidR="001278CA" w:rsidRDefault="001278CA" w:rsidP="00D053A3">
            <w:pPr>
              <w:rPr>
                <w:rFonts w:ascii="Verdana" w:hAnsi="Verdana"/>
                <w:bCs/>
              </w:rPr>
            </w:pPr>
          </w:p>
          <w:p w14:paraId="0819BEB7" w14:textId="77777777" w:rsidR="003A7ED1" w:rsidRDefault="003A7ED1" w:rsidP="00D053A3">
            <w:pPr>
              <w:rPr>
                <w:rFonts w:ascii="Verdana" w:hAnsi="Verdana"/>
                <w:bCs/>
              </w:rPr>
            </w:pPr>
          </w:p>
          <w:p w14:paraId="0C7C1DF2" w14:textId="77777777" w:rsidR="003A7ED1" w:rsidRDefault="003A7ED1" w:rsidP="00D053A3">
            <w:pPr>
              <w:rPr>
                <w:rFonts w:ascii="Verdana" w:hAnsi="Verdana"/>
                <w:bCs/>
              </w:rPr>
            </w:pPr>
          </w:p>
          <w:p w14:paraId="557C0AB1" w14:textId="77777777" w:rsidR="003A7ED1" w:rsidRDefault="003A7ED1" w:rsidP="00D053A3">
            <w:pPr>
              <w:rPr>
                <w:rFonts w:ascii="Verdana" w:hAnsi="Verdana"/>
                <w:bCs/>
              </w:rPr>
            </w:pPr>
          </w:p>
          <w:p w14:paraId="34F1504C" w14:textId="109594D9" w:rsidR="003A7ED1" w:rsidRDefault="003A7ED1" w:rsidP="00D053A3">
            <w:pPr>
              <w:rPr>
                <w:rFonts w:ascii="Verdana" w:hAnsi="Verdana"/>
                <w:bCs/>
              </w:rPr>
            </w:pPr>
          </w:p>
        </w:tc>
      </w:tr>
      <w:tr w:rsidR="001278CA" w:rsidRPr="000400AD" w14:paraId="35209D9D" w14:textId="77777777" w:rsidTr="003A7ED1">
        <w:tc>
          <w:tcPr>
            <w:tcW w:w="529" w:type="dxa"/>
            <w:shd w:val="clear" w:color="auto" w:fill="auto"/>
            <w:tcMar>
              <w:top w:w="0" w:type="dxa"/>
              <w:left w:w="108" w:type="dxa"/>
              <w:bottom w:w="0" w:type="dxa"/>
              <w:right w:w="108" w:type="dxa"/>
            </w:tcMar>
          </w:tcPr>
          <w:p w14:paraId="4206188B" w14:textId="319A61B9" w:rsidR="001278CA" w:rsidRPr="000400AD" w:rsidRDefault="001278CA" w:rsidP="001278CA">
            <w:pPr>
              <w:pStyle w:val="NoSpacing"/>
              <w:rPr>
                <w:b/>
              </w:rPr>
            </w:pPr>
            <w:r>
              <w:rPr>
                <w:b/>
              </w:rPr>
              <w:lastRenderedPageBreak/>
              <w:t>11</w:t>
            </w:r>
          </w:p>
        </w:tc>
        <w:tc>
          <w:tcPr>
            <w:tcW w:w="8935" w:type="dxa"/>
            <w:shd w:val="clear" w:color="auto" w:fill="auto"/>
            <w:tcMar>
              <w:top w:w="0" w:type="dxa"/>
              <w:left w:w="108" w:type="dxa"/>
              <w:bottom w:w="0" w:type="dxa"/>
              <w:right w:w="108" w:type="dxa"/>
            </w:tcMar>
          </w:tcPr>
          <w:p w14:paraId="0AA3BDD8" w14:textId="77777777" w:rsidR="001278CA" w:rsidRDefault="001278CA" w:rsidP="001278CA">
            <w:pPr>
              <w:rPr>
                <w:rFonts w:ascii="Verdana" w:hAnsi="Verdana"/>
                <w:b/>
              </w:rPr>
            </w:pPr>
            <w:r>
              <w:rPr>
                <w:rFonts w:ascii="Verdana" w:hAnsi="Verdana"/>
                <w:b/>
              </w:rPr>
              <w:t>Date and Time of Meetings 2021-22</w:t>
            </w:r>
          </w:p>
          <w:p w14:paraId="46B6AD75" w14:textId="77777777" w:rsidR="001278CA" w:rsidRDefault="001278CA" w:rsidP="001278CA">
            <w:pPr>
              <w:rPr>
                <w:rFonts w:ascii="Verdana" w:hAnsi="Verdana"/>
                <w:b/>
              </w:rPr>
            </w:pPr>
          </w:p>
          <w:p w14:paraId="69293EDD" w14:textId="77777777" w:rsidR="001278CA" w:rsidRDefault="001278CA" w:rsidP="001278CA">
            <w:pPr>
              <w:rPr>
                <w:rFonts w:ascii="Verdana" w:hAnsi="Verdana"/>
              </w:rPr>
            </w:pPr>
            <w:r>
              <w:rPr>
                <w:rFonts w:ascii="Verdana" w:hAnsi="Verdana"/>
              </w:rPr>
              <w:t>The following dates and times were approved:</w:t>
            </w:r>
          </w:p>
          <w:p w14:paraId="6E5D8A8F" w14:textId="77777777" w:rsidR="001278CA" w:rsidRDefault="001278CA" w:rsidP="001278CA">
            <w:pPr>
              <w:rPr>
                <w:rFonts w:ascii="Verdana" w:hAnsi="Verdana"/>
              </w:rPr>
            </w:pPr>
          </w:p>
          <w:p w14:paraId="15998DD5" w14:textId="77777777" w:rsidR="001278CA" w:rsidRDefault="001278CA" w:rsidP="001278CA">
            <w:pPr>
              <w:pStyle w:val="NoSpacing"/>
              <w:rPr>
                <w:b/>
                <w:bCs/>
                <w:i/>
                <w:iCs/>
              </w:rPr>
            </w:pPr>
            <w:r>
              <w:rPr>
                <w:b/>
                <w:bCs/>
                <w:i/>
                <w:iCs/>
              </w:rPr>
              <w:t>Tuesday 9 November 2021 (5.30pm)</w:t>
            </w:r>
          </w:p>
          <w:p w14:paraId="3EE2DDD9" w14:textId="77777777" w:rsidR="001278CA" w:rsidRDefault="001278CA" w:rsidP="001278CA">
            <w:pPr>
              <w:pStyle w:val="NoSpacing"/>
              <w:rPr>
                <w:b/>
                <w:bCs/>
                <w:i/>
                <w:iCs/>
              </w:rPr>
            </w:pPr>
            <w:r>
              <w:rPr>
                <w:b/>
                <w:bCs/>
                <w:i/>
                <w:iCs/>
              </w:rPr>
              <w:t>Tuesday 15 February 2022 (5.30pm)</w:t>
            </w:r>
          </w:p>
          <w:p w14:paraId="2065B3E3" w14:textId="77777777" w:rsidR="001278CA" w:rsidRPr="003F5F59" w:rsidRDefault="001278CA" w:rsidP="001278CA">
            <w:pPr>
              <w:pStyle w:val="NoSpacing"/>
              <w:rPr>
                <w:b/>
                <w:bCs/>
                <w:i/>
                <w:iCs/>
              </w:rPr>
            </w:pPr>
            <w:r>
              <w:rPr>
                <w:b/>
                <w:bCs/>
                <w:i/>
                <w:iCs/>
              </w:rPr>
              <w:t xml:space="preserve">Monday 6 June 2022 (5.30pm) </w:t>
            </w:r>
          </w:p>
          <w:p w14:paraId="78B2CE13" w14:textId="77777777" w:rsidR="001278CA" w:rsidRDefault="001278CA" w:rsidP="001278CA">
            <w:pPr>
              <w:rPr>
                <w:rFonts w:ascii="Verdana" w:hAnsi="Verdana"/>
                <w:b/>
              </w:rPr>
            </w:pPr>
          </w:p>
          <w:p w14:paraId="7E989B18" w14:textId="77777777" w:rsidR="001278CA" w:rsidRPr="001616AC" w:rsidRDefault="001278CA" w:rsidP="001278CA">
            <w:pPr>
              <w:rPr>
                <w:rFonts w:ascii="Verdana" w:hAnsi="Verdana"/>
              </w:rPr>
            </w:pPr>
            <w:r>
              <w:rPr>
                <w:rFonts w:ascii="Verdana" w:hAnsi="Verdana"/>
              </w:rPr>
              <w:t>In accordance with the decision of the Corporation at the meeting held on 11 May 2021</w:t>
            </w:r>
            <w:r w:rsidRPr="001616AC">
              <w:rPr>
                <w:rFonts w:ascii="Verdana" w:hAnsi="Verdana"/>
              </w:rPr>
              <w:t>, the format and location of meetings will be determined by each Committee Chair in consultation with members of the Committee, but such meetings will be either face-to-face at a location to be agreed (with the right of any member, including staff in attendance, to attend virtually without restriction), or will be entirely virtual.</w:t>
            </w:r>
          </w:p>
          <w:p w14:paraId="7EE86967" w14:textId="77777777" w:rsidR="001278CA" w:rsidRDefault="001278CA" w:rsidP="001278CA">
            <w:pPr>
              <w:rPr>
                <w:rFonts w:ascii="Verdana" w:hAnsi="Verdana"/>
                <w:bCs/>
              </w:rPr>
            </w:pPr>
          </w:p>
        </w:tc>
      </w:tr>
      <w:tr w:rsidR="001278CA" w:rsidRPr="000400AD" w14:paraId="534C8458" w14:textId="77777777" w:rsidTr="003A7ED1">
        <w:tc>
          <w:tcPr>
            <w:tcW w:w="529" w:type="dxa"/>
            <w:shd w:val="clear" w:color="auto" w:fill="auto"/>
            <w:tcMar>
              <w:top w:w="0" w:type="dxa"/>
              <w:left w:w="108" w:type="dxa"/>
              <w:bottom w:w="0" w:type="dxa"/>
              <w:right w:w="108" w:type="dxa"/>
            </w:tcMar>
          </w:tcPr>
          <w:p w14:paraId="41055CEE" w14:textId="19333A25" w:rsidR="001278CA" w:rsidRPr="000400AD" w:rsidRDefault="001278CA" w:rsidP="001278CA">
            <w:pPr>
              <w:pStyle w:val="NoSpacing"/>
              <w:rPr>
                <w:b/>
              </w:rPr>
            </w:pPr>
            <w:r>
              <w:rPr>
                <w:b/>
              </w:rPr>
              <w:t>12</w:t>
            </w:r>
          </w:p>
        </w:tc>
        <w:tc>
          <w:tcPr>
            <w:tcW w:w="8935" w:type="dxa"/>
            <w:shd w:val="clear" w:color="auto" w:fill="auto"/>
            <w:tcMar>
              <w:top w:w="0" w:type="dxa"/>
              <w:left w:w="108" w:type="dxa"/>
              <w:bottom w:w="0" w:type="dxa"/>
              <w:right w:w="108" w:type="dxa"/>
            </w:tcMar>
          </w:tcPr>
          <w:p w14:paraId="5D4A563C" w14:textId="77777777" w:rsidR="001278CA" w:rsidRPr="00364C92" w:rsidRDefault="001278CA" w:rsidP="001278CA">
            <w:pPr>
              <w:pStyle w:val="NoSpacing"/>
              <w:rPr>
                <w:b/>
              </w:rPr>
            </w:pPr>
            <w:r w:rsidRPr="00364C92">
              <w:rPr>
                <w:b/>
              </w:rPr>
              <w:t>Any Other Competent Business</w:t>
            </w:r>
          </w:p>
          <w:p w14:paraId="07DB2FDD" w14:textId="77777777" w:rsidR="001278CA" w:rsidRPr="00364C92" w:rsidRDefault="001278CA" w:rsidP="001278CA">
            <w:pPr>
              <w:pStyle w:val="NoSpacing"/>
              <w:rPr>
                <w:b/>
              </w:rPr>
            </w:pPr>
          </w:p>
          <w:p w14:paraId="05CAE1FE" w14:textId="64FD75E4" w:rsidR="001278CA" w:rsidRDefault="006A592E" w:rsidP="001278CA">
            <w:pPr>
              <w:rPr>
                <w:rFonts w:ascii="Verdana" w:hAnsi="Verdana"/>
                <w:bCs/>
              </w:rPr>
            </w:pPr>
            <w:r>
              <w:rPr>
                <w:rFonts w:ascii="Verdana" w:hAnsi="Verdana"/>
                <w:bCs/>
              </w:rPr>
              <w:t>None</w:t>
            </w:r>
          </w:p>
        </w:tc>
      </w:tr>
    </w:tbl>
    <w:p w14:paraId="35745058" w14:textId="47430F94" w:rsidR="004D2202" w:rsidRDefault="004D2202" w:rsidP="00626F4B">
      <w:pPr>
        <w:rPr>
          <w:color w:val="FF0000"/>
        </w:rPr>
      </w:pPr>
    </w:p>
    <w:p w14:paraId="327ED320" w14:textId="12B31B8B" w:rsidR="00666DE8" w:rsidRDefault="00666DE8" w:rsidP="00626F4B">
      <w:pPr>
        <w:rPr>
          <w:color w:val="FF0000"/>
        </w:rPr>
      </w:pPr>
    </w:p>
    <w:p w14:paraId="7C3464E8" w14:textId="77777777" w:rsidR="003A7ED1" w:rsidRDefault="003A7ED1" w:rsidP="00626F4B">
      <w:pPr>
        <w:rPr>
          <w:color w:val="FF0000"/>
        </w:rPr>
      </w:pPr>
      <w:bookmarkStart w:id="0" w:name="_GoBack"/>
      <w:bookmarkEnd w:id="0"/>
    </w:p>
    <w:p w14:paraId="29A2505A" w14:textId="77777777" w:rsidR="00C03DBC" w:rsidRDefault="00C03DBC" w:rsidP="00C03DBC">
      <w:pPr>
        <w:rPr>
          <w:rFonts w:ascii="Verdana" w:hAnsi="Verdana"/>
          <w:b/>
          <w:bCs/>
        </w:rPr>
      </w:pPr>
      <w:r w:rsidRPr="005104D0">
        <w:rPr>
          <w:rFonts w:ascii="Verdana" w:hAnsi="Verdana"/>
          <w:b/>
          <w:bCs/>
        </w:rPr>
        <w:t>List of Actions Arising from the Minute</w:t>
      </w:r>
      <w:r>
        <w:rPr>
          <w:rFonts w:ascii="Verdana" w:hAnsi="Verdana"/>
          <w:b/>
          <w:bCs/>
        </w:rPr>
        <w:t>s</w:t>
      </w:r>
    </w:p>
    <w:p w14:paraId="52F16303" w14:textId="77777777" w:rsidR="00C03DBC" w:rsidRDefault="00C03DBC" w:rsidP="00C03DBC">
      <w:pPr>
        <w:rPr>
          <w:rFonts w:ascii="Verdana" w:hAnsi="Verdana"/>
          <w:b/>
          <w:bCs/>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19"/>
        <w:gridCol w:w="5245"/>
      </w:tblGrid>
      <w:tr w:rsidR="00C03DBC" w14:paraId="4113145E" w14:textId="77777777" w:rsidTr="003A7ED1">
        <w:tc>
          <w:tcPr>
            <w:tcW w:w="1129" w:type="dxa"/>
          </w:tcPr>
          <w:p w14:paraId="11704D86" w14:textId="77777777" w:rsidR="00C03DBC" w:rsidRDefault="00C03DBC" w:rsidP="00242FEC">
            <w:pPr>
              <w:rPr>
                <w:rFonts w:ascii="Verdana" w:hAnsi="Verdana"/>
                <w:i/>
                <w:iCs/>
              </w:rPr>
            </w:pPr>
            <w:r w:rsidRPr="005104D0">
              <w:rPr>
                <w:rFonts w:ascii="Verdana" w:hAnsi="Verdana"/>
                <w:i/>
                <w:iCs/>
              </w:rPr>
              <w:t>Minute No.</w:t>
            </w:r>
          </w:p>
          <w:p w14:paraId="1C5AC295" w14:textId="77777777" w:rsidR="00C03DBC" w:rsidRPr="005104D0" w:rsidRDefault="00C03DBC" w:rsidP="00242FEC">
            <w:pPr>
              <w:rPr>
                <w:rFonts w:ascii="Verdana" w:hAnsi="Verdana"/>
                <w:i/>
                <w:iCs/>
              </w:rPr>
            </w:pPr>
          </w:p>
        </w:tc>
        <w:tc>
          <w:tcPr>
            <w:tcW w:w="3119" w:type="dxa"/>
          </w:tcPr>
          <w:p w14:paraId="60E78ABF" w14:textId="77777777" w:rsidR="00C03DBC" w:rsidRPr="005104D0" w:rsidRDefault="00C03DBC" w:rsidP="00242FEC">
            <w:pPr>
              <w:rPr>
                <w:rFonts w:ascii="Verdana" w:hAnsi="Verdana"/>
                <w:i/>
                <w:iCs/>
              </w:rPr>
            </w:pPr>
            <w:r w:rsidRPr="005104D0">
              <w:rPr>
                <w:rFonts w:ascii="Verdana" w:hAnsi="Verdana"/>
                <w:i/>
                <w:iCs/>
              </w:rPr>
              <w:t>Person</w:t>
            </w:r>
            <w:r>
              <w:rPr>
                <w:rFonts w:ascii="Verdana" w:hAnsi="Verdana"/>
                <w:i/>
                <w:iCs/>
              </w:rPr>
              <w:t>(s)</w:t>
            </w:r>
            <w:r w:rsidRPr="005104D0">
              <w:rPr>
                <w:rFonts w:ascii="Verdana" w:hAnsi="Verdana"/>
                <w:i/>
                <w:iCs/>
              </w:rPr>
              <w:t xml:space="preserve"> Responsible</w:t>
            </w:r>
          </w:p>
          <w:p w14:paraId="2DC29934" w14:textId="77777777" w:rsidR="00C03DBC" w:rsidRPr="005104D0" w:rsidRDefault="00C03DBC" w:rsidP="00242FEC">
            <w:pPr>
              <w:rPr>
                <w:rFonts w:ascii="Verdana" w:hAnsi="Verdana"/>
                <w:i/>
                <w:iCs/>
              </w:rPr>
            </w:pPr>
          </w:p>
        </w:tc>
        <w:tc>
          <w:tcPr>
            <w:tcW w:w="5245" w:type="dxa"/>
          </w:tcPr>
          <w:p w14:paraId="1D7C353D" w14:textId="77777777" w:rsidR="00C03DBC" w:rsidRPr="005104D0" w:rsidRDefault="00C03DBC" w:rsidP="00242FEC">
            <w:pPr>
              <w:rPr>
                <w:rFonts w:ascii="Verdana" w:hAnsi="Verdana"/>
                <w:i/>
                <w:iCs/>
              </w:rPr>
            </w:pPr>
            <w:r w:rsidRPr="005104D0">
              <w:rPr>
                <w:rFonts w:ascii="Verdana" w:hAnsi="Verdana"/>
                <w:i/>
                <w:iCs/>
              </w:rPr>
              <w:t>Action Required</w:t>
            </w:r>
          </w:p>
        </w:tc>
      </w:tr>
      <w:tr w:rsidR="00C03DBC" w14:paraId="2AAC1837" w14:textId="77777777" w:rsidTr="003A7ED1">
        <w:tc>
          <w:tcPr>
            <w:tcW w:w="1129" w:type="dxa"/>
          </w:tcPr>
          <w:p w14:paraId="455D4BA3" w14:textId="4033028E" w:rsidR="00C03DBC" w:rsidRDefault="006A592E" w:rsidP="00242FEC">
            <w:pPr>
              <w:rPr>
                <w:rFonts w:ascii="Verdana" w:hAnsi="Verdana"/>
                <w:b/>
                <w:bCs/>
              </w:rPr>
            </w:pPr>
            <w:r>
              <w:rPr>
                <w:rFonts w:ascii="Verdana" w:hAnsi="Verdana"/>
                <w:b/>
                <w:bCs/>
              </w:rPr>
              <w:t>11</w:t>
            </w:r>
          </w:p>
        </w:tc>
        <w:tc>
          <w:tcPr>
            <w:tcW w:w="3119" w:type="dxa"/>
          </w:tcPr>
          <w:p w14:paraId="5B4FBE6F" w14:textId="77777777" w:rsidR="00C03DBC" w:rsidRDefault="006A592E" w:rsidP="00242FEC">
            <w:pPr>
              <w:rPr>
                <w:rFonts w:ascii="Verdana" w:hAnsi="Verdana"/>
              </w:rPr>
            </w:pPr>
            <w:r>
              <w:rPr>
                <w:rFonts w:ascii="Verdana" w:hAnsi="Verdana"/>
              </w:rPr>
              <w:t>Clerk to the Corporation</w:t>
            </w:r>
          </w:p>
          <w:p w14:paraId="272B8B4D" w14:textId="226203F2" w:rsidR="006A592E" w:rsidRPr="0088276C" w:rsidRDefault="006A592E" w:rsidP="00242FEC">
            <w:pPr>
              <w:rPr>
                <w:rFonts w:ascii="Verdana" w:hAnsi="Verdana"/>
              </w:rPr>
            </w:pPr>
            <w:r>
              <w:rPr>
                <w:rFonts w:ascii="Verdana" w:hAnsi="Verdana"/>
              </w:rPr>
              <w:t>&amp; College HR Department</w:t>
            </w:r>
          </w:p>
        </w:tc>
        <w:tc>
          <w:tcPr>
            <w:tcW w:w="5245" w:type="dxa"/>
          </w:tcPr>
          <w:p w14:paraId="4C8BCFB4" w14:textId="55E27EF6" w:rsidR="00C03DBC" w:rsidRPr="006234EE" w:rsidRDefault="006A592E" w:rsidP="00242FEC">
            <w:pPr>
              <w:rPr>
                <w:rFonts w:ascii="Verdana" w:hAnsi="Verdana"/>
              </w:rPr>
            </w:pPr>
            <w:r>
              <w:rPr>
                <w:rFonts w:ascii="Verdana" w:hAnsi="Verdana"/>
              </w:rPr>
              <w:t>Resume arrangements for DBS clearance of governors.</w:t>
            </w:r>
          </w:p>
        </w:tc>
      </w:tr>
    </w:tbl>
    <w:p w14:paraId="2A1557C3" w14:textId="4E194BA9" w:rsidR="00445FFA" w:rsidRDefault="00445FFA" w:rsidP="00626F4B">
      <w:pPr>
        <w:rPr>
          <w:color w:val="FF0000"/>
        </w:rPr>
      </w:pPr>
    </w:p>
    <w:p w14:paraId="3B785F7F" w14:textId="13F46175" w:rsidR="00E46694" w:rsidRDefault="00E46694" w:rsidP="00626F4B">
      <w:pPr>
        <w:rPr>
          <w:color w:val="FF0000"/>
        </w:rPr>
      </w:pPr>
    </w:p>
    <w:p w14:paraId="214B8293" w14:textId="68DCF64D" w:rsidR="00E46694" w:rsidRDefault="00E46694" w:rsidP="00626F4B">
      <w:pPr>
        <w:rPr>
          <w:color w:val="FF0000"/>
        </w:rPr>
      </w:pPr>
    </w:p>
    <w:p w14:paraId="7FE1CAF3" w14:textId="1433CA76" w:rsidR="00E46694" w:rsidRDefault="00E46694" w:rsidP="00626F4B">
      <w:pPr>
        <w:rPr>
          <w:color w:val="FF0000"/>
        </w:rPr>
      </w:pPr>
    </w:p>
    <w:p w14:paraId="21EABFD9" w14:textId="45CEBD66" w:rsidR="00E46694" w:rsidRDefault="00E46694" w:rsidP="00626F4B">
      <w:pPr>
        <w:rPr>
          <w:color w:val="FF0000"/>
        </w:rPr>
      </w:pPr>
    </w:p>
    <w:p w14:paraId="2744DC88" w14:textId="77777777" w:rsidR="00E46694" w:rsidRDefault="00E46694" w:rsidP="00626F4B">
      <w:pPr>
        <w:rPr>
          <w:color w:val="FF0000"/>
        </w:rPr>
      </w:pPr>
    </w:p>
    <w:p w14:paraId="717DBA05" w14:textId="5886D959" w:rsidR="00880621" w:rsidRDefault="00880621" w:rsidP="00626F4B">
      <w:pPr>
        <w:rPr>
          <w:rFonts w:ascii="Verdana" w:hAnsi="Verdana"/>
        </w:rPr>
      </w:pPr>
    </w:p>
    <w:p w14:paraId="484D167B" w14:textId="50643CC8" w:rsidR="00FF347E" w:rsidRDefault="00FF347E" w:rsidP="00626F4B">
      <w:pPr>
        <w:rPr>
          <w:rFonts w:ascii="Verdana" w:hAnsi="Verdana"/>
        </w:rPr>
      </w:pPr>
    </w:p>
    <w:p w14:paraId="307CA52A" w14:textId="77777777" w:rsidR="00FF347E" w:rsidRDefault="00FF347E" w:rsidP="00626F4B">
      <w:pPr>
        <w:rPr>
          <w:rFonts w:ascii="Verdana" w:hAnsi="Verdana"/>
        </w:rPr>
      </w:pPr>
    </w:p>
    <w:p w14:paraId="1DB00079" w14:textId="77777777" w:rsidR="005104D0" w:rsidRPr="005104D0" w:rsidRDefault="005104D0" w:rsidP="00626F4B">
      <w:pPr>
        <w:rPr>
          <w:rFonts w:ascii="Verdana" w:hAnsi="Verdana"/>
          <w:b/>
          <w:bCs/>
        </w:rPr>
      </w:pPr>
    </w:p>
    <w:p w14:paraId="409F376E" w14:textId="371E4C88" w:rsidR="0052166D" w:rsidRPr="005104D0" w:rsidRDefault="0052166D" w:rsidP="00626F4B">
      <w:pPr>
        <w:rPr>
          <w:rFonts w:ascii="Verdana" w:hAnsi="Verdana"/>
          <w:b/>
          <w:bCs/>
        </w:rPr>
      </w:pPr>
    </w:p>
    <w:p w14:paraId="01546920" w14:textId="1E51B377" w:rsidR="0052166D" w:rsidRPr="005104D0" w:rsidRDefault="0052166D" w:rsidP="00626F4B">
      <w:pPr>
        <w:rPr>
          <w:rFonts w:ascii="Verdana" w:hAnsi="Verdana"/>
          <w:b/>
          <w:bCs/>
        </w:rPr>
      </w:pPr>
    </w:p>
    <w:p w14:paraId="553D35C9" w14:textId="284542DA" w:rsidR="0052166D" w:rsidRPr="005104D0" w:rsidRDefault="0052166D" w:rsidP="00626F4B">
      <w:pPr>
        <w:rPr>
          <w:rFonts w:ascii="Verdana" w:hAnsi="Verdana"/>
          <w:b/>
          <w:bCs/>
        </w:rPr>
      </w:pPr>
    </w:p>
    <w:p w14:paraId="04226F14" w14:textId="26DC428F" w:rsidR="0052166D" w:rsidRPr="005104D0" w:rsidRDefault="00743F24" w:rsidP="00626F4B">
      <w:pPr>
        <w:rPr>
          <w:rFonts w:ascii="Verdana" w:hAnsi="Verdana"/>
          <w:b/>
          <w:bCs/>
        </w:rPr>
      </w:pPr>
      <w:r>
        <w:rPr>
          <w:rFonts w:ascii="Verdana" w:hAnsi="Verdana"/>
          <w:b/>
          <w:bCs/>
        </w:rPr>
        <w:t xml:space="preserve"> </w:t>
      </w:r>
      <w:r w:rsidR="0083322D">
        <w:rPr>
          <w:rFonts w:ascii="Verdana" w:hAnsi="Verdana"/>
          <w:b/>
          <w:bCs/>
        </w:rPr>
        <w:t xml:space="preserve"> </w:t>
      </w:r>
      <w:r w:rsidR="00776F54">
        <w:rPr>
          <w:rFonts w:ascii="Verdana" w:hAnsi="Verdana"/>
          <w:b/>
          <w:bCs/>
        </w:rPr>
        <w:t xml:space="preserve"> </w:t>
      </w:r>
    </w:p>
    <w:p w14:paraId="40D4D53B" w14:textId="40050396" w:rsidR="0052166D" w:rsidRPr="005104D0" w:rsidRDefault="0052166D" w:rsidP="00626F4B">
      <w:pPr>
        <w:rPr>
          <w:rFonts w:ascii="Verdana" w:hAnsi="Verdana"/>
          <w:b/>
          <w:bCs/>
        </w:rPr>
      </w:pPr>
    </w:p>
    <w:p w14:paraId="1B677274" w14:textId="6A9E8143" w:rsidR="0052166D" w:rsidRPr="005104D0" w:rsidRDefault="0052166D" w:rsidP="00626F4B">
      <w:pPr>
        <w:rPr>
          <w:rFonts w:ascii="Verdana" w:hAnsi="Verdana"/>
          <w:b/>
          <w:bCs/>
        </w:rPr>
      </w:pPr>
    </w:p>
    <w:p w14:paraId="5DD1DF39" w14:textId="576D7F86" w:rsidR="0052166D" w:rsidRPr="005104D0" w:rsidRDefault="0052166D" w:rsidP="00626F4B">
      <w:pPr>
        <w:rPr>
          <w:rFonts w:ascii="Verdana" w:hAnsi="Verdana"/>
          <w:b/>
          <w:bCs/>
        </w:rPr>
      </w:pPr>
    </w:p>
    <w:p w14:paraId="1EC20E26" w14:textId="15A592D0" w:rsidR="0052166D" w:rsidRPr="005104D0" w:rsidRDefault="0052166D" w:rsidP="00626F4B">
      <w:pPr>
        <w:rPr>
          <w:rFonts w:ascii="Verdana" w:hAnsi="Verdana"/>
          <w:b/>
          <w:bCs/>
        </w:rPr>
      </w:pPr>
    </w:p>
    <w:p w14:paraId="0BFDE239" w14:textId="25DC6213" w:rsidR="0052166D" w:rsidRDefault="0052166D" w:rsidP="00626F4B">
      <w:pPr>
        <w:rPr>
          <w:rFonts w:ascii="Verdana" w:hAnsi="Verdana"/>
        </w:rPr>
      </w:pPr>
    </w:p>
    <w:p w14:paraId="12AB43AE" w14:textId="4F501658" w:rsidR="0052166D" w:rsidRDefault="0052166D" w:rsidP="00626F4B">
      <w:pPr>
        <w:rPr>
          <w:rFonts w:ascii="Verdana" w:hAnsi="Verdana"/>
        </w:rPr>
      </w:pPr>
    </w:p>
    <w:p w14:paraId="4E760748" w14:textId="210242C7" w:rsidR="0052166D" w:rsidRDefault="0052166D" w:rsidP="00626F4B">
      <w:pPr>
        <w:rPr>
          <w:rFonts w:ascii="Verdana" w:hAnsi="Verdana"/>
        </w:rPr>
      </w:pPr>
    </w:p>
    <w:p w14:paraId="6EC89C2A" w14:textId="211BE93A" w:rsidR="0052166D" w:rsidRDefault="0052166D" w:rsidP="00626F4B">
      <w:pPr>
        <w:rPr>
          <w:rFonts w:ascii="Verdana" w:hAnsi="Verdana"/>
        </w:rPr>
      </w:pPr>
    </w:p>
    <w:p w14:paraId="46CF1430" w14:textId="11463F2C" w:rsidR="0052166D" w:rsidRDefault="0052166D" w:rsidP="00626F4B">
      <w:pPr>
        <w:rPr>
          <w:rFonts w:ascii="Verdana" w:hAnsi="Verdana"/>
        </w:rPr>
      </w:pPr>
    </w:p>
    <w:p w14:paraId="4EF22445" w14:textId="3A664821" w:rsidR="0052166D" w:rsidRDefault="0052166D" w:rsidP="00626F4B">
      <w:pPr>
        <w:rPr>
          <w:rFonts w:ascii="Verdana" w:hAnsi="Verdana"/>
        </w:rPr>
      </w:pPr>
    </w:p>
    <w:p w14:paraId="00E9E465" w14:textId="27EBB855" w:rsidR="0052166D" w:rsidRDefault="0052166D" w:rsidP="00626F4B">
      <w:pPr>
        <w:rPr>
          <w:rFonts w:ascii="Verdana" w:hAnsi="Verdana"/>
        </w:rPr>
      </w:pPr>
    </w:p>
    <w:p w14:paraId="190B4CDB" w14:textId="61902078" w:rsidR="0052166D" w:rsidRDefault="0052166D" w:rsidP="00626F4B">
      <w:pPr>
        <w:rPr>
          <w:rFonts w:ascii="Verdana" w:hAnsi="Verdana"/>
        </w:rPr>
      </w:pPr>
    </w:p>
    <w:p w14:paraId="713A98E9" w14:textId="700907CC" w:rsidR="0052166D" w:rsidRDefault="0052166D" w:rsidP="00626F4B">
      <w:pPr>
        <w:rPr>
          <w:rFonts w:ascii="Verdana" w:hAnsi="Verdana"/>
        </w:rPr>
      </w:pPr>
    </w:p>
    <w:p w14:paraId="257CFF58" w14:textId="475C8B8A" w:rsidR="0052166D" w:rsidRDefault="0052166D" w:rsidP="00626F4B">
      <w:pPr>
        <w:rPr>
          <w:rFonts w:ascii="Verdana" w:hAnsi="Verdana"/>
        </w:rPr>
      </w:pPr>
    </w:p>
    <w:p w14:paraId="0C40399E" w14:textId="77777777" w:rsidR="0052166D" w:rsidRPr="00413682" w:rsidRDefault="0052166D" w:rsidP="00626F4B">
      <w:pPr>
        <w:rPr>
          <w:rFonts w:ascii="Verdana" w:hAnsi="Verdana"/>
        </w:rPr>
      </w:pPr>
    </w:p>
    <w:p w14:paraId="26DF08E3" w14:textId="77777777" w:rsidR="00785164" w:rsidRPr="005D6214" w:rsidRDefault="00785164" w:rsidP="00626F4B">
      <w:pPr>
        <w:rPr>
          <w:color w:val="FF0000"/>
        </w:rPr>
      </w:pPr>
    </w:p>
    <w:sectPr w:rsidR="00785164" w:rsidRPr="005D62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84406" w14:textId="77777777" w:rsidR="00447339" w:rsidRDefault="00447339" w:rsidP="007F3C4E">
      <w:r>
        <w:separator/>
      </w:r>
    </w:p>
  </w:endnote>
  <w:endnote w:type="continuationSeparator" w:id="0">
    <w:p w14:paraId="5C4EF076" w14:textId="77777777" w:rsidR="00447339" w:rsidRDefault="00447339" w:rsidP="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F66A" w14:textId="77777777" w:rsidR="00447339" w:rsidRDefault="00447339" w:rsidP="007F3C4E">
      <w:r>
        <w:separator/>
      </w:r>
    </w:p>
  </w:footnote>
  <w:footnote w:type="continuationSeparator" w:id="0">
    <w:p w14:paraId="6A4744F0" w14:textId="77777777" w:rsidR="00447339" w:rsidRDefault="00447339" w:rsidP="007F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5557"/>
    <w:multiLevelType w:val="hybridMultilevel"/>
    <w:tmpl w:val="4262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B6B67"/>
    <w:multiLevelType w:val="hybridMultilevel"/>
    <w:tmpl w:val="340C0102"/>
    <w:lvl w:ilvl="0" w:tplc="113EEC76">
      <w:start w:val="1"/>
      <w:numFmt w:val="bullet"/>
      <w:lvlText w:val="•"/>
      <w:lvlJc w:val="left"/>
      <w:pPr>
        <w:tabs>
          <w:tab w:val="num" w:pos="720"/>
        </w:tabs>
        <w:ind w:left="720" w:hanging="360"/>
      </w:pPr>
      <w:rPr>
        <w:rFonts w:ascii="Arial" w:hAnsi="Arial" w:hint="default"/>
      </w:rPr>
    </w:lvl>
    <w:lvl w:ilvl="1" w:tplc="F97CB228" w:tentative="1">
      <w:start w:val="1"/>
      <w:numFmt w:val="bullet"/>
      <w:lvlText w:val="•"/>
      <w:lvlJc w:val="left"/>
      <w:pPr>
        <w:tabs>
          <w:tab w:val="num" w:pos="1440"/>
        </w:tabs>
        <w:ind w:left="1440" w:hanging="360"/>
      </w:pPr>
      <w:rPr>
        <w:rFonts w:ascii="Arial" w:hAnsi="Arial" w:hint="default"/>
      </w:rPr>
    </w:lvl>
    <w:lvl w:ilvl="2" w:tplc="4E8CCBB0" w:tentative="1">
      <w:start w:val="1"/>
      <w:numFmt w:val="bullet"/>
      <w:lvlText w:val="•"/>
      <w:lvlJc w:val="left"/>
      <w:pPr>
        <w:tabs>
          <w:tab w:val="num" w:pos="2160"/>
        </w:tabs>
        <w:ind w:left="2160" w:hanging="360"/>
      </w:pPr>
      <w:rPr>
        <w:rFonts w:ascii="Arial" w:hAnsi="Arial" w:hint="default"/>
      </w:rPr>
    </w:lvl>
    <w:lvl w:ilvl="3" w:tplc="9CAE3256" w:tentative="1">
      <w:start w:val="1"/>
      <w:numFmt w:val="bullet"/>
      <w:lvlText w:val="•"/>
      <w:lvlJc w:val="left"/>
      <w:pPr>
        <w:tabs>
          <w:tab w:val="num" w:pos="2880"/>
        </w:tabs>
        <w:ind w:left="2880" w:hanging="360"/>
      </w:pPr>
      <w:rPr>
        <w:rFonts w:ascii="Arial" w:hAnsi="Arial" w:hint="default"/>
      </w:rPr>
    </w:lvl>
    <w:lvl w:ilvl="4" w:tplc="5F305306" w:tentative="1">
      <w:start w:val="1"/>
      <w:numFmt w:val="bullet"/>
      <w:lvlText w:val="•"/>
      <w:lvlJc w:val="left"/>
      <w:pPr>
        <w:tabs>
          <w:tab w:val="num" w:pos="3600"/>
        </w:tabs>
        <w:ind w:left="3600" w:hanging="360"/>
      </w:pPr>
      <w:rPr>
        <w:rFonts w:ascii="Arial" w:hAnsi="Arial" w:hint="default"/>
      </w:rPr>
    </w:lvl>
    <w:lvl w:ilvl="5" w:tplc="94FC18D4" w:tentative="1">
      <w:start w:val="1"/>
      <w:numFmt w:val="bullet"/>
      <w:lvlText w:val="•"/>
      <w:lvlJc w:val="left"/>
      <w:pPr>
        <w:tabs>
          <w:tab w:val="num" w:pos="4320"/>
        </w:tabs>
        <w:ind w:left="4320" w:hanging="360"/>
      </w:pPr>
      <w:rPr>
        <w:rFonts w:ascii="Arial" w:hAnsi="Arial" w:hint="default"/>
      </w:rPr>
    </w:lvl>
    <w:lvl w:ilvl="6" w:tplc="BAFE22BC" w:tentative="1">
      <w:start w:val="1"/>
      <w:numFmt w:val="bullet"/>
      <w:lvlText w:val="•"/>
      <w:lvlJc w:val="left"/>
      <w:pPr>
        <w:tabs>
          <w:tab w:val="num" w:pos="5040"/>
        </w:tabs>
        <w:ind w:left="5040" w:hanging="360"/>
      </w:pPr>
      <w:rPr>
        <w:rFonts w:ascii="Arial" w:hAnsi="Arial" w:hint="default"/>
      </w:rPr>
    </w:lvl>
    <w:lvl w:ilvl="7" w:tplc="006ED35A" w:tentative="1">
      <w:start w:val="1"/>
      <w:numFmt w:val="bullet"/>
      <w:lvlText w:val="•"/>
      <w:lvlJc w:val="left"/>
      <w:pPr>
        <w:tabs>
          <w:tab w:val="num" w:pos="5760"/>
        </w:tabs>
        <w:ind w:left="5760" w:hanging="360"/>
      </w:pPr>
      <w:rPr>
        <w:rFonts w:ascii="Arial" w:hAnsi="Arial" w:hint="default"/>
      </w:rPr>
    </w:lvl>
    <w:lvl w:ilvl="8" w:tplc="C4F2F0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DF7B6A"/>
    <w:multiLevelType w:val="hybridMultilevel"/>
    <w:tmpl w:val="73FCF0CA"/>
    <w:lvl w:ilvl="0" w:tplc="08090001">
      <w:start w:val="1"/>
      <w:numFmt w:val="bullet"/>
      <w:lvlText w:val=""/>
      <w:lvlJc w:val="left"/>
      <w:pPr>
        <w:ind w:left="720" w:hanging="360"/>
      </w:pPr>
      <w:rPr>
        <w:rFonts w:ascii="Symbol" w:hAnsi="Symbol" w:hint="default"/>
      </w:rPr>
    </w:lvl>
    <w:lvl w:ilvl="1" w:tplc="37B0ADD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22E24"/>
    <w:multiLevelType w:val="hybridMultilevel"/>
    <w:tmpl w:val="CC5C659E"/>
    <w:lvl w:ilvl="0" w:tplc="F2AC5BF0">
      <w:start w:val="1"/>
      <w:numFmt w:val="bullet"/>
      <w:lvlText w:val="•"/>
      <w:lvlJc w:val="left"/>
      <w:pPr>
        <w:tabs>
          <w:tab w:val="num" w:pos="720"/>
        </w:tabs>
        <w:ind w:left="720" w:hanging="360"/>
      </w:pPr>
      <w:rPr>
        <w:rFonts w:ascii="Arial" w:hAnsi="Arial" w:hint="default"/>
      </w:rPr>
    </w:lvl>
    <w:lvl w:ilvl="1" w:tplc="A1F6F252">
      <w:start w:val="1"/>
      <w:numFmt w:val="bullet"/>
      <w:lvlText w:val="•"/>
      <w:lvlJc w:val="left"/>
      <w:pPr>
        <w:tabs>
          <w:tab w:val="num" w:pos="1440"/>
        </w:tabs>
        <w:ind w:left="1440" w:hanging="360"/>
      </w:pPr>
      <w:rPr>
        <w:rFonts w:ascii="Arial" w:hAnsi="Arial" w:hint="default"/>
      </w:rPr>
    </w:lvl>
    <w:lvl w:ilvl="2" w:tplc="CE46CDAC" w:tentative="1">
      <w:start w:val="1"/>
      <w:numFmt w:val="bullet"/>
      <w:lvlText w:val="•"/>
      <w:lvlJc w:val="left"/>
      <w:pPr>
        <w:tabs>
          <w:tab w:val="num" w:pos="2160"/>
        </w:tabs>
        <w:ind w:left="2160" w:hanging="360"/>
      </w:pPr>
      <w:rPr>
        <w:rFonts w:ascii="Arial" w:hAnsi="Arial" w:hint="default"/>
      </w:rPr>
    </w:lvl>
    <w:lvl w:ilvl="3" w:tplc="E9EA41A2" w:tentative="1">
      <w:start w:val="1"/>
      <w:numFmt w:val="bullet"/>
      <w:lvlText w:val="•"/>
      <w:lvlJc w:val="left"/>
      <w:pPr>
        <w:tabs>
          <w:tab w:val="num" w:pos="2880"/>
        </w:tabs>
        <w:ind w:left="2880" w:hanging="360"/>
      </w:pPr>
      <w:rPr>
        <w:rFonts w:ascii="Arial" w:hAnsi="Arial" w:hint="default"/>
      </w:rPr>
    </w:lvl>
    <w:lvl w:ilvl="4" w:tplc="3FD4F464" w:tentative="1">
      <w:start w:val="1"/>
      <w:numFmt w:val="bullet"/>
      <w:lvlText w:val="•"/>
      <w:lvlJc w:val="left"/>
      <w:pPr>
        <w:tabs>
          <w:tab w:val="num" w:pos="3600"/>
        </w:tabs>
        <w:ind w:left="3600" w:hanging="360"/>
      </w:pPr>
      <w:rPr>
        <w:rFonts w:ascii="Arial" w:hAnsi="Arial" w:hint="default"/>
      </w:rPr>
    </w:lvl>
    <w:lvl w:ilvl="5" w:tplc="221CD35A" w:tentative="1">
      <w:start w:val="1"/>
      <w:numFmt w:val="bullet"/>
      <w:lvlText w:val="•"/>
      <w:lvlJc w:val="left"/>
      <w:pPr>
        <w:tabs>
          <w:tab w:val="num" w:pos="4320"/>
        </w:tabs>
        <w:ind w:left="4320" w:hanging="360"/>
      </w:pPr>
      <w:rPr>
        <w:rFonts w:ascii="Arial" w:hAnsi="Arial" w:hint="default"/>
      </w:rPr>
    </w:lvl>
    <w:lvl w:ilvl="6" w:tplc="E0FCBD10" w:tentative="1">
      <w:start w:val="1"/>
      <w:numFmt w:val="bullet"/>
      <w:lvlText w:val="•"/>
      <w:lvlJc w:val="left"/>
      <w:pPr>
        <w:tabs>
          <w:tab w:val="num" w:pos="5040"/>
        </w:tabs>
        <w:ind w:left="5040" w:hanging="360"/>
      </w:pPr>
      <w:rPr>
        <w:rFonts w:ascii="Arial" w:hAnsi="Arial" w:hint="default"/>
      </w:rPr>
    </w:lvl>
    <w:lvl w:ilvl="7" w:tplc="9B7C5D4A" w:tentative="1">
      <w:start w:val="1"/>
      <w:numFmt w:val="bullet"/>
      <w:lvlText w:val="•"/>
      <w:lvlJc w:val="left"/>
      <w:pPr>
        <w:tabs>
          <w:tab w:val="num" w:pos="5760"/>
        </w:tabs>
        <w:ind w:left="5760" w:hanging="360"/>
      </w:pPr>
      <w:rPr>
        <w:rFonts w:ascii="Arial" w:hAnsi="Arial" w:hint="default"/>
      </w:rPr>
    </w:lvl>
    <w:lvl w:ilvl="8" w:tplc="7D6C04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A01CE9"/>
    <w:multiLevelType w:val="hybridMultilevel"/>
    <w:tmpl w:val="7FA42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377A5"/>
    <w:multiLevelType w:val="hybridMultilevel"/>
    <w:tmpl w:val="3D7AF512"/>
    <w:lvl w:ilvl="0" w:tplc="6FBE357E">
      <w:start w:val="1"/>
      <w:numFmt w:val="bullet"/>
      <w:lvlText w:val="•"/>
      <w:lvlJc w:val="left"/>
      <w:pPr>
        <w:tabs>
          <w:tab w:val="num" w:pos="720"/>
        </w:tabs>
        <w:ind w:left="720" w:hanging="360"/>
      </w:pPr>
      <w:rPr>
        <w:rFonts w:ascii="Arial" w:hAnsi="Arial" w:hint="default"/>
      </w:rPr>
    </w:lvl>
    <w:lvl w:ilvl="1" w:tplc="A5588E90" w:tentative="1">
      <w:start w:val="1"/>
      <w:numFmt w:val="bullet"/>
      <w:lvlText w:val="•"/>
      <w:lvlJc w:val="left"/>
      <w:pPr>
        <w:tabs>
          <w:tab w:val="num" w:pos="1440"/>
        </w:tabs>
        <w:ind w:left="1440" w:hanging="360"/>
      </w:pPr>
      <w:rPr>
        <w:rFonts w:ascii="Arial" w:hAnsi="Arial" w:hint="default"/>
      </w:rPr>
    </w:lvl>
    <w:lvl w:ilvl="2" w:tplc="BC44F050" w:tentative="1">
      <w:start w:val="1"/>
      <w:numFmt w:val="bullet"/>
      <w:lvlText w:val="•"/>
      <w:lvlJc w:val="left"/>
      <w:pPr>
        <w:tabs>
          <w:tab w:val="num" w:pos="2160"/>
        </w:tabs>
        <w:ind w:left="2160" w:hanging="360"/>
      </w:pPr>
      <w:rPr>
        <w:rFonts w:ascii="Arial" w:hAnsi="Arial" w:hint="default"/>
      </w:rPr>
    </w:lvl>
    <w:lvl w:ilvl="3" w:tplc="C8FAB984" w:tentative="1">
      <w:start w:val="1"/>
      <w:numFmt w:val="bullet"/>
      <w:lvlText w:val="•"/>
      <w:lvlJc w:val="left"/>
      <w:pPr>
        <w:tabs>
          <w:tab w:val="num" w:pos="2880"/>
        </w:tabs>
        <w:ind w:left="2880" w:hanging="360"/>
      </w:pPr>
      <w:rPr>
        <w:rFonts w:ascii="Arial" w:hAnsi="Arial" w:hint="default"/>
      </w:rPr>
    </w:lvl>
    <w:lvl w:ilvl="4" w:tplc="AA425058" w:tentative="1">
      <w:start w:val="1"/>
      <w:numFmt w:val="bullet"/>
      <w:lvlText w:val="•"/>
      <w:lvlJc w:val="left"/>
      <w:pPr>
        <w:tabs>
          <w:tab w:val="num" w:pos="3600"/>
        </w:tabs>
        <w:ind w:left="3600" w:hanging="360"/>
      </w:pPr>
      <w:rPr>
        <w:rFonts w:ascii="Arial" w:hAnsi="Arial" w:hint="default"/>
      </w:rPr>
    </w:lvl>
    <w:lvl w:ilvl="5" w:tplc="BA060082" w:tentative="1">
      <w:start w:val="1"/>
      <w:numFmt w:val="bullet"/>
      <w:lvlText w:val="•"/>
      <w:lvlJc w:val="left"/>
      <w:pPr>
        <w:tabs>
          <w:tab w:val="num" w:pos="4320"/>
        </w:tabs>
        <w:ind w:left="4320" w:hanging="360"/>
      </w:pPr>
      <w:rPr>
        <w:rFonts w:ascii="Arial" w:hAnsi="Arial" w:hint="default"/>
      </w:rPr>
    </w:lvl>
    <w:lvl w:ilvl="6" w:tplc="F8BABFE2" w:tentative="1">
      <w:start w:val="1"/>
      <w:numFmt w:val="bullet"/>
      <w:lvlText w:val="•"/>
      <w:lvlJc w:val="left"/>
      <w:pPr>
        <w:tabs>
          <w:tab w:val="num" w:pos="5040"/>
        </w:tabs>
        <w:ind w:left="5040" w:hanging="360"/>
      </w:pPr>
      <w:rPr>
        <w:rFonts w:ascii="Arial" w:hAnsi="Arial" w:hint="default"/>
      </w:rPr>
    </w:lvl>
    <w:lvl w:ilvl="7" w:tplc="C9DCAA82" w:tentative="1">
      <w:start w:val="1"/>
      <w:numFmt w:val="bullet"/>
      <w:lvlText w:val="•"/>
      <w:lvlJc w:val="left"/>
      <w:pPr>
        <w:tabs>
          <w:tab w:val="num" w:pos="5760"/>
        </w:tabs>
        <w:ind w:left="5760" w:hanging="360"/>
      </w:pPr>
      <w:rPr>
        <w:rFonts w:ascii="Arial" w:hAnsi="Arial" w:hint="default"/>
      </w:rPr>
    </w:lvl>
    <w:lvl w:ilvl="8" w:tplc="CB2018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816EAE"/>
    <w:multiLevelType w:val="hybridMultilevel"/>
    <w:tmpl w:val="9C0CDF20"/>
    <w:lvl w:ilvl="0" w:tplc="53926D46">
      <w:start w:val="1"/>
      <w:numFmt w:val="bullet"/>
      <w:lvlText w:val="•"/>
      <w:lvlJc w:val="left"/>
      <w:pPr>
        <w:tabs>
          <w:tab w:val="num" w:pos="720"/>
        </w:tabs>
        <w:ind w:left="720" w:hanging="360"/>
      </w:pPr>
      <w:rPr>
        <w:rFonts w:ascii="Arial" w:hAnsi="Arial" w:hint="default"/>
      </w:rPr>
    </w:lvl>
    <w:lvl w:ilvl="1" w:tplc="6DC8E922" w:tentative="1">
      <w:start w:val="1"/>
      <w:numFmt w:val="bullet"/>
      <w:lvlText w:val="•"/>
      <w:lvlJc w:val="left"/>
      <w:pPr>
        <w:tabs>
          <w:tab w:val="num" w:pos="1440"/>
        </w:tabs>
        <w:ind w:left="1440" w:hanging="360"/>
      </w:pPr>
      <w:rPr>
        <w:rFonts w:ascii="Arial" w:hAnsi="Arial" w:hint="default"/>
      </w:rPr>
    </w:lvl>
    <w:lvl w:ilvl="2" w:tplc="4BC05B6C" w:tentative="1">
      <w:start w:val="1"/>
      <w:numFmt w:val="bullet"/>
      <w:lvlText w:val="•"/>
      <w:lvlJc w:val="left"/>
      <w:pPr>
        <w:tabs>
          <w:tab w:val="num" w:pos="2160"/>
        </w:tabs>
        <w:ind w:left="2160" w:hanging="360"/>
      </w:pPr>
      <w:rPr>
        <w:rFonts w:ascii="Arial" w:hAnsi="Arial" w:hint="default"/>
      </w:rPr>
    </w:lvl>
    <w:lvl w:ilvl="3" w:tplc="9EFEF774" w:tentative="1">
      <w:start w:val="1"/>
      <w:numFmt w:val="bullet"/>
      <w:lvlText w:val="•"/>
      <w:lvlJc w:val="left"/>
      <w:pPr>
        <w:tabs>
          <w:tab w:val="num" w:pos="2880"/>
        </w:tabs>
        <w:ind w:left="2880" w:hanging="360"/>
      </w:pPr>
      <w:rPr>
        <w:rFonts w:ascii="Arial" w:hAnsi="Arial" w:hint="default"/>
      </w:rPr>
    </w:lvl>
    <w:lvl w:ilvl="4" w:tplc="CF163C42" w:tentative="1">
      <w:start w:val="1"/>
      <w:numFmt w:val="bullet"/>
      <w:lvlText w:val="•"/>
      <w:lvlJc w:val="left"/>
      <w:pPr>
        <w:tabs>
          <w:tab w:val="num" w:pos="3600"/>
        </w:tabs>
        <w:ind w:left="3600" w:hanging="360"/>
      </w:pPr>
      <w:rPr>
        <w:rFonts w:ascii="Arial" w:hAnsi="Arial" w:hint="default"/>
      </w:rPr>
    </w:lvl>
    <w:lvl w:ilvl="5" w:tplc="0A18B29C" w:tentative="1">
      <w:start w:val="1"/>
      <w:numFmt w:val="bullet"/>
      <w:lvlText w:val="•"/>
      <w:lvlJc w:val="left"/>
      <w:pPr>
        <w:tabs>
          <w:tab w:val="num" w:pos="4320"/>
        </w:tabs>
        <w:ind w:left="4320" w:hanging="360"/>
      </w:pPr>
      <w:rPr>
        <w:rFonts w:ascii="Arial" w:hAnsi="Arial" w:hint="default"/>
      </w:rPr>
    </w:lvl>
    <w:lvl w:ilvl="6" w:tplc="ADAAC6BE" w:tentative="1">
      <w:start w:val="1"/>
      <w:numFmt w:val="bullet"/>
      <w:lvlText w:val="•"/>
      <w:lvlJc w:val="left"/>
      <w:pPr>
        <w:tabs>
          <w:tab w:val="num" w:pos="5040"/>
        </w:tabs>
        <w:ind w:left="5040" w:hanging="360"/>
      </w:pPr>
      <w:rPr>
        <w:rFonts w:ascii="Arial" w:hAnsi="Arial" w:hint="default"/>
      </w:rPr>
    </w:lvl>
    <w:lvl w:ilvl="7" w:tplc="F71C6E6E" w:tentative="1">
      <w:start w:val="1"/>
      <w:numFmt w:val="bullet"/>
      <w:lvlText w:val="•"/>
      <w:lvlJc w:val="left"/>
      <w:pPr>
        <w:tabs>
          <w:tab w:val="num" w:pos="5760"/>
        </w:tabs>
        <w:ind w:left="5760" w:hanging="360"/>
      </w:pPr>
      <w:rPr>
        <w:rFonts w:ascii="Arial" w:hAnsi="Arial" w:hint="default"/>
      </w:rPr>
    </w:lvl>
    <w:lvl w:ilvl="8" w:tplc="D0F4BF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415C60"/>
    <w:multiLevelType w:val="hybridMultilevel"/>
    <w:tmpl w:val="847A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E281A"/>
    <w:multiLevelType w:val="hybridMultilevel"/>
    <w:tmpl w:val="6CD82B9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FF"/>
    <w:rsid w:val="000008B9"/>
    <w:rsid w:val="00001B8B"/>
    <w:rsid w:val="00001B9A"/>
    <w:rsid w:val="00006F58"/>
    <w:rsid w:val="000079FB"/>
    <w:rsid w:val="0001074C"/>
    <w:rsid w:val="00010E43"/>
    <w:rsid w:val="00011177"/>
    <w:rsid w:val="00011DBC"/>
    <w:rsid w:val="00016C1E"/>
    <w:rsid w:val="0002082B"/>
    <w:rsid w:val="0002249F"/>
    <w:rsid w:val="00022708"/>
    <w:rsid w:val="000235A3"/>
    <w:rsid w:val="00023860"/>
    <w:rsid w:val="00023C8C"/>
    <w:rsid w:val="00025A1D"/>
    <w:rsid w:val="00027A98"/>
    <w:rsid w:val="00030FF0"/>
    <w:rsid w:val="000355CE"/>
    <w:rsid w:val="0003568A"/>
    <w:rsid w:val="0003666E"/>
    <w:rsid w:val="000400AD"/>
    <w:rsid w:val="000409ED"/>
    <w:rsid w:val="00040F6C"/>
    <w:rsid w:val="00041278"/>
    <w:rsid w:val="000413AE"/>
    <w:rsid w:val="00041F13"/>
    <w:rsid w:val="0004236C"/>
    <w:rsid w:val="000439B1"/>
    <w:rsid w:val="00043C3D"/>
    <w:rsid w:val="000464F3"/>
    <w:rsid w:val="0004721E"/>
    <w:rsid w:val="00050DA1"/>
    <w:rsid w:val="00051D3B"/>
    <w:rsid w:val="000538A7"/>
    <w:rsid w:val="000542FE"/>
    <w:rsid w:val="000545BA"/>
    <w:rsid w:val="000549C5"/>
    <w:rsid w:val="00055918"/>
    <w:rsid w:val="000572AC"/>
    <w:rsid w:val="00060481"/>
    <w:rsid w:val="00061307"/>
    <w:rsid w:val="00062B2D"/>
    <w:rsid w:val="000658A4"/>
    <w:rsid w:val="000663D6"/>
    <w:rsid w:val="00067423"/>
    <w:rsid w:val="0007175E"/>
    <w:rsid w:val="00072368"/>
    <w:rsid w:val="000728F8"/>
    <w:rsid w:val="00074392"/>
    <w:rsid w:val="00074670"/>
    <w:rsid w:val="000762CB"/>
    <w:rsid w:val="000771DA"/>
    <w:rsid w:val="000776BC"/>
    <w:rsid w:val="00080556"/>
    <w:rsid w:val="000818EF"/>
    <w:rsid w:val="000833BA"/>
    <w:rsid w:val="00084711"/>
    <w:rsid w:val="0008521F"/>
    <w:rsid w:val="0008615F"/>
    <w:rsid w:val="0008754A"/>
    <w:rsid w:val="00091C4E"/>
    <w:rsid w:val="00091D20"/>
    <w:rsid w:val="00096A8D"/>
    <w:rsid w:val="00096C79"/>
    <w:rsid w:val="00096DC8"/>
    <w:rsid w:val="000A0701"/>
    <w:rsid w:val="000A0750"/>
    <w:rsid w:val="000A40AF"/>
    <w:rsid w:val="000A4AEA"/>
    <w:rsid w:val="000A503C"/>
    <w:rsid w:val="000A5409"/>
    <w:rsid w:val="000B1AD7"/>
    <w:rsid w:val="000B2F05"/>
    <w:rsid w:val="000B3BF7"/>
    <w:rsid w:val="000B5D20"/>
    <w:rsid w:val="000B7725"/>
    <w:rsid w:val="000B7E58"/>
    <w:rsid w:val="000B7FD0"/>
    <w:rsid w:val="000C0491"/>
    <w:rsid w:val="000C0E08"/>
    <w:rsid w:val="000C2174"/>
    <w:rsid w:val="000C27E2"/>
    <w:rsid w:val="000C2CB2"/>
    <w:rsid w:val="000C4832"/>
    <w:rsid w:val="000C5759"/>
    <w:rsid w:val="000C721F"/>
    <w:rsid w:val="000C7CE4"/>
    <w:rsid w:val="000D0296"/>
    <w:rsid w:val="000D19EE"/>
    <w:rsid w:val="000D2E82"/>
    <w:rsid w:val="000D2EC7"/>
    <w:rsid w:val="000D3370"/>
    <w:rsid w:val="000D49EA"/>
    <w:rsid w:val="000D5665"/>
    <w:rsid w:val="000E1B6F"/>
    <w:rsid w:val="000E23FE"/>
    <w:rsid w:val="000E4832"/>
    <w:rsid w:val="000E5305"/>
    <w:rsid w:val="000E6026"/>
    <w:rsid w:val="000F016E"/>
    <w:rsid w:val="000F0B4E"/>
    <w:rsid w:val="000F186F"/>
    <w:rsid w:val="000F2233"/>
    <w:rsid w:val="000F5F64"/>
    <w:rsid w:val="000F7341"/>
    <w:rsid w:val="001001F9"/>
    <w:rsid w:val="0010092B"/>
    <w:rsid w:val="00101583"/>
    <w:rsid w:val="0010262A"/>
    <w:rsid w:val="00102F53"/>
    <w:rsid w:val="001035DF"/>
    <w:rsid w:val="00103C32"/>
    <w:rsid w:val="0010420D"/>
    <w:rsid w:val="00104530"/>
    <w:rsid w:val="001121D8"/>
    <w:rsid w:val="00113C11"/>
    <w:rsid w:val="00114DF0"/>
    <w:rsid w:val="00116B45"/>
    <w:rsid w:val="00117BBC"/>
    <w:rsid w:val="00120D07"/>
    <w:rsid w:val="00120D38"/>
    <w:rsid w:val="00121091"/>
    <w:rsid w:val="00122DF5"/>
    <w:rsid w:val="00125293"/>
    <w:rsid w:val="00125900"/>
    <w:rsid w:val="00125D93"/>
    <w:rsid w:val="001278CA"/>
    <w:rsid w:val="001300B1"/>
    <w:rsid w:val="00130C99"/>
    <w:rsid w:val="0013160C"/>
    <w:rsid w:val="0013381E"/>
    <w:rsid w:val="001340FF"/>
    <w:rsid w:val="0013514C"/>
    <w:rsid w:val="001354B0"/>
    <w:rsid w:val="00135644"/>
    <w:rsid w:val="00135B35"/>
    <w:rsid w:val="00140345"/>
    <w:rsid w:val="0014062C"/>
    <w:rsid w:val="00141E9F"/>
    <w:rsid w:val="00142260"/>
    <w:rsid w:val="00142E7A"/>
    <w:rsid w:val="001452E4"/>
    <w:rsid w:val="001467C4"/>
    <w:rsid w:val="00151062"/>
    <w:rsid w:val="00155A91"/>
    <w:rsid w:val="0015693F"/>
    <w:rsid w:val="001606FC"/>
    <w:rsid w:val="00161F2F"/>
    <w:rsid w:val="00164476"/>
    <w:rsid w:val="00165106"/>
    <w:rsid w:val="0016596D"/>
    <w:rsid w:val="00167E2A"/>
    <w:rsid w:val="0017075B"/>
    <w:rsid w:val="001720DB"/>
    <w:rsid w:val="00173E14"/>
    <w:rsid w:val="00174276"/>
    <w:rsid w:val="00175A83"/>
    <w:rsid w:val="00176B92"/>
    <w:rsid w:val="00176EC5"/>
    <w:rsid w:val="00177B2E"/>
    <w:rsid w:val="00180E6C"/>
    <w:rsid w:val="001817E2"/>
    <w:rsid w:val="0018219F"/>
    <w:rsid w:val="00184AF5"/>
    <w:rsid w:val="00187EE0"/>
    <w:rsid w:val="00194651"/>
    <w:rsid w:val="00194A07"/>
    <w:rsid w:val="00195330"/>
    <w:rsid w:val="00195361"/>
    <w:rsid w:val="001955FA"/>
    <w:rsid w:val="001959A8"/>
    <w:rsid w:val="001964AD"/>
    <w:rsid w:val="001972ED"/>
    <w:rsid w:val="00197C9C"/>
    <w:rsid w:val="001A0965"/>
    <w:rsid w:val="001A0EAA"/>
    <w:rsid w:val="001A4ECF"/>
    <w:rsid w:val="001A6445"/>
    <w:rsid w:val="001B0590"/>
    <w:rsid w:val="001B4382"/>
    <w:rsid w:val="001B5B6F"/>
    <w:rsid w:val="001B6219"/>
    <w:rsid w:val="001B717C"/>
    <w:rsid w:val="001B769E"/>
    <w:rsid w:val="001C42F6"/>
    <w:rsid w:val="001C5B5B"/>
    <w:rsid w:val="001D2067"/>
    <w:rsid w:val="001D5205"/>
    <w:rsid w:val="001D54B2"/>
    <w:rsid w:val="001E08C5"/>
    <w:rsid w:val="001E1520"/>
    <w:rsid w:val="001E44E5"/>
    <w:rsid w:val="001E492E"/>
    <w:rsid w:val="001E635C"/>
    <w:rsid w:val="001E6751"/>
    <w:rsid w:val="001E6774"/>
    <w:rsid w:val="001E7277"/>
    <w:rsid w:val="001E7DD3"/>
    <w:rsid w:val="001F006B"/>
    <w:rsid w:val="001F1343"/>
    <w:rsid w:val="001F2372"/>
    <w:rsid w:val="001F37C4"/>
    <w:rsid w:val="001F3B4B"/>
    <w:rsid w:val="001F479C"/>
    <w:rsid w:val="001F73C8"/>
    <w:rsid w:val="002011B2"/>
    <w:rsid w:val="002014E4"/>
    <w:rsid w:val="00201552"/>
    <w:rsid w:val="002035AA"/>
    <w:rsid w:val="0020404E"/>
    <w:rsid w:val="00206792"/>
    <w:rsid w:val="002118C0"/>
    <w:rsid w:val="00211A8C"/>
    <w:rsid w:val="00215083"/>
    <w:rsid w:val="00215464"/>
    <w:rsid w:val="00215E2B"/>
    <w:rsid w:val="0022275E"/>
    <w:rsid w:val="00222DB2"/>
    <w:rsid w:val="00224246"/>
    <w:rsid w:val="002254F0"/>
    <w:rsid w:val="00232C98"/>
    <w:rsid w:val="00235370"/>
    <w:rsid w:val="00243BE4"/>
    <w:rsid w:val="002479F9"/>
    <w:rsid w:val="002503DA"/>
    <w:rsid w:val="002517A7"/>
    <w:rsid w:val="00254504"/>
    <w:rsid w:val="00256D9C"/>
    <w:rsid w:val="00261797"/>
    <w:rsid w:val="00261E63"/>
    <w:rsid w:val="00262997"/>
    <w:rsid w:val="00262B44"/>
    <w:rsid w:val="00262C85"/>
    <w:rsid w:val="00265DBE"/>
    <w:rsid w:val="00266688"/>
    <w:rsid w:val="0027012E"/>
    <w:rsid w:val="00270349"/>
    <w:rsid w:val="00270888"/>
    <w:rsid w:val="0027127C"/>
    <w:rsid w:val="00272BBF"/>
    <w:rsid w:val="00274297"/>
    <w:rsid w:val="00274967"/>
    <w:rsid w:val="0027567C"/>
    <w:rsid w:val="00276392"/>
    <w:rsid w:val="00276781"/>
    <w:rsid w:val="00276F6A"/>
    <w:rsid w:val="002820AB"/>
    <w:rsid w:val="0028265D"/>
    <w:rsid w:val="00282787"/>
    <w:rsid w:val="002839CC"/>
    <w:rsid w:val="0028503E"/>
    <w:rsid w:val="002859CB"/>
    <w:rsid w:val="0028769A"/>
    <w:rsid w:val="00290CD5"/>
    <w:rsid w:val="00291636"/>
    <w:rsid w:val="0029366D"/>
    <w:rsid w:val="00293A11"/>
    <w:rsid w:val="002977BD"/>
    <w:rsid w:val="002A011D"/>
    <w:rsid w:val="002A0198"/>
    <w:rsid w:val="002A16EC"/>
    <w:rsid w:val="002A354F"/>
    <w:rsid w:val="002A4B9D"/>
    <w:rsid w:val="002A644B"/>
    <w:rsid w:val="002A64C5"/>
    <w:rsid w:val="002A7F29"/>
    <w:rsid w:val="002B03EE"/>
    <w:rsid w:val="002B18BF"/>
    <w:rsid w:val="002B2496"/>
    <w:rsid w:val="002B28D5"/>
    <w:rsid w:val="002B291A"/>
    <w:rsid w:val="002B2C67"/>
    <w:rsid w:val="002B382E"/>
    <w:rsid w:val="002B6526"/>
    <w:rsid w:val="002B77ED"/>
    <w:rsid w:val="002B7DAA"/>
    <w:rsid w:val="002B7DAF"/>
    <w:rsid w:val="002C35F6"/>
    <w:rsid w:val="002C4071"/>
    <w:rsid w:val="002C54C7"/>
    <w:rsid w:val="002C5D04"/>
    <w:rsid w:val="002C7082"/>
    <w:rsid w:val="002C7522"/>
    <w:rsid w:val="002D037E"/>
    <w:rsid w:val="002D07AD"/>
    <w:rsid w:val="002D151E"/>
    <w:rsid w:val="002D3417"/>
    <w:rsid w:val="002D3AF5"/>
    <w:rsid w:val="002D5B58"/>
    <w:rsid w:val="002E084F"/>
    <w:rsid w:val="002E11F4"/>
    <w:rsid w:val="002E3CC1"/>
    <w:rsid w:val="002E3F49"/>
    <w:rsid w:val="002E47E5"/>
    <w:rsid w:val="002E4857"/>
    <w:rsid w:val="002E5AD0"/>
    <w:rsid w:val="002E6C07"/>
    <w:rsid w:val="002E7806"/>
    <w:rsid w:val="002E7B2D"/>
    <w:rsid w:val="002F1ECA"/>
    <w:rsid w:val="002F362E"/>
    <w:rsid w:val="002F401F"/>
    <w:rsid w:val="002F412F"/>
    <w:rsid w:val="002F41C6"/>
    <w:rsid w:val="00300F45"/>
    <w:rsid w:val="0030388C"/>
    <w:rsid w:val="00304754"/>
    <w:rsid w:val="00304F77"/>
    <w:rsid w:val="003054D2"/>
    <w:rsid w:val="00305E25"/>
    <w:rsid w:val="00307D05"/>
    <w:rsid w:val="00310C45"/>
    <w:rsid w:val="003127D2"/>
    <w:rsid w:val="00313299"/>
    <w:rsid w:val="00314B91"/>
    <w:rsid w:val="00314DFF"/>
    <w:rsid w:val="003164FD"/>
    <w:rsid w:val="003179FB"/>
    <w:rsid w:val="003206B8"/>
    <w:rsid w:val="00320AE9"/>
    <w:rsid w:val="00320D5F"/>
    <w:rsid w:val="003229AF"/>
    <w:rsid w:val="00322DFD"/>
    <w:rsid w:val="00323158"/>
    <w:rsid w:val="00323B51"/>
    <w:rsid w:val="00323B84"/>
    <w:rsid w:val="00323DAD"/>
    <w:rsid w:val="003248F3"/>
    <w:rsid w:val="00325363"/>
    <w:rsid w:val="003258B8"/>
    <w:rsid w:val="0032625D"/>
    <w:rsid w:val="00327AE4"/>
    <w:rsid w:val="00331281"/>
    <w:rsid w:val="00331324"/>
    <w:rsid w:val="00333F86"/>
    <w:rsid w:val="00334B5C"/>
    <w:rsid w:val="00336498"/>
    <w:rsid w:val="003416DE"/>
    <w:rsid w:val="00342ABE"/>
    <w:rsid w:val="003433DC"/>
    <w:rsid w:val="0034508E"/>
    <w:rsid w:val="00346D1D"/>
    <w:rsid w:val="00351829"/>
    <w:rsid w:val="003519F7"/>
    <w:rsid w:val="00351B4C"/>
    <w:rsid w:val="00351EE6"/>
    <w:rsid w:val="003549D7"/>
    <w:rsid w:val="00354C17"/>
    <w:rsid w:val="00355F65"/>
    <w:rsid w:val="003623B6"/>
    <w:rsid w:val="003672E3"/>
    <w:rsid w:val="00367FD5"/>
    <w:rsid w:val="00370B7E"/>
    <w:rsid w:val="00370D3D"/>
    <w:rsid w:val="003764FD"/>
    <w:rsid w:val="003768C7"/>
    <w:rsid w:val="00380EFA"/>
    <w:rsid w:val="003849EC"/>
    <w:rsid w:val="00385A1C"/>
    <w:rsid w:val="00385D3D"/>
    <w:rsid w:val="0038613D"/>
    <w:rsid w:val="00387D7F"/>
    <w:rsid w:val="00390AE7"/>
    <w:rsid w:val="00390DF1"/>
    <w:rsid w:val="0039184D"/>
    <w:rsid w:val="00391E3C"/>
    <w:rsid w:val="00392053"/>
    <w:rsid w:val="00394B86"/>
    <w:rsid w:val="00394E1D"/>
    <w:rsid w:val="00395BD2"/>
    <w:rsid w:val="00395F77"/>
    <w:rsid w:val="00395FEF"/>
    <w:rsid w:val="003A0A1C"/>
    <w:rsid w:val="003A1726"/>
    <w:rsid w:val="003A1E7E"/>
    <w:rsid w:val="003A212E"/>
    <w:rsid w:val="003A4DA9"/>
    <w:rsid w:val="003A6523"/>
    <w:rsid w:val="003A7ED1"/>
    <w:rsid w:val="003B20BE"/>
    <w:rsid w:val="003B34E2"/>
    <w:rsid w:val="003B36B6"/>
    <w:rsid w:val="003B5173"/>
    <w:rsid w:val="003B5413"/>
    <w:rsid w:val="003B7166"/>
    <w:rsid w:val="003C03CB"/>
    <w:rsid w:val="003C2D3B"/>
    <w:rsid w:val="003C41F3"/>
    <w:rsid w:val="003C49FC"/>
    <w:rsid w:val="003C7515"/>
    <w:rsid w:val="003D462A"/>
    <w:rsid w:val="003D688D"/>
    <w:rsid w:val="003D77F2"/>
    <w:rsid w:val="003E0E97"/>
    <w:rsid w:val="003E1E80"/>
    <w:rsid w:val="003E4456"/>
    <w:rsid w:val="003E44AE"/>
    <w:rsid w:val="003E5309"/>
    <w:rsid w:val="003E606A"/>
    <w:rsid w:val="003E7B79"/>
    <w:rsid w:val="003F1E63"/>
    <w:rsid w:val="003F1E6A"/>
    <w:rsid w:val="003F2039"/>
    <w:rsid w:val="003F2722"/>
    <w:rsid w:val="003F3714"/>
    <w:rsid w:val="003F3C3A"/>
    <w:rsid w:val="003F482A"/>
    <w:rsid w:val="00400C02"/>
    <w:rsid w:val="00401820"/>
    <w:rsid w:val="004020B9"/>
    <w:rsid w:val="00411D17"/>
    <w:rsid w:val="00412058"/>
    <w:rsid w:val="00412239"/>
    <w:rsid w:val="00413682"/>
    <w:rsid w:val="0041423F"/>
    <w:rsid w:val="004150BD"/>
    <w:rsid w:val="004155BA"/>
    <w:rsid w:val="00416199"/>
    <w:rsid w:val="00416D54"/>
    <w:rsid w:val="00417393"/>
    <w:rsid w:val="004175DC"/>
    <w:rsid w:val="0042118B"/>
    <w:rsid w:val="0042218C"/>
    <w:rsid w:val="00422B7C"/>
    <w:rsid w:val="00422D6B"/>
    <w:rsid w:val="004245B6"/>
    <w:rsid w:val="00424A34"/>
    <w:rsid w:val="00424F43"/>
    <w:rsid w:val="00427863"/>
    <w:rsid w:val="00431214"/>
    <w:rsid w:val="00432898"/>
    <w:rsid w:val="00432B1F"/>
    <w:rsid w:val="00432CC2"/>
    <w:rsid w:val="0043354D"/>
    <w:rsid w:val="004367B4"/>
    <w:rsid w:val="00441A61"/>
    <w:rsid w:val="004438AE"/>
    <w:rsid w:val="00445FFA"/>
    <w:rsid w:val="00447339"/>
    <w:rsid w:val="0045119F"/>
    <w:rsid w:val="00452073"/>
    <w:rsid w:val="004523A0"/>
    <w:rsid w:val="00453ED8"/>
    <w:rsid w:val="00460EAB"/>
    <w:rsid w:val="0046106E"/>
    <w:rsid w:val="00462F87"/>
    <w:rsid w:val="00463FA1"/>
    <w:rsid w:val="0046512D"/>
    <w:rsid w:val="0046622F"/>
    <w:rsid w:val="00466406"/>
    <w:rsid w:val="00467367"/>
    <w:rsid w:val="004708D4"/>
    <w:rsid w:val="00470F1B"/>
    <w:rsid w:val="004711A5"/>
    <w:rsid w:val="00474E14"/>
    <w:rsid w:val="00475E4B"/>
    <w:rsid w:val="0047700E"/>
    <w:rsid w:val="00481368"/>
    <w:rsid w:val="00481F27"/>
    <w:rsid w:val="004874AC"/>
    <w:rsid w:val="00490933"/>
    <w:rsid w:val="0049103B"/>
    <w:rsid w:val="004912D1"/>
    <w:rsid w:val="00491C21"/>
    <w:rsid w:val="00492C5B"/>
    <w:rsid w:val="00495EDD"/>
    <w:rsid w:val="00496E34"/>
    <w:rsid w:val="004A06CB"/>
    <w:rsid w:val="004A139B"/>
    <w:rsid w:val="004A2D58"/>
    <w:rsid w:val="004A3A92"/>
    <w:rsid w:val="004B17C8"/>
    <w:rsid w:val="004B2053"/>
    <w:rsid w:val="004B21B2"/>
    <w:rsid w:val="004B2888"/>
    <w:rsid w:val="004B6F74"/>
    <w:rsid w:val="004C0414"/>
    <w:rsid w:val="004C0884"/>
    <w:rsid w:val="004C20B0"/>
    <w:rsid w:val="004C256F"/>
    <w:rsid w:val="004C3968"/>
    <w:rsid w:val="004C3DE5"/>
    <w:rsid w:val="004C43BE"/>
    <w:rsid w:val="004C4CA9"/>
    <w:rsid w:val="004C54BA"/>
    <w:rsid w:val="004C5509"/>
    <w:rsid w:val="004C6993"/>
    <w:rsid w:val="004D2202"/>
    <w:rsid w:val="004D25A7"/>
    <w:rsid w:val="004D2D63"/>
    <w:rsid w:val="004D37CF"/>
    <w:rsid w:val="004D3916"/>
    <w:rsid w:val="004D3B51"/>
    <w:rsid w:val="004D3EBF"/>
    <w:rsid w:val="004D59DC"/>
    <w:rsid w:val="004D686B"/>
    <w:rsid w:val="004D7AFB"/>
    <w:rsid w:val="004E2221"/>
    <w:rsid w:val="004E2260"/>
    <w:rsid w:val="004E436C"/>
    <w:rsid w:val="004E791D"/>
    <w:rsid w:val="004F4CCC"/>
    <w:rsid w:val="004F5008"/>
    <w:rsid w:val="004F59A6"/>
    <w:rsid w:val="004F5AD0"/>
    <w:rsid w:val="00500222"/>
    <w:rsid w:val="00501C8A"/>
    <w:rsid w:val="005031E5"/>
    <w:rsid w:val="00503EE3"/>
    <w:rsid w:val="00504FAF"/>
    <w:rsid w:val="00506E03"/>
    <w:rsid w:val="005104D0"/>
    <w:rsid w:val="005106CE"/>
    <w:rsid w:val="005108E8"/>
    <w:rsid w:val="005109FF"/>
    <w:rsid w:val="00511165"/>
    <w:rsid w:val="00512E4E"/>
    <w:rsid w:val="00513281"/>
    <w:rsid w:val="005145E6"/>
    <w:rsid w:val="00516716"/>
    <w:rsid w:val="005208BF"/>
    <w:rsid w:val="005209FC"/>
    <w:rsid w:val="0052166D"/>
    <w:rsid w:val="00522B74"/>
    <w:rsid w:val="00522E18"/>
    <w:rsid w:val="00524ADC"/>
    <w:rsid w:val="00525DF2"/>
    <w:rsid w:val="005316E9"/>
    <w:rsid w:val="005329F2"/>
    <w:rsid w:val="00532D61"/>
    <w:rsid w:val="005340E7"/>
    <w:rsid w:val="005363B3"/>
    <w:rsid w:val="005366A9"/>
    <w:rsid w:val="00536E87"/>
    <w:rsid w:val="00540F5B"/>
    <w:rsid w:val="00542BB6"/>
    <w:rsid w:val="00543365"/>
    <w:rsid w:val="0054337D"/>
    <w:rsid w:val="0054343F"/>
    <w:rsid w:val="00546D3F"/>
    <w:rsid w:val="00552790"/>
    <w:rsid w:val="00552B18"/>
    <w:rsid w:val="00552DBB"/>
    <w:rsid w:val="00553109"/>
    <w:rsid w:val="005539F5"/>
    <w:rsid w:val="00554208"/>
    <w:rsid w:val="005544B9"/>
    <w:rsid w:val="00554F2B"/>
    <w:rsid w:val="0055737C"/>
    <w:rsid w:val="005606D0"/>
    <w:rsid w:val="00560D6F"/>
    <w:rsid w:val="00561864"/>
    <w:rsid w:val="0056291E"/>
    <w:rsid w:val="0056657E"/>
    <w:rsid w:val="00567EEA"/>
    <w:rsid w:val="0057102F"/>
    <w:rsid w:val="00571655"/>
    <w:rsid w:val="00572686"/>
    <w:rsid w:val="00572ECE"/>
    <w:rsid w:val="00574570"/>
    <w:rsid w:val="00576050"/>
    <w:rsid w:val="00577028"/>
    <w:rsid w:val="00577214"/>
    <w:rsid w:val="00580054"/>
    <w:rsid w:val="00580410"/>
    <w:rsid w:val="00582FA9"/>
    <w:rsid w:val="0058307A"/>
    <w:rsid w:val="005842BF"/>
    <w:rsid w:val="0058437F"/>
    <w:rsid w:val="00590715"/>
    <w:rsid w:val="005913D2"/>
    <w:rsid w:val="00591A61"/>
    <w:rsid w:val="00594164"/>
    <w:rsid w:val="00594405"/>
    <w:rsid w:val="005952D0"/>
    <w:rsid w:val="0059795D"/>
    <w:rsid w:val="005A08B7"/>
    <w:rsid w:val="005A0B26"/>
    <w:rsid w:val="005A1072"/>
    <w:rsid w:val="005A18FC"/>
    <w:rsid w:val="005A28E3"/>
    <w:rsid w:val="005A592B"/>
    <w:rsid w:val="005A70D7"/>
    <w:rsid w:val="005B100F"/>
    <w:rsid w:val="005B1C47"/>
    <w:rsid w:val="005B293C"/>
    <w:rsid w:val="005B2C5B"/>
    <w:rsid w:val="005B3944"/>
    <w:rsid w:val="005B3F53"/>
    <w:rsid w:val="005B46A2"/>
    <w:rsid w:val="005B4ED0"/>
    <w:rsid w:val="005B5622"/>
    <w:rsid w:val="005C0194"/>
    <w:rsid w:val="005C0622"/>
    <w:rsid w:val="005C2314"/>
    <w:rsid w:val="005C4BED"/>
    <w:rsid w:val="005C5A12"/>
    <w:rsid w:val="005C6835"/>
    <w:rsid w:val="005D0BE5"/>
    <w:rsid w:val="005D0DA7"/>
    <w:rsid w:val="005D35E5"/>
    <w:rsid w:val="005D4527"/>
    <w:rsid w:val="005D4E34"/>
    <w:rsid w:val="005D6214"/>
    <w:rsid w:val="005E06F3"/>
    <w:rsid w:val="005E1124"/>
    <w:rsid w:val="005E1962"/>
    <w:rsid w:val="005E3A77"/>
    <w:rsid w:val="005E4F2C"/>
    <w:rsid w:val="005E5DA0"/>
    <w:rsid w:val="005F1C4D"/>
    <w:rsid w:val="005F23FF"/>
    <w:rsid w:val="005F2A3F"/>
    <w:rsid w:val="005F3061"/>
    <w:rsid w:val="00600808"/>
    <w:rsid w:val="00601D3D"/>
    <w:rsid w:val="00604073"/>
    <w:rsid w:val="00604158"/>
    <w:rsid w:val="00606929"/>
    <w:rsid w:val="0060756A"/>
    <w:rsid w:val="00610243"/>
    <w:rsid w:val="00610716"/>
    <w:rsid w:val="006127B5"/>
    <w:rsid w:val="00612870"/>
    <w:rsid w:val="00612FAB"/>
    <w:rsid w:val="00613224"/>
    <w:rsid w:val="006173B6"/>
    <w:rsid w:val="00620061"/>
    <w:rsid w:val="0062120B"/>
    <w:rsid w:val="006234EE"/>
    <w:rsid w:val="006246B5"/>
    <w:rsid w:val="00624B64"/>
    <w:rsid w:val="00625DA9"/>
    <w:rsid w:val="00626F4B"/>
    <w:rsid w:val="006306C8"/>
    <w:rsid w:val="0063115A"/>
    <w:rsid w:val="0063226F"/>
    <w:rsid w:val="0063432F"/>
    <w:rsid w:val="006366E3"/>
    <w:rsid w:val="006433BD"/>
    <w:rsid w:val="00643E4B"/>
    <w:rsid w:val="00645E15"/>
    <w:rsid w:val="00645FB0"/>
    <w:rsid w:val="006460B5"/>
    <w:rsid w:val="006471A1"/>
    <w:rsid w:val="00651455"/>
    <w:rsid w:val="00651D04"/>
    <w:rsid w:val="006564C2"/>
    <w:rsid w:val="0066049F"/>
    <w:rsid w:val="006607A4"/>
    <w:rsid w:val="00661586"/>
    <w:rsid w:val="00661DCA"/>
    <w:rsid w:val="00664072"/>
    <w:rsid w:val="00666DE8"/>
    <w:rsid w:val="006700E3"/>
    <w:rsid w:val="006715A6"/>
    <w:rsid w:val="00671D7B"/>
    <w:rsid w:val="00673B62"/>
    <w:rsid w:val="00674063"/>
    <w:rsid w:val="0067653D"/>
    <w:rsid w:val="0068090F"/>
    <w:rsid w:val="006811AD"/>
    <w:rsid w:val="00681E86"/>
    <w:rsid w:val="006827D2"/>
    <w:rsid w:val="0068398C"/>
    <w:rsid w:val="00684C21"/>
    <w:rsid w:val="006867A1"/>
    <w:rsid w:val="006907B7"/>
    <w:rsid w:val="00690A0E"/>
    <w:rsid w:val="00691718"/>
    <w:rsid w:val="0069348F"/>
    <w:rsid w:val="00693F03"/>
    <w:rsid w:val="0069404D"/>
    <w:rsid w:val="006941A4"/>
    <w:rsid w:val="006945D0"/>
    <w:rsid w:val="00694A21"/>
    <w:rsid w:val="00695128"/>
    <w:rsid w:val="006960E9"/>
    <w:rsid w:val="00696391"/>
    <w:rsid w:val="006964AD"/>
    <w:rsid w:val="006A15EE"/>
    <w:rsid w:val="006A2600"/>
    <w:rsid w:val="006A592E"/>
    <w:rsid w:val="006A69E0"/>
    <w:rsid w:val="006A7EA8"/>
    <w:rsid w:val="006B11C0"/>
    <w:rsid w:val="006B15B4"/>
    <w:rsid w:val="006B25B0"/>
    <w:rsid w:val="006B540B"/>
    <w:rsid w:val="006B54C2"/>
    <w:rsid w:val="006B5EBA"/>
    <w:rsid w:val="006B7995"/>
    <w:rsid w:val="006B7F92"/>
    <w:rsid w:val="006C080D"/>
    <w:rsid w:val="006C1EE2"/>
    <w:rsid w:val="006C31BB"/>
    <w:rsid w:val="006C4B11"/>
    <w:rsid w:val="006C4C02"/>
    <w:rsid w:val="006C59FC"/>
    <w:rsid w:val="006C66CE"/>
    <w:rsid w:val="006C691B"/>
    <w:rsid w:val="006D214D"/>
    <w:rsid w:val="006D35B2"/>
    <w:rsid w:val="006D3D5E"/>
    <w:rsid w:val="006D435D"/>
    <w:rsid w:val="006D7B24"/>
    <w:rsid w:val="006E00B3"/>
    <w:rsid w:val="006E0A6D"/>
    <w:rsid w:val="006E0C4C"/>
    <w:rsid w:val="006E0E48"/>
    <w:rsid w:val="006E463B"/>
    <w:rsid w:val="006E58E0"/>
    <w:rsid w:val="006E5EA6"/>
    <w:rsid w:val="006E77EB"/>
    <w:rsid w:val="006E7C0E"/>
    <w:rsid w:val="006F1D3B"/>
    <w:rsid w:val="006F5124"/>
    <w:rsid w:val="006F5178"/>
    <w:rsid w:val="007001CC"/>
    <w:rsid w:val="00702CAF"/>
    <w:rsid w:val="00702E15"/>
    <w:rsid w:val="007038E9"/>
    <w:rsid w:val="00706621"/>
    <w:rsid w:val="00710C05"/>
    <w:rsid w:val="007129DC"/>
    <w:rsid w:val="007170FE"/>
    <w:rsid w:val="00717CEA"/>
    <w:rsid w:val="00721F45"/>
    <w:rsid w:val="0072445B"/>
    <w:rsid w:val="00725BBC"/>
    <w:rsid w:val="0073049C"/>
    <w:rsid w:val="0073177C"/>
    <w:rsid w:val="0073301A"/>
    <w:rsid w:val="007333B0"/>
    <w:rsid w:val="00733584"/>
    <w:rsid w:val="00734AAC"/>
    <w:rsid w:val="00734D77"/>
    <w:rsid w:val="00735B76"/>
    <w:rsid w:val="00736C41"/>
    <w:rsid w:val="0073776C"/>
    <w:rsid w:val="007418D3"/>
    <w:rsid w:val="00743F24"/>
    <w:rsid w:val="00744057"/>
    <w:rsid w:val="00745949"/>
    <w:rsid w:val="007479A2"/>
    <w:rsid w:val="00750D8E"/>
    <w:rsid w:val="00751126"/>
    <w:rsid w:val="00754013"/>
    <w:rsid w:val="00755236"/>
    <w:rsid w:val="00755B9E"/>
    <w:rsid w:val="007563FB"/>
    <w:rsid w:val="007565B6"/>
    <w:rsid w:val="0075716D"/>
    <w:rsid w:val="00760973"/>
    <w:rsid w:val="007644D2"/>
    <w:rsid w:val="007652F1"/>
    <w:rsid w:val="00765C7B"/>
    <w:rsid w:val="0076628E"/>
    <w:rsid w:val="007663D2"/>
    <w:rsid w:val="007663F3"/>
    <w:rsid w:val="007668D1"/>
    <w:rsid w:val="00767248"/>
    <w:rsid w:val="00770084"/>
    <w:rsid w:val="0077483C"/>
    <w:rsid w:val="0077513E"/>
    <w:rsid w:val="00775333"/>
    <w:rsid w:val="007762EC"/>
    <w:rsid w:val="00776F54"/>
    <w:rsid w:val="00777E84"/>
    <w:rsid w:val="00781AE3"/>
    <w:rsid w:val="0078326B"/>
    <w:rsid w:val="0078492A"/>
    <w:rsid w:val="007850C0"/>
    <w:rsid w:val="00785164"/>
    <w:rsid w:val="00785B8C"/>
    <w:rsid w:val="00792D85"/>
    <w:rsid w:val="00792DCA"/>
    <w:rsid w:val="00793870"/>
    <w:rsid w:val="00795808"/>
    <w:rsid w:val="007959C3"/>
    <w:rsid w:val="00796C4B"/>
    <w:rsid w:val="00797462"/>
    <w:rsid w:val="007975CB"/>
    <w:rsid w:val="007A096A"/>
    <w:rsid w:val="007A1589"/>
    <w:rsid w:val="007A1C33"/>
    <w:rsid w:val="007A24F8"/>
    <w:rsid w:val="007A5822"/>
    <w:rsid w:val="007A6234"/>
    <w:rsid w:val="007A7036"/>
    <w:rsid w:val="007B04E3"/>
    <w:rsid w:val="007B0BF5"/>
    <w:rsid w:val="007B0CCC"/>
    <w:rsid w:val="007C1AF5"/>
    <w:rsid w:val="007C25D9"/>
    <w:rsid w:val="007C2BF3"/>
    <w:rsid w:val="007C318C"/>
    <w:rsid w:val="007C4F2D"/>
    <w:rsid w:val="007C5F78"/>
    <w:rsid w:val="007C6EA2"/>
    <w:rsid w:val="007C731F"/>
    <w:rsid w:val="007C7C30"/>
    <w:rsid w:val="007D1534"/>
    <w:rsid w:val="007D24C3"/>
    <w:rsid w:val="007D2561"/>
    <w:rsid w:val="007D3D27"/>
    <w:rsid w:val="007D6731"/>
    <w:rsid w:val="007D6B90"/>
    <w:rsid w:val="007D75D9"/>
    <w:rsid w:val="007E1A8A"/>
    <w:rsid w:val="007E2A39"/>
    <w:rsid w:val="007E2C74"/>
    <w:rsid w:val="007E2CD3"/>
    <w:rsid w:val="007E2F69"/>
    <w:rsid w:val="007E4CA1"/>
    <w:rsid w:val="007E6D89"/>
    <w:rsid w:val="007F0487"/>
    <w:rsid w:val="007F0E50"/>
    <w:rsid w:val="007F15DA"/>
    <w:rsid w:val="007F36DE"/>
    <w:rsid w:val="007F3C4E"/>
    <w:rsid w:val="007F3FF7"/>
    <w:rsid w:val="007F40AC"/>
    <w:rsid w:val="007F41D7"/>
    <w:rsid w:val="007F69F9"/>
    <w:rsid w:val="007F735A"/>
    <w:rsid w:val="00801D09"/>
    <w:rsid w:val="008026AF"/>
    <w:rsid w:val="00802834"/>
    <w:rsid w:val="00803EAD"/>
    <w:rsid w:val="00804014"/>
    <w:rsid w:val="00806164"/>
    <w:rsid w:val="008115F2"/>
    <w:rsid w:val="00813746"/>
    <w:rsid w:val="008167A4"/>
    <w:rsid w:val="00816A70"/>
    <w:rsid w:val="00816BA5"/>
    <w:rsid w:val="0081701D"/>
    <w:rsid w:val="00821E6B"/>
    <w:rsid w:val="00822144"/>
    <w:rsid w:val="00824516"/>
    <w:rsid w:val="008250AA"/>
    <w:rsid w:val="00826371"/>
    <w:rsid w:val="00826BD2"/>
    <w:rsid w:val="00831F5D"/>
    <w:rsid w:val="00832946"/>
    <w:rsid w:val="0083322D"/>
    <w:rsid w:val="00833FCB"/>
    <w:rsid w:val="0083400B"/>
    <w:rsid w:val="008345F2"/>
    <w:rsid w:val="008348BD"/>
    <w:rsid w:val="00834ACB"/>
    <w:rsid w:val="008359EC"/>
    <w:rsid w:val="00836DB9"/>
    <w:rsid w:val="0083715B"/>
    <w:rsid w:val="00837E0D"/>
    <w:rsid w:val="00840FC8"/>
    <w:rsid w:val="00841710"/>
    <w:rsid w:val="008421F1"/>
    <w:rsid w:val="00844B6D"/>
    <w:rsid w:val="0084699E"/>
    <w:rsid w:val="00846C53"/>
    <w:rsid w:val="0084744B"/>
    <w:rsid w:val="00850BF3"/>
    <w:rsid w:val="008511C7"/>
    <w:rsid w:val="008544E0"/>
    <w:rsid w:val="00854681"/>
    <w:rsid w:val="00857135"/>
    <w:rsid w:val="008573B4"/>
    <w:rsid w:val="00860FEB"/>
    <w:rsid w:val="00862B19"/>
    <w:rsid w:val="00862BFB"/>
    <w:rsid w:val="0086312F"/>
    <w:rsid w:val="00864C26"/>
    <w:rsid w:val="00866814"/>
    <w:rsid w:val="00870364"/>
    <w:rsid w:val="008735B4"/>
    <w:rsid w:val="00875A55"/>
    <w:rsid w:val="00876574"/>
    <w:rsid w:val="00877A9B"/>
    <w:rsid w:val="00880621"/>
    <w:rsid w:val="00881912"/>
    <w:rsid w:val="00881F94"/>
    <w:rsid w:val="008825E6"/>
    <w:rsid w:val="0088276C"/>
    <w:rsid w:val="00883E7C"/>
    <w:rsid w:val="008840D3"/>
    <w:rsid w:val="00884480"/>
    <w:rsid w:val="00884735"/>
    <w:rsid w:val="00884A58"/>
    <w:rsid w:val="00885D81"/>
    <w:rsid w:val="008864A0"/>
    <w:rsid w:val="00887F15"/>
    <w:rsid w:val="008900AD"/>
    <w:rsid w:val="00892341"/>
    <w:rsid w:val="00893F02"/>
    <w:rsid w:val="00894BB5"/>
    <w:rsid w:val="00894CFC"/>
    <w:rsid w:val="00895F40"/>
    <w:rsid w:val="00896057"/>
    <w:rsid w:val="008963A3"/>
    <w:rsid w:val="008968D5"/>
    <w:rsid w:val="00896A58"/>
    <w:rsid w:val="0089704F"/>
    <w:rsid w:val="008A0D97"/>
    <w:rsid w:val="008A1E99"/>
    <w:rsid w:val="008A30D4"/>
    <w:rsid w:val="008A3720"/>
    <w:rsid w:val="008A58B3"/>
    <w:rsid w:val="008A6A31"/>
    <w:rsid w:val="008A7039"/>
    <w:rsid w:val="008A7DA2"/>
    <w:rsid w:val="008A7E07"/>
    <w:rsid w:val="008A7EF7"/>
    <w:rsid w:val="008B02D1"/>
    <w:rsid w:val="008B0578"/>
    <w:rsid w:val="008B1661"/>
    <w:rsid w:val="008B22C6"/>
    <w:rsid w:val="008B27ED"/>
    <w:rsid w:val="008B2F81"/>
    <w:rsid w:val="008B4331"/>
    <w:rsid w:val="008B5FC2"/>
    <w:rsid w:val="008B6A69"/>
    <w:rsid w:val="008B766C"/>
    <w:rsid w:val="008B7B86"/>
    <w:rsid w:val="008C02D3"/>
    <w:rsid w:val="008C08EB"/>
    <w:rsid w:val="008C0A41"/>
    <w:rsid w:val="008C1048"/>
    <w:rsid w:val="008C1123"/>
    <w:rsid w:val="008C2D18"/>
    <w:rsid w:val="008C4826"/>
    <w:rsid w:val="008C7AB8"/>
    <w:rsid w:val="008D397A"/>
    <w:rsid w:val="008D3CD4"/>
    <w:rsid w:val="008D405D"/>
    <w:rsid w:val="008D4BA7"/>
    <w:rsid w:val="008D51B6"/>
    <w:rsid w:val="008D56A3"/>
    <w:rsid w:val="008D575A"/>
    <w:rsid w:val="008D63E6"/>
    <w:rsid w:val="008D7090"/>
    <w:rsid w:val="008E0D06"/>
    <w:rsid w:val="008E26EC"/>
    <w:rsid w:val="008E2B1D"/>
    <w:rsid w:val="008E7BD1"/>
    <w:rsid w:val="008F7E90"/>
    <w:rsid w:val="0090045D"/>
    <w:rsid w:val="00900A17"/>
    <w:rsid w:val="009012DA"/>
    <w:rsid w:val="009015AC"/>
    <w:rsid w:val="00903D20"/>
    <w:rsid w:val="009111A6"/>
    <w:rsid w:val="0091161E"/>
    <w:rsid w:val="009127F3"/>
    <w:rsid w:val="00912EDB"/>
    <w:rsid w:val="0091416B"/>
    <w:rsid w:val="00914E7B"/>
    <w:rsid w:val="00914FB0"/>
    <w:rsid w:val="00921DE3"/>
    <w:rsid w:val="00925DA8"/>
    <w:rsid w:val="00926183"/>
    <w:rsid w:val="00933E02"/>
    <w:rsid w:val="009350F0"/>
    <w:rsid w:val="009403ED"/>
    <w:rsid w:val="009411DE"/>
    <w:rsid w:val="00944E8C"/>
    <w:rsid w:val="009464B9"/>
    <w:rsid w:val="009510F7"/>
    <w:rsid w:val="009536B8"/>
    <w:rsid w:val="00953ACF"/>
    <w:rsid w:val="00955D23"/>
    <w:rsid w:val="00956131"/>
    <w:rsid w:val="0095623F"/>
    <w:rsid w:val="009579E7"/>
    <w:rsid w:val="00960E04"/>
    <w:rsid w:val="00961CA7"/>
    <w:rsid w:val="00962BF7"/>
    <w:rsid w:val="00962E13"/>
    <w:rsid w:val="00965D8F"/>
    <w:rsid w:val="00966405"/>
    <w:rsid w:val="00971D7B"/>
    <w:rsid w:val="009726F7"/>
    <w:rsid w:val="00972884"/>
    <w:rsid w:val="00973C51"/>
    <w:rsid w:val="009759E3"/>
    <w:rsid w:val="00975FFD"/>
    <w:rsid w:val="00977C26"/>
    <w:rsid w:val="0098130D"/>
    <w:rsid w:val="009815EA"/>
    <w:rsid w:val="00982E2B"/>
    <w:rsid w:val="0098332A"/>
    <w:rsid w:val="00984752"/>
    <w:rsid w:val="009853B2"/>
    <w:rsid w:val="00985739"/>
    <w:rsid w:val="00985ADD"/>
    <w:rsid w:val="00987408"/>
    <w:rsid w:val="00992BD0"/>
    <w:rsid w:val="0099543B"/>
    <w:rsid w:val="00995B35"/>
    <w:rsid w:val="009A1EF5"/>
    <w:rsid w:val="009A2401"/>
    <w:rsid w:val="009A2CD8"/>
    <w:rsid w:val="009A395B"/>
    <w:rsid w:val="009A3EB7"/>
    <w:rsid w:val="009A4315"/>
    <w:rsid w:val="009A4B40"/>
    <w:rsid w:val="009A4E37"/>
    <w:rsid w:val="009B03FF"/>
    <w:rsid w:val="009B0EB0"/>
    <w:rsid w:val="009B2B1B"/>
    <w:rsid w:val="009B3C9D"/>
    <w:rsid w:val="009B4532"/>
    <w:rsid w:val="009B51F6"/>
    <w:rsid w:val="009B6A69"/>
    <w:rsid w:val="009B6BA0"/>
    <w:rsid w:val="009C081E"/>
    <w:rsid w:val="009C1D95"/>
    <w:rsid w:val="009C367A"/>
    <w:rsid w:val="009C4E4D"/>
    <w:rsid w:val="009C59DA"/>
    <w:rsid w:val="009C693D"/>
    <w:rsid w:val="009C7768"/>
    <w:rsid w:val="009D1210"/>
    <w:rsid w:val="009D1684"/>
    <w:rsid w:val="009D352C"/>
    <w:rsid w:val="009D6198"/>
    <w:rsid w:val="009D62E3"/>
    <w:rsid w:val="009D70B8"/>
    <w:rsid w:val="009E40AE"/>
    <w:rsid w:val="009E6318"/>
    <w:rsid w:val="009E6C62"/>
    <w:rsid w:val="009E6FFB"/>
    <w:rsid w:val="009F0973"/>
    <w:rsid w:val="009F2A6C"/>
    <w:rsid w:val="009F2F4A"/>
    <w:rsid w:val="009F48BB"/>
    <w:rsid w:val="009F6661"/>
    <w:rsid w:val="009F7BE0"/>
    <w:rsid w:val="00A00D31"/>
    <w:rsid w:val="00A0478D"/>
    <w:rsid w:val="00A06854"/>
    <w:rsid w:val="00A07FED"/>
    <w:rsid w:val="00A11DEE"/>
    <w:rsid w:val="00A12A51"/>
    <w:rsid w:val="00A13D88"/>
    <w:rsid w:val="00A14401"/>
    <w:rsid w:val="00A14606"/>
    <w:rsid w:val="00A15749"/>
    <w:rsid w:val="00A157DD"/>
    <w:rsid w:val="00A15B51"/>
    <w:rsid w:val="00A16D1B"/>
    <w:rsid w:val="00A171FC"/>
    <w:rsid w:val="00A2124B"/>
    <w:rsid w:val="00A257C3"/>
    <w:rsid w:val="00A25967"/>
    <w:rsid w:val="00A25D7F"/>
    <w:rsid w:val="00A26913"/>
    <w:rsid w:val="00A271EF"/>
    <w:rsid w:val="00A30E48"/>
    <w:rsid w:val="00A3292F"/>
    <w:rsid w:val="00A37154"/>
    <w:rsid w:val="00A37454"/>
    <w:rsid w:val="00A37EBA"/>
    <w:rsid w:val="00A41067"/>
    <w:rsid w:val="00A4598D"/>
    <w:rsid w:val="00A470E5"/>
    <w:rsid w:val="00A50BC3"/>
    <w:rsid w:val="00A5189E"/>
    <w:rsid w:val="00A52081"/>
    <w:rsid w:val="00A57C9B"/>
    <w:rsid w:val="00A610AD"/>
    <w:rsid w:val="00A62254"/>
    <w:rsid w:val="00A62482"/>
    <w:rsid w:val="00A62624"/>
    <w:rsid w:val="00A628C5"/>
    <w:rsid w:val="00A639BA"/>
    <w:rsid w:val="00A652F4"/>
    <w:rsid w:val="00A66FED"/>
    <w:rsid w:val="00A712A6"/>
    <w:rsid w:val="00A71ECA"/>
    <w:rsid w:val="00A72526"/>
    <w:rsid w:val="00A737A4"/>
    <w:rsid w:val="00A801F6"/>
    <w:rsid w:val="00A80B88"/>
    <w:rsid w:val="00A814FB"/>
    <w:rsid w:val="00A833B0"/>
    <w:rsid w:val="00A84C2D"/>
    <w:rsid w:val="00A85D4E"/>
    <w:rsid w:val="00A86C9E"/>
    <w:rsid w:val="00A87458"/>
    <w:rsid w:val="00A8787A"/>
    <w:rsid w:val="00A87984"/>
    <w:rsid w:val="00A90F14"/>
    <w:rsid w:val="00A91677"/>
    <w:rsid w:val="00A9268B"/>
    <w:rsid w:val="00A938F4"/>
    <w:rsid w:val="00A94186"/>
    <w:rsid w:val="00A94DD2"/>
    <w:rsid w:val="00A94F1B"/>
    <w:rsid w:val="00A95B6E"/>
    <w:rsid w:val="00A973DA"/>
    <w:rsid w:val="00AA0FED"/>
    <w:rsid w:val="00AA1479"/>
    <w:rsid w:val="00AA1962"/>
    <w:rsid w:val="00AA2933"/>
    <w:rsid w:val="00AA385A"/>
    <w:rsid w:val="00AA633B"/>
    <w:rsid w:val="00AA6F50"/>
    <w:rsid w:val="00AA7B4E"/>
    <w:rsid w:val="00AB0768"/>
    <w:rsid w:val="00AB1473"/>
    <w:rsid w:val="00AB1A96"/>
    <w:rsid w:val="00AB1D6E"/>
    <w:rsid w:val="00AB1F20"/>
    <w:rsid w:val="00AB2651"/>
    <w:rsid w:val="00AB4A40"/>
    <w:rsid w:val="00AB6082"/>
    <w:rsid w:val="00AB7503"/>
    <w:rsid w:val="00AB757C"/>
    <w:rsid w:val="00AC10FE"/>
    <w:rsid w:val="00AC2920"/>
    <w:rsid w:val="00AC315B"/>
    <w:rsid w:val="00AC59A8"/>
    <w:rsid w:val="00AC7656"/>
    <w:rsid w:val="00AD0FF3"/>
    <w:rsid w:val="00AD11AA"/>
    <w:rsid w:val="00AD18A8"/>
    <w:rsid w:val="00AD2A2A"/>
    <w:rsid w:val="00AD3DE7"/>
    <w:rsid w:val="00AD6C5C"/>
    <w:rsid w:val="00AD7C82"/>
    <w:rsid w:val="00AE2D94"/>
    <w:rsid w:val="00AE6B57"/>
    <w:rsid w:val="00AF06DE"/>
    <w:rsid w:val="00AF0D98"/>
    <w:rsid w:val="00AF2F44"/>
    <w:rsid w:val="00AF4A57"/>
    <w:rsid w:val="00AF51BC"/>
    <w:rsid w:val="00AF549A"/>
    <w:rsid w:val="00AF6272"/>
    <w:rsid w:val="00AF64AA"/>
    <w:rsid w:val="00AF6B40"/>
    <w:rsid w:val="00AF7308"/>
    <w:rsid w:val="00B0002A"/>
    <w:rsid w:val="00B019E4"/>
    <w:rsid w:val="00B045A6"/>
    <w:rsid w:val="00B06359"/>
    <w:rsid w:val="00B07B50"/>
    <w:rsid w:val="00B11537"/>
    <w:rsid w:val="00B14719"/>
    <w:rsid w:val="00B14FE1"/>
    <w:rsid w:val="00B21398"/>
    <w:rsid w:val="00B23F1E"/>
    <w:rsid w:val="00B25712"/>
    <w:rsid w:val="00B26304"/>
    <w:rsid w:val="00B2719A"/>
    <w:rsid w:val="00B27931"/>
    <w:rsid w:val="00B27B16"/>
    <w:rsid w:val="00B300A4"/>
    <w:rsid w:val="00B304E6"/>
    <w:rsid w:val="00B30CA1"/>
    <w:rsid w:val="00B30CBD"/>
    <w:rsid w:val="00B315CB"/>
    <w:rsid w:val="00B32127"/>
    <w:rsid w:val="00B33885"/>
    <w:rsid w:val="00B33ACC"/>
    <w:rsid w:val="00B36276"/>
    <w:rsid w:val="00B36575"/>
    <w:rsid w:val="00B3758E"/>
    <w:rsid w:val="00B37DE0"/>
    <w:rsid w:val="00B40B97"/>
    <w:rsid w:val="00B41308"/>
    <w:rsid w:val="00B425CD"/>
    <w:rsid w:val="00B42892"/>
    <w:rsid w:val="00B428EE"/>
    <w:rsid w:val="00B44384"/>
    <w:rsid w:val="00B5081C"/>
    <w:rsid w:val="00B5106A"/>
    <w:rsid w:val="00B511B0"/>
    <w:rsid w:val="00B56C3E"/>
    <w:rsid w:val="00B60C9A"/>
    <w:rsid w:val="00B623D9"/>
    <w:rsid w:val="00B6562A"/>
    <w:rsid w:val="00B671D7"/>
    <w:rsid w:val="00B72578"/>
    <w:rsid w:val="00B72B63"/>
    <w:rsid w:val="00B73D65"/>
    <w:rsid w:val="00B75539"/>
    <w:rsid w:val="00B7677A"/>
    <w:rsid w:val="00B812ED"/>
    <w:rsid w:val="00B8285A"/>
    <w:rsid w:val="00B82CB5"/>
    <w:rsid w:val="00B852DC"/>
    <w:rsid w:val="00B86CE5"/>
    <w:rsid w:val="00B8738C"/>
    <w:rsid w:val="00B87512"/>
    <w:rsid w:val="00B9006C"/>
    <w:rsid w:val="00B91223"/>
    <w:rsid w:val="00B91CAE"/>
    <w:rsid w:val="00B92707"/>
    <w:rsid w:val="00B93760"/>
    <w:rsid w:val="00B94975"/>
    <w:rsid w:val="00B95709"/>
    <w:rsid w:val="00B96D1D"/>
    <w:rsid w:val="00B97B93"/>
    <w:rsid w:val="00B97F44"/>
    <w:rsid w:val="00BA0ACB"/>
    <w:rsid w:val="00BA178E"/>
    <w:rsid w:val="00BA2703"/>
    <w:rsid w:val="00BA5D0D"/>
    <w:rsid w:val="00BB0AE0"/>
    <w:rsid w:val="00BB3D62"/>
    <w:rsid w:val="00BB3F83"/>
    <w:rsid w:val="00BB4ACE"/>
    <w:rsid w:val="00BB59D3"/>
    <w:rsid w:val="00BB7EB2"/>
    <w:rsid w:val="00BC1033"/>
    <w:rsid w:val="00BC1D24"/>
    <w:rsid w:val="00BC2C98"/>
    <w:rsid w:val="00BC52AD"/>
    <w:rsid w:val="00BC5722"/>
    <w:rsid w:val="00BC626F"/>
    <w:rsid w:val="00BD064A"/>
    <w:rsid w:val="00BD1116"/>
    <w:rsid w:val="00BD2A80"/>
    <w:rsid w:val="00BD3A86"/>
    <w:rsid w:val="00BD425E"/>
    <w:rsid w:val="00BD43DC"/>
    <w:rsid w:val="00BE02DD"/>
    <w:rsid w:val="00BE399B"/>
    <w:rsid w:val="00BE47AB"/>
    <w:rsid w:val="00BE4911"/>
    <w:rsid w:val="00BE604B"/>
    <w:rsid w:val="00BF1BD5"/>
    <w:rsid w:val="00BF2EC0"/>
    <w:rsid w:val="00BF4DF2"/>
    <w:rsid w:val="00BF504B"/>
    <w:rsid w:val="00BF5983"/>
    <w:rsid w:val="00C00028"/>
    <w:rsid w:val="00C00402"/>
    <w:rsid w:val="00C00BE3"/>
    <w:rsid w:val="00C037CD"/>
    <w:rsid w:val="00C03970"/>
    <w:rsid w:val="00C03DBC"/>
    <w:rsid w:val="00C0452F"/>
    <w:rsid w:val="00C05827"/>
    <w:rsid w:val="00C07EBB"/>
    <w:rsid w:val="00C07FE3"/>
    <w:rsid w:val="00C10474"/>
    <w:rsid w:val="00C10502"/>
    <w:rsid w:val="00C110BA"/>
    <w:rsid w:val="00C12F06"/>
    <w:rsid w:val="00C1333F"/>
    <w:rsid w:val="00C13A8E"/>
    <w:rsid w:val="00C144E8"/>
    <w:rsid w:val="00C160C0"/>
    <w:rsid w:val="00C164A0"/>
    <w:rsid w:val="00C16524"/>
    <w:rsid w:val="00C17FF6"/>
    <w:rsid w:val="00C226A1"/>
    <w:rsid w:val="00C2520D"/>
    <w:rsid w:val="00C25E0F"/>
    <w:rsid w:val="00C2740F"/>
    <w:rsid w:val="00C31322"/>
    <w:rsid w:val="00C31BAE"/>
    <w:rsid w:val="00C3258E"/>
    <w:rsid w:val="00C355EA"/>
    <w:rsid w:val="00C36B0F"/>
    <w:rsid w:val="00C41358"/>
    <w:rsid w:val="00C422CE"/>
    <w:rsid w:val="00C42937"/>
    <w:rsid w:val="00C47A03"/>
    <w:rsid w:val="00C47C3B"/>
    <w:rsid w:val="00C47EA5"/>
    <w:rsid w:val="00C5108C"/>
    <w:rsid w:val="00C52A65"/>
    <w:rsid w:val="00C52AC2"/>
    <w:rsid w:val="00C52BAA"/>
    <w:rsid w:val="00C53A8F"/>
    <w:rsid w:val="00C53DAF"/>
    <w:rsid w:val="00C54738"/>
    <w:rsid w:val="00C55EF3"/>
    <w:rsid w:val="00C56348"/>
    <w:rsid w:val="00C600CB"/>
    <w:rsid w:val="00C604B8"/>
    <w:rsid w:val="00C629C3"/>
    <w:rsid w:val="00C631B5"/>
    <w:rsid w:val="00C63B1C"/>
    <w:rsid w:val="00C655A3"/>
    <w:rsid w:val="00C72917"/>
    <w:rsid w:val="00C760FC"/>
    <w:rsid w:val="00C7709C"/>
    <w:rsid w:val="00C800D7"/>
    <w:rsid w:val="00C80655"/>
    <w:rsid w:val="00C80EAC"/>
    <w:rsid w:val="00C831E4"/>
    <w:rsid w:val="00C83EE5"/>
    <w:rsid w:val="00C855DC"/>
    <w:rsid w:val="00C85A90"/>
    <w:rsid w:val="00C86006"/>
    <w:rsid w:val="00C90F5B"/>
    <w:rsid w:val="00C92B18"/>
    <w:rsid w:val="00C945D7"/>
    <w:rsid w:val="00CA1BCF"/>
    <w:rsid w:val="00CA2B47"/>
    <w:rsid w:val="00CA4F71"/>
    <w:rsid w:val="00CA5979"/>
    <w:rsid w:val="00CA72F2"/>
    <w:rsid w:val="00CA7860"/>
    <w:rsid w:val="00CB386C"/>
    <w:rsid w:val="00CB56CE"/>
    <w:rsid w:val="00CB747D"/>
    <w:rsid w:val="00CC1480"/>
    <w:rsid w:val="00CC3F9D"/>
    <w:rsid w:val="00CC60A2"/>
    <w:rsid w:val="00CD16AA"/>
    <w:rsid w:val="00CD2F39"/>
    <w:rsid w:val="00CD530B"/>
    <w:rsid w:val="00CD653B"/>
    <w:rsid w:val="00CD65F2"/>
    <w:rsid w:val="00CD7620"/>
    <w:rsid w:val="00CE0B44"/>
    <w:rsid w:val="00CE15CE"/>
    <w:rsid w:val="00CE3338"/>
    <w:rsid w:val="00CE7CD0"/>
    <w:rsid w:val="00CF058B"/>
    <w:rsid w:val="00CF0B1F"/>
    <w:rsid w:val="00CF1621"/>
    <w:rsid w:val="00CF168A"/>
    <w:rsid w:val="00CF4935"/>
    <w:rsid w:val="00CF5D02"/>
    <w:rsid w:val="00CF628A"/>
    <w:rsid w:val="00CF7711"/>
    <w:rsid w:val="00D00B00"/>
    <w:rsid w:val="00D053A3"/>
    <w:rsid w:val="00D05510"/>
    <w:rsid w:val="00D05598"/>
    <w:rsid w:val="00D05E08"/>
    <w:rsid w:val="00D060B2"/>
    <w:rsid w:val="00D0642D"/>
    <w:rsid w:val="00D07924"/>
    <w:rsid w:val="00D10056"/>
    <w:rsid w:val="00D129F2"/>
    <w:rsid w:val="00D13683"/>
    <w:rsid w:val="00D1489F"/>
    <w:rsid w:val="00D14DBE"/>
    <w:rsid w:val="00D16229"/>
    <w:rsid w:val="00D1699F"/>
    <w:rsid w:val="00D1700D"/>
    <w:rsid w:val="00D22748"/>
    <w:rsid w:val="00D22791"/>
    <w:rsid w:val="00D22DDF"/>
    <w:rsid w:val="00D2385E"/>
    <w:rsid w:val="00D2397E"/>
    <w:rsid w:val="00D25688"/>
    <w:rsid w:val="00D26211"/>
    <w:rsid w:val="00D27729"/>
    <w:rsid w:val="00D320CE"/>
    <w:rsid w:val="00D36A46"/>
    <w:rsid w:val="00D37C37"/>
    <w:rsid w:val="00D37C91"/>
    <w:rsid w:val="00D428E9"/>
    <w:rsid w:val="00D437A8"/>
    <w:rsid w:val="00D44D87"/>
    <w:rsid w:val="00D45DBF"/>
    <w:rsid w:val="00D468AB"/>
    <w:rsid w:val="00D47FDA"/>
    <w:rsid w:val="00D5004E"/>
    <w:rsid w:val="00D53CE7"/>
    <w:rsid w:val="00D53DD1"/>
    <w:rsid w:val="00D56E5C"/>
    <w:rsid w:val="00D57464"/>
    <w:rsid w:val="00D5775D"/>
    <w:rsid w:val="00D606E9"/>
    <w:rsid w:val="00D61CC5"/>
    <w:rsid w:val="00D65662"/>
    <w:rsid w:val="00D65A7F"/>
    <w:rsid w:val="00D66C0E"/>
    <w:rsid w:val="00D70166"/>
    <w:rsid w:val="00D72DEC"/>
    <w:rsid w:val="00D73462"/>
    <w:rsid w:val="00D741B0"/>
    <w:rsid w:val="00D74DF4"/>
    <w:rsid w:val="00D75D2D"/>
    <w:rsid w:val="00D76399"/>
    <w:rsid w:val="00D771B9"/>
    <w:rsid w:val="00D779B2"/>
    <w:rsid w:val="00D77C26"/>
    <w:rsid w:val="00D81E8D"/>
    <w:rsid w:val="00D81EFB"/>
    <w:rsid w:val="00D82101"/>
    <w:rsid w:val="00D834EA"/>
    <w:rsid w:val="00D83782"/>
    <w:rsid w:val="00D85FDA"/>
    <w:rsid w:val="00D8645F"/>
    <w:rsid w:val="00D86858"/>
    <w:rsid w:val="00D871FC"/>
    <w:rsid w:val="00D91AC6"/>
    <w:rsid w:val="00D92A25"/>
    <w:rsid w:val="00D93705"/>
    <w:rsid w:val="00D957A7"/>
    <w:rsid w:val="00D9600F"/>
    <w:rsid w:val="00DA0179"/>
    <w:rsid w:val="00DA1406"/>
    <w:rsid w:val="00DA46D0"/>
    <w:rsid w:val="00DA51C3"/>
    <w:rsid w:val="00DA5F40"/>
    <w:rsid w:val="00DA67ED"/>
    <w:rsid w:val="00DB05B3"/>
    <w:rsid w:val="00DB2191"/>
    <w:rsid w:val="00DB285B"/>
    <w:rsid w:val="00DB6EFD"/>
    <w:rsid w:val="00DC1CF1"/>
    <w:rsid w:val="00DC2A6C"/>
    <w:rsid w:val="00DC2FDB"/>
    <w:rsid w:val="00DC3827"/>
    <w:rsid w:val="00DC5158"/>
    <w:rsid w:val="00DC527B"/>
    <w:rsid w:val="00DC57CF"/>
    <w:rsid w:val="00DC6088"/>
    <w:rsid w:val="00DC79E5"/>
    <w:rsid w:val="00DD099C"/>
    <w:rsid w:val="00DD21C1"/>
    <w:rsid w:val="00DD2D67"/>
    <w:rsid w:val="00DD2E8E"/>
    <w:rsid w:val="00DD56F9"/>
    <w:rsid w:val="00DD74CA"/>
    <w:rsid w:val="00DE1E1B"/>
    <w:rsid w:val="00DE23CD"/>
    <w:rsid w:val="00DE2F16"/>
    <w:rsid w:val="00DE7BC1"/>
    <w:rsid w:val="00DF0301"/>
    <w:rsid w:val="00DF1EB6"/>
    <w:rsid w:val="00DF3A21"/>
    <w:rsid w:val="00DF5807"/>
    <w:rsid w:val="00DF5C24"/>
    <w:rsid w:val="00DF6A1E"/>
    <w:rsid w:val="00E004F0"/>
    <w:rsid w:val="00E019C6"/>
    <w:rsid w:val="00E01AE5"/>
    <w:rsid w:val="00E01B83"/>
    <w:rsid w:val="00E01FBF"/>
    <w:rsid w:val="00E02189"/>
    <w:rsid w:val="00E02E7D"/>
    <w:rsid w:val="00E040B7"/>
    <w:rsid w:val="00E0491F"/>
    <w:rsid w:val="00E06090"/>
    <w:rsid w:val="00E11E85"/>
    <w:rsid w:val="00E14203"/>
    <w:rsid w:val="00E16C87"/>
    <w:rsid w:val="00E2077D"/>
    <w:rsid w:val="00E20BC0"/>
    <w:rsid w:val="00E225C3"/>
    <w:rsid w:val="00E22B22"/>
    <w:rsid w:val="00E24541"/>
    <w:rsid w:val="00E261ED"/>
    <w:rsid w:val="00E27D29"/>
    <w:rsid w:val="00E27E0B"/>
    <w:rsid w:val="00E30553"/>
    <w:rsid w:val="00E31DB8"/>
    <w:rsid w:val="00E32728"/>
    <w:rsid w:val="00E339AD"/>
    <w:rsid w:val="00E40273"/>
    <w:rsid w:val="00E41E7B"/>
    <w:rsid w:val="00E42265"/>
    <w:rsid w:val="00E4259B"/>
    <w:rsid w:val="00E432F5"/>
    <w:rsid w:val="00E44C92"/>
    <w:rsid w:val="00E45618"/>
    <w:rsid w:val="00E45D01"/>
    <w:rsid w:val="00E46694"/>
    <w:rsid w:val="00E467E7"/>
    <w:rsid w:val="00E46EBF"/>
    <w:rsid w:val="00E47AAF"/>
    <w:rsid w:val="00E47EDD"/>
    <w:rsid w:val="00E55762"/>
    <w:rsid w:val="00E5630E"/>
    <w:rsid w:val="00E60E8C"/>
    <w:rsid w:val="00E6188B"/>
    <w:rsid w:val="00E643F5"/>
    <w:rsid w:val="00E66BCE"/>
    <w:rsid w:val="00E6774A"/>
    <w:rsid w:val="00E67D65"/>
    <w:rsid w:val="00E70428"/>
    <w:rsid w:val="00E725DB"/>
    <w:rsid w:val="00E72C9F"/>
    <w:rsid w:val="00E74224"/>
    <w:rsid w:val="00E75979"/>
    <w:rsid w:val="00E75D5C"/>
    <w:rsid w:val="00E7615E"/>
    <w:rsid w:val="00E76C8C"/>
    <w:rsid w:val="00E802F4"/>
    <w:rsid w:val="00E82337"/>
    <w:rsid w:val="00E83277"/>
    <w:rsid w:val="00E8359D"/>
    <w:rsid w:val="00E84649"/>
    <w:rsid w:val="00E84A47"/>
    <w:rsid w:val="00E850A4"/>
    <w:rsid w:val="00E850A6"/>
    <w:rsid w:val="00E851B4"/>
    <w:rsid w:val="00E86DE9"/>
    <w:rsid w:val="00E905E0"/>
    <w:rsid w:val="00E916D3"/>
    <w:rsid w:val="00E91DE3"/>
    <w:rsid w:val="00E92953"/>
    <w:rsid w:val="00E967EA"/>
    <w:rsid w:val="00E96CD0"/>
    <w:rsid w:val="00EA1F78"/>
    <w:rsid w:val="00EA2CE0"/>
    <w:rsid w:val="00EA2FAF"/>
    <w:rsid w:val="00EA5687"/>
    <w:rsid w:val="00EA5916"/>
    <w:rsid w:val="00EA609D"/>
    <w:rsid w:val="00EA6A89"/>
    <w:rsid w:val="00EA7F70"/>
    <w:rsid w:val="00EB11E4"/>
    <w:rsid w:val="00EB2648"/>
    <w:rsid w:val="00EB2BD6"/>
    <w:rsid w:val="00EB3EFA"/>
    <w:rsid w:val="00EB5B62"/>
    <w:rsid w:val="00EB7FCB"/>
    <w:rsid w:val="00EC0918"/>
    <w:rsid w:val="00EC43ED"/>
    <w:rsid w:val="00EC4893"/>
    <w:rsid w:val="00EC5CA6"/>
    <w:rsid w:val="00EC6CF8"/>
    <w:rsid w:val="00EC7222"/>
    <w:rsid w:val="00EC7C62"/>
    <w:rsid w:val="00ED003E"/>
    <w:rsid w:val="00ED217D"/>
    <w:rsid w:val="00ED3E44"/>
    <w:rsid w:val="00ED573D"/>
    <w:rsid w:val="00EE1F5D"/>
    <w:rsid w:val="00EE2358"/>
    <w:rsid w:val="00EE42B6"/>
    <w:rsid w:val="00EE4A0E"/>
    <w:rsid w:val="00EE7564"/>
    <w:rsid w:val="00EF1613"/>
    <w:rsid w:val="00EF1862"/>
    <w:rsid w:val="00EF2208"/>
    <w:rsid w:val="00EF2FB8"/>
    <w:rsid w:val="00EF4D29"/>
    <w:rsid w:val="00EF4F4F"/>
    <w:rsid w:val="00EF62A4"/>
    <w:rsid w:val="00EF7CE4"/>
    <w:rsid w:val="00F01C3D"/>
    <w:rsid w:val="00F02F56"/>
    <w:rsid w:val="00F04747"/>
    <w:rsid w:val="00F05C95"/>
    <w:rsid w:val="00F1257F"/>
    <w:rsid w:val="00F14296"/>
    <w:rsid w:val="00F15A2F"/>
    <w:rsid w:val="00F16466"/>
    <w:rsid w:val="00F1705D"/>
    <w:rsid w:val="00F1774D"/>
    <w:rsid w:val="00F237C0"/>
    <w:rsid w:val="00F23D3C"/>
    <w:rsid w:val="00F242D3"/>
    <w:rsid w:val="00F24D2B"/>
    <w:rsid w:val="00F265E3"/>
    <w:rsid w:val="00F27437"/>
    <w:rsid w:val="00F278AF"/>
    <w:rsid w:val="00F30DEC"/>
    <w:rsid w:val="00F30FDF"/>
    <w:rsid w:val="00F329D7"/>
    <w:rsid w:val="00F33621"/>
    <w:rsid w:val="00F36737"/>
    <w:rsid w:val="00F37B59"/>
    <w:rsid w:val="00F400CD"/>
    <w:rsid w:val="00F43FCD"/>
    <w:rsid w:val="00F45158"/>
    <w:rsid w:val="00F454D9"/>
    <w:rsid w:val="00F46156"/>
    <w:rsid w:val="00F47534"/>
    <w:rsid w:val="00F47EF5"/>
    <w:rsid w:val="00F501F8"/>
    <w:rsid w:val="00F50A94"/>
    <w:rsid w:val="00F5170F"/>
    <w:rsid w:val="00F53BA3"/>
    <w:rsid w:val="00F55658"/>
    <w:rsid w:val="00F567D7"/>
    <w:rsid w:val="00F612AA"/>
    <w:rsid w:val="00F6244D"/>
    <w:rsid w:val="00F65ABA"/>
    <w:rsid w:val="00F6702D"/>
    <w:rsid w:val="00F67A6F"/>
    <w:rsid w:val="00F70E9D"/>
    <w:rsid w:val="00F7326A"/>
    <w:rsid w:val="00F73DEC"/>
    <w:rsid w:val="00F743B1"/>
    <w:rsid w:val="00F757CC"/>
    <w:rsid w:val="00F83AEC"/>
    <w:rsid w:val="00F85215"/>
    <w:rsid w:val="00F85641"/>
    <w:rsid w:val="00F85F5B"/>
    <w:rsid w:val="00F86469"/>
    <w:rsid w:val="00F87036"/>
    <w:rsid w:val="00F91707"/>
    <w:rsid w:val="00F91874"/>
    <w:rsid w:val="00F926A4"/>
    <w:rsid w:val="00F938CC"/>
    <w:rsid w:val="00F96B0B"/>
    <w:rsid w:val="00F96B30"/>
    <w:rsid w:val="00FA02FA"/>
    <w:rsid w:val="00FA1E84"/>
    <w:rsid w:val="00FA1FCA"/>
    <w:rsid w:val="00FA3023"/>
    <w:rsid w:val="00FA4891"/>
    <w:rsid w:val="00FA51EE"/>
    <w:rsid w:val="00FA63C8"/>
    <w:rsid w:val="00FA7A32"/>
    <w:rsid w:val="00FB008C"/>
    <w:rsid w:val="00FB00F0"/>
    <w:rsid w:val="00FB0E9B"/>
    <w:rsid w:val="00FB1542"/>
    <w:rsid w:val="00FB26FF"/>
    <w:rsid w:val="00FB3A91"/>
    <w:rsid w:val="00FB450E"/>
    <w:rsid w:val="00FB71D8"/>
    <w:rsid w:val="00FB7556"/>
    <w:rsid w:val="00FC3391"/>
    <w:rsid w:val="00FC432C"/>
    <w:rsid w:val="00FC4D5A"/>
    <w:rsid w:val="00FC65F4"/>
    <w:rsid w:val="00FD1307"/>
    <w:rsid w:val="00FD21C4"/>
    <w:rsid w:val="00FD2379"/>
    <w:rsid w:val="00FD29AA"/>
    <w:rsid w:val="00FD30EA"/>
    <w:rsid w:val="00FD332C"/>
    <w:rsid w:val="00FD3CC4"/>
    <w:rsid w:val="00FD4019"/>
    <w:rsid w:val="00FD60AA"/>
    <w:rsid w:val="00FD60CD"/>
    <w:rsid w:val="00FE0213"/>
    <w:rsid w:val="00FE03D0"/>
    <w:rsid w:val="00FE090F"/>
    <w:rsid w:val="00FE270E"/>
    <w:rsid w:val="00FE2767"/>
    <w:rsid w:val="00FE39C0"/>
    <w:rsid w:val="00FE576B"/>
    <w:rsid w:val="00FE5A59"/>
    <w:rsid w:val="00FE6148"/>
    <w:rsid w:val="00FE6944"/>
    <w:rsid w:val="00FF0115"/>
    <w:rsid w:val="00FF347E"/>
    <w:rsid w:val="00FF4071"/>
    <w:rsid w:val="00FF5F2F"/>
    <w:rsid w:val="00FF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20DC"/>
  <w15:docId w15:val="{E40FDC6F-2BC4-4FDB-86C5-62F669FB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F4B"/>
    <w:pPr>
      <w:suppressAutoHyphens/>
      <w:autoSpaceDN w:val="0"/>
      <w:spacing w:after="0" w:line="240" w:lineRule="auto"/>
      <w:textAlignment w:val="baseline"/>
    </w:pPr>
    <w:rPr>
      <w:rFonts w:ascii="Calibri" w:eastAsia="Calibri" w:hAnsi="Calibri" w:cs="Times New Roman"/>
    </w:rPr>
  </w:style>
  <w:style w:type="paragraph" w:styleId="Heading3">
    <w:name w:val="heading 3"/>
    <w:basedOn w:val="Normal"/>
    <w:next w:val="Normal"/>
    <w:link w:val="Heading3Char"/>
    <w:uiPriority w:val="9"/>
    <w:unhideWhenUsed/>
    <w:qFormat/>
    <w:rsid w:val="00161F2F"/>
    <w:pPr>
      <w:keepNext/>
      <w:keepLines/>
      <w:suppressAutoHyphens w:val="0"/>
      <w:autoSpaceDN/>
      <w:spacing w:before="40" w:line="259" w:lineRule="auto"/>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4F77"/>
    <w:pPr>
      <w:keepNext/>
      <w:keepLines/>
      <w:suppressAutoHyphens w:val="0"/>
      <w:autoSpaceDN/>
      <w:spacing w:before="40" w:line="259" w:lineRule="auto"/>
      <w:textAlignment w:val="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3FF"/>
    <w:pPr>
      <w:spacing w:after="0" w:line="240" w:lineRule="auto"/>
    </w:pPr>
  </w:style>
  <w:style w:type="paragraph" w:styleId="BalloonText">
    <w:name w:val="Balloon Text"/>
    <w:basedOn w:val="Normal"/>
    <w:link w:val="BalloonTextChar"/>
    <w:uiPriority w:val="99"/>
    <w:semiHidden/>
    <w:unhideWhenUsed/>
    <w:rsid w:val="004A1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39B"/>
    <w:rPr>
      <w:rFonts w:ascii="Segoe UI" w:eastAsia="Calibri" w:hAnsi="Segoe UI" w:cs="Segoe UI"/>
      <w:sz w:val="18"/>
      <w:szCs w:val="18"/>
    </w:rPr>
  </w:style>
  <w:style w:type="table" w:styleId="TableGrid">
    <w:name w:val="Table Grid"/>
    <w:basedOn w:val="TableNormal"/>
    <w:uiPriority w:val="59"/>
    <w:rsid w:val="00A2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9E"/>
    <w:pPr>
      <w:suppressAutoHyphens w:val="0"/>
      <w:autoSpaceDN/>
      <w:spacing w:after="160" w:line="259" w:lineRule="auto"/>
      <w:ind w:left="720"/>
      <w:contextualSpacing/>
      <w:textAlignment w:val="auto"/>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161F2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7F3C4E"/>
    <w:pPr>
      <w:suppressAutoHyphens w:val="0"/>
      <w:autoSpaceDN/>
      <w:textAlignment w:val="auto"/>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7F3C4E"/>
    <w:rPr>
      <w:rFonts w:ascii="Arial" w:hAnsi="Arial" w:cs="Arial"/>
      <w:sz w:val="20"/>
      <w:szCs w:val="20"/>
    </w:rPr>
  </w:style>
  <w:style w:type="character" w:styleId="FootnoteReference">
    <w:name w:val="footnote reference"/>
    <w:basedOn w:val="DefaultParagraphFont"/>
    <w:uiPriority w:val="99"/>
    <w:semiHidden/>
    <w:unhideWhenUsed/>
    <w:rsid w:val="007F3C4E"/>
    <w:rPr>
      <w:vertAlign w:val="superscript"/>
    </w:rPr>
  </w:style>
  <w:style w:type="paragraph" w:styleId="NormalWeb">
    <w:name w:val="Normal (Web)"/>
    <w:basedOn w:val="Normal"/>
    <w:uiPriority w:val="99"/>
    <w:unhideWhenUsed/>
    <w:rsid w:val="00C54738"/>
    <w:pPr>
      <w:suppressAutoHyphens w:val="0"/>
      <w:autoSpaceDN/>
      <w:textAlignment w:val="auto"/>
    </w:pPr>
    <w:rPr>
      <w:rFonts w:eastAsiaTheme="minorHAnsi" w:cs="Calibri"/>
      <w:lang w:eastAsia="en-GB"/>
    </w:rPr>
  </w:style>
  <w:style w:type="character" w:customStyle="1" w:styleId="Heading4Char">
    <w:name w:val="Heading 4 Char"/>
    <w:basedOn w:val="DefaultParagraphFont"/>
    <w:link w:val="Heading4"/>
    <w:uiPriority w:val="9"/>
    <w:rsid w:val="00304F77"/>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D8645F"/>
    <w:pPr>
      <w:suppressAutoHyphens w:val="0"/>
      <w:autoSpaceDN/>
      <w:textAlignment w:val="auto"/>
    </w:pPr>
    <w:rPr>
      <w:rFonts w:eastAsia="Times New Roman"/>
      <w:szCs w:val="21"/>
    </w:rPr>
  </w:style>
  <w:style w:type="character" w:customStyle="1" w:styleId="PlainTextChar">
    <w:name w:val="Plain Text Char"/>
    <w:basedOn w:val="DefaultParagraphFont"/>
    <w:link w:val="PlainText"/>
    <w:uiPriority w:val="99"/>
    <w:rsid w:val="00D8645F"/>
    <w:rPr>
      <w:rFonts w:ascii="Calibri" w:eastAsia="Times New Roman" w:hAnsi="Calibri" w:cs="Times New Roman"/>
      <w:szCs w:val="21"/>
    </w:rPr>
  </w:style>
  <w:style w:type="paragraph" w:customStyle="1" w:styleId="xmsoplaintext">
    <w:name w:val="x_msoplaintext"/>
    <w:basedOn w:val="Normal"/>
    <w:uiPriority w:val="99"/>
    <w:rsid w:val="00C56348"/>
    <w:pPr>
      <w:suppressAutoHyphens w:val="0"/>
      <w:autoSpaceDN/>
      <w:textAlignment w:val="auto"/>
    </w:pPr>
    <w:rPr>
      <w:rFonts w:eastAsiaTheme="minorHAnsi" w:cs="Calibri"/>
      <w:lang w:eastAsia="en-GB"/>
    </w:rPr>
  </w:style>
  <w:style w:type="paragraph" w:styleId="CommentText">
    <w:name w:val="annotation text"/>
    <w:basedOn w:val="Normal"/>
    <w:link w:val="CommentTextChar"/>
    <w:uiPriority w:val="99"/>
    <w:unhideWhenUsed/>
    <w:rsid w:val="002A16EC"/>
    <w:rPr>
      <w:sz w:val="20"/>
      <w:szCs w:val="20"/>
    </w:rPr>
  </w:style>
  <w:style w:type="character" w:customStyle="1" w:styleId="CommentTextChar">
    <w:name w:val="Comment Text Char"/>
    <w:basedOn w:val="DefaultParagraphFont"/>
    <w:link w:val="CommentText"/>
    <w:uiPriority w:val="99"/>
    <w:rsid w:val="002A16E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844">
      <w:bodyDiv w:val="1"/>
      <w:marLeft w:val="0"/>
      <w:marRight w:val="0"/>
      <w:marTop w:val="0"/>
      <w:marBottom w:val="0"/>
      <w:divBdr>
        <w:top w:val="none" w:sz="0" w:space="0" w:color="auto"/>
        <w:left w:val="none" w:sz="0" w:space="0" w:color="auto"/>
        <w:bottom w:val="none" w:sz="0" w:space="0" w:color="auto"/>
        <w:right w:val="none" w:sz="0" w:space="0" w:color="auto"/>
      </w:divBdr>
    </w:div>
    <w:div w:id="365837496">
      <w:bodyDiv w:val="1"/>
      <w:marLeft w:val="0"/>
      <w:marRight w:val="0"/>
      <w:marTop w:val="0"/>
      <w:marBottom w:val="0"/>
      <w:divBdr>
        <w:top w:val="none" w:sz="0" w:space="0" w:color="auto"/>
        <w:left w:val="none" w:sz="0" w:space="0" w:color="auto"/>
        <w:bottom w:val="none" w:sz="0" w:space="0" w:color="auto"/>
        <w:right w:val="none" w:sz="0" w:space="0" w:color="auto"/>
      </w:divBdr>
    </w:div>
    <w:div w:id="384260948">
      <w:bodyDiv w:val="1"/>
      <w:marLeft w:val="0"/>
      <w:marRight w:val="0"/>
      <w:marTop w:val="0"/>
      <w:marBottom w:val="0"/>
      <w:divBdr>
        <w:top w:val="none" w:sz="0" w:space="0" w:color="auto"/>
        <w:left w:val="none" w:sz="0" w:space="0" w:color="auto"/>
        <w:bottom w:val="none" w:sz="0" w:space="0" w:color="auto"/>
        <w:right w:val="none" w:sz="0" w:space="0" w:color="auto"/>
      </w:divBdr>
      <w:divsChild>
        <w:div w:id="593561518">
          <w:marLeft w:val="360"/>
          <w:marRight w:val="0"/>
          <w:marTop w:val="200"/>
          <w:marBottom w:val="0"/>
          <w:divBdr>
            <w:top w:val="none" w:sz="0" w:space="0" w:color="auto"/>
            <w:left w:val="none" w:sz="0" w:space="0" w:color="auto"/>
            <w:bottom w:val="none" w:sz="0" w:space="0" w:color="auto"/>
            <w:right w:val="none" w:sz="0" w:space="0" w:color="auto"/>
          </w:divBdr>
        </w:div>
      </w:divsChild>
    </w:div>
    <w:div w:id="399644483">
      <w:bodyDiv w:val="1"/>
      <w:marLeft w:val="0"/>
      <w:marRight w:val="0"/>
      <w:marTop w:val="0"/>
      <w:marBottom w:val="0"/>
      <w:divBdr>
        <w:top w:val="none" w:sz="0" w:space="0" w:color="auto"/>
        <w:left w:val="none" w:sz="0" w:space="0" w:color="auto"/>
        <w:bottom w:val="none" w:sz="0" w:space="0" w:color="auto"/>
        <w:right w:val="none" w:sz="0" w:space="0" w:color="auto"/>
      </w:divBdr>
    </w:div>
    <w:div w:id="484979941">
      <w:bodyDiv w:val="1"/>
      <w:marLeft w:val="0"/>
      <w:marRight w:val="0"/>
      <w:marTop w:val="0"/>
      <w:marBottom w:val="0"/>
      <w:divBdr>
        <w:top w:val="none" w:sz="0" w:space="0" w:color="auto"/>
        <w:left w:val="none" w:sz="0" w:space="0" w:color="auto"/>
        <w:bottom w:val="none" w:sz="0" w:space="0" w:color="auto"/>
        <w:right w:val="none" w:sz="0" w:space="0" w:color="auto"/>
      </w:divBdr>
    </w:div>
    <w:div w:id="508907670">
      <w:bodyDiv w:val="1"/>
      <w:marLeft w:val="0"/>
      <w:marRight w:val="0"/>
      <w:marTop w:val="0"/>
      <w:marBottom w:val="0"/>
      <w:divBdr>
        <w:top w:val="none" w:sz="0" w:space="0" w:color="auto"/>
        <w:left w:val="none" w:sz="0" w:space="0" w:color="auto"/>
        <w:bottom w:val="none" w:sz="0" w:space="0" w:color="auto"/>
        <w:right w:val="none" w:sz="0" w:space="0" w:color="auto"/>
      </w:divBdr>
    </w:div>
    <w:div w:id="552429037">
      <w:bodyDiv w:val="1"/>
      <w:marLeft w:val="0"/>
      <w:marRight w:val="0"/>
      <w:marTop w:val="0"/>
      <w:marBottom w:val="0"/>
      <w:divBdr>
        <w:top w:val="none" w:sz="0" w:space="0" w:color="auto"/>
        <w:left w:val="none" w:sz="0" w:space="0" w:color="auto"/>
        <w:bottom w:val="none" w:sz="0" w:space="0" w:color="auto"/>
        <w:right w:val="none" w:sz="0" w:space="0" w:color="auto"/>
      </w:divBdr>
    </w:div>
    <w:div w:id="574096929">
      <w:bodyDiv w:val="1"/>
      <w:marLeft w:val="0"/>
      <w:marRight w:val="0"/>
      <w:marTop w:val="0"/>
      <w:marBottom w:val="0"/>
      <w:divBdr>
        <w:top w:val="none" w:sz="0" w:space="0" w:color="auto"/>
        <w:left w:val="none" w:sz="0" w:space="0" w:color="auto"/>
        <w:bottom w:val="none" w:sz="0" w:space="0" w:color="auto"/>
        <w:right w:val="none" w:sz="0" w:space="0" w:color="auto"/>
      </w:divBdr>
    </w:div>
    <w:div w:id="626860182">
      <w:bodyDiv w:val="1"/>
      <w:marLeft w:val="0"/>
      <w:marRight w:val="0"/>
      <w:marTop w:val="0"/>
      <w:marBottom w:val="0"/>
      <w:divBdr>
        <w:top w:val="none" w:sz="0" w:space="0" w:color="auto"/>
        <w:left w:val="none" w:sz="0" w:space="0" w:color="auto"/>
        <w:bottom w:val="none" w:sz="0" w:space="0" w:color="auto"/>
        <w:right w:val="none" w:sz="0" w:space="0" w:color="auto"/>
      </w:divBdr>
    </w:div>
    <w:div w:id="653071138">
      <w:bodyDiv w:val="1"/>
      <w:marLeft w:val="0"/>
      <w:marRight w:val="0"/>
      <w:marTop w:val="0"/>
      <w:marBottom w:val="0"/>
      <w:divBdr>
        <w:top w:val="none" w:sz="0" w:space="0" w:color="auto"/>
        <w:left w:val="none" w:sz="0" w:space="0" w:color="auto"/>
        <w:bottom w:val="none" w:sz="0" w:space="0" w:color="auto"/>
        <w:right w:val="none" w:sz="0" w:space="0" w:color="auto"/>
      </w:divBdr>
    </w:div>
    <w:div w:id="722100343">
      <w:bodyDiv w:val="1"/>
      <w:marLeft w:val="0"/>
      <w:marRight w:val="0"/>
      <w:marTop w:val="0"/>
      <w:marBottom w:val="0"/>
      <w:divBdr>
        <w:top w:val="none" w:sz="0" w:space="0" w:color="auto"/>
        <w:left w:val="none" w:sz="0" w:space="0" w:color="auto"/>
        <w:bottom w:val="none" w:sz="0" w:space="0" w:color="auto"/>
        <w:right w:val="none" w:sz="0" w:space="0" w:color="auto"/>
      </w:divBdr>
    </w:div>
    <w:div w:id="767040989">
      <w:bodyDiv w:val="1"/>
      <w:marLeft w:val="0"/>
      <w:marRight w:val="0"/>
      <w:marTop w:val="0"/>
      <w:marBottom w:val="0"/>
      <w:divBdr>
        <w:top w:val="none" w:sz="0" w:space="0" w:color="auto"/>
        <w:left w:val="none" w:sz="0" w:space="0" w:color="auto"/>
        <w:bottom w:val="none" w:sz="0" w:space="0" w:color="auto"/>
        <w:right w:val="none" w:sz="0" w:space="0" w:color="auto"/>
      </w:divBdr>
    </w:div>
    <w:div w:id="789544097">
      <w:bodyDiv w:val="1"/>
      <w:marLeft w:val="0"/>
      <w:marRight w:val="0"/>
      <w:marTop w:val="0"/>
      <w:marBottom w:val="0"/>
      <w:divBdr>
        <w:top w:val="none" w:sz="0" w:space="0" w:color="auto"/>
        <w:left w:val="none" w:sz="0" w:space="0" w:color="auto"/>
        <w:bottom w:val="none" w:sz="0" w:space="0" w:color="auto"/>
        <w:right w:val="none" w:sz="0" w:space="0" w:color="auto"/>
      </w:divBdr>
    </w:div>
    <w:div w:id="850294615">
      <w:bodyDiv w:val="1"/>
      <w:marLeft w:val="0"/>
      <w:marRight w:val="0"/>
      <w:marTop w:val="0"/>
      <w:marBottom w:val="0"/>
      <w:divBdr>
        <w:top w:val="none" w:sz="0" w:space="0" w:color="auto"/>
        <w:left w:val="none" w:sz="0" w:space="0" w:color="auto"/>
        <w:bottom w:val="none" w:sz="0" w:space="0" w:color="auto"/>
        <w:right w:val="none" w:sz="0" w:space="0" w:color="auto"/>
      </w:divBdr>
    </w:div>
    <w:div w:id="1117064226">
      <w:bodyDiv w:val="1"/>
      <w:marLeft w:val="0"/>
      <w:marRight w:val="0"/>
      <w:marTop w:val="0"/>
      <w:marBottom w:val="0"/>
      <w:divBdr>
        <w:top w:val="none" w:sz="0" w:space="0" w:color="auto"/>
        <w:left w:val="none" w:sz="0" w:space="0" w:color="auto"/>
        <w:bottom w:val="none" w:sz="0" w:space="0" w:color="auto"/>
        <w:right w:val="none" w:sz="0" w:space="0" w:color="auto"/>
      </w:divBdr>
    </w:div>
    <w:div w:id="1352994707">
      <w:bodyDiv w:val="1"/>
      <w:marLeft w:val="0"/>
      <w:marRight w:val="0"/>
      <w:marTop w:val="0"/>
      <w:marBottom w:val="0"/>
      <w:divBdr>
        <w:top w:val="none" w:sz="0" w:space="0" w:color="auto"/>
        <w:left w:val="none" w:sz="0" w:space="0" w:color="auto"/>
        <w:bottom w:val="none" w:sz="0" w:space="0" w:color="auto"/>
        <w:right w:val="none" w:sz="0" w:space="0" w:color="auto"/>
      </w:divBdr>
      <w:divsChild>
        <w:div w:id="20085924">
          <w:marLeft w:val="1080"/>
          <w:marRight w:val="0"/>
          <w:marTop w:val="100"/>
          <w:marBottom w:val="0"/>
          <w:divBdr>
            <w:top w:val="none" w:sz="0" w:space="0" w:color="auto"/>
            <w:left w:val="none" w:sz="0" w:space="0" w:color="auto"/>
            <w:bottom w:val="none" w:sz="0" w:space="0" w:color="auto"/>
            <w:right w:val="none" w:sz="0" w:space="0" w:color="auto"/>
          </w:divBdr>
        </w:div>
      </w:divsChild>
    </w:div>
    <w:div w:id="1382482067">
      <w:bodyDiv w:val="1"/>
      <w:marLeft w:val="0"/>
      <w:marRight w:val="0"/>
      <w:marTop w:val="0"/>
      <w:marBottom w:val="0"/>
      <w:divBdr>
        <w:top w:val="none" w:sz="0" w:space="0" w:color="auto"/>
        <w:left w:val="none" w:sz="0" w:space="0" w:color="auto"/>
        <w:bottom w:val="none" w:sz="0" w:space="0" w:color="auto"/>
        <w:right w:val="none" w:sz="0" w:space="0" w:color="auto"/>
      </w:divBdr>
    </w:div>
    <w:div w:id="1457604911">
      <w:bodyDiv w:val="1"/>
      <w:marLeft w:val="0"/>
      <w:marRight w:val="0"/>
      <w:marTop w:val="0"/>
      <w:marBottom w:val="0"/>
      <w:divBdr>
        <w:top w:val="none" w:sz="0" w:space="0" w:color="auto"/>
        <w:left w:val="none" w:sz="0" w:space="0" w:color="auto"/>
        <w:bottom w:val="none" w:sz="0" w:space="0" w:color="auto"/>
        <w:right w:val="none" w:sz="0" w:space="0" w:color="auto"/>
      </w:divBdr>
    </w:div>
    <w:div w:id="1599216363">
      <w:bodyDiv w:val="1"/>
      <w:marLeft w:val="0"/>
      <w:marRight w:val="0"/>
      <w:marTop w:val="0"/>
      <w:marBottom w:val="0"/>
      <w:divBdr>
        <w:top w:val="none" w:sz="0" w:space="0" w:color="auto"/>
        <w:left w:val="none" w:sz="0" w:space="0" w:color="auto"/>
        <w:bottom w:val="none" w:sz="0" w:space="0" w:color="auto"/>
        <w:right w:val="none" w:sz="0" w:space="0" w:color="auto"/>
      </w:divBdr>
      <w:divsChild>
        <w:div w:id="1744401906">
          <w:marLeft w:val="360"/>
          <w:marRight w:val="0"/>
          <w:marTop w:val="200"/>
          <w:marBottom w:val="0"/>
          <w:divBdr>
            <w:top w:val="none" w:sz="0" w:space="0" w:color="auto"/>
            <w:left w:val="none" w:sz="0" w:space="0" w:color="auto"/>
            <w:bottom w:val="none" w:sz="0" w:space="0" w:color="auto"/>
            <w:right w:val="none" w:sz="0" w:space="0" w:color="auto"/>
          </w:divBdr>
        </w:div>
      </w:divsChild>
    </w:div>
    <w:div w:id="1940793012">
      <w:bodyDiv w:val="1"/>
      <w:marLeft w:val="0"/>
      <w:marRight w:val="0"/>
      <w:marTop w:val="0"/>
      <w:marBottom w:val="0"/>
      <w:divBdr>
        <w:top w:val="none" w:sz="0" w:space="0" w:color="auto"/>
        <w:left w:val="none" w:sz="0" w:space="0" w:color="auto"/>
        <w:bottom w:val="none" w:sz="0" w:space="0" w:color="auto"/>
        <w:right w:val="none" w:sz="0" w:space="0" w:color="auto"/>
      </w:divBdr>
    </w:div>
    <w:div w:id="21161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E4FB-C929-4DC5-A70A-6E7794F3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4109</TotalTime>
  <Pages>7</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Smith</dc:creator>
  <cp:lastModifiedBy>Robert</cp:lastModifiedBy>
  <cp:revision>878</cp:revision>
  <cp:lastPrinted>2018-03-06T12:24:00Z</cp:lastPrinted>
  <dcterms:created xsi:type="dcterms:W3CDTF">2018-11-09T16:39:00Z</dcterms:created>
  <dcterms:modified xsi:type="dcterms:W3CDTF">2021-06-25T13:17:00Z</dcterms:modified>
</cp:coreProperties>
</file>