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E7C3" w14:textId="54A8FB85" w:rsidR="00A33A78" w:rsidRPr="00A33A78" w:rsidRDefault="00A33A78" w:rsidP="00A33A78">
      <w:pPr>
        <w:jc w:val="center"/>
        <w:rPr>
          <w:rFonts w:ascii="Verdana" w:hAnsi="Verdana"/>
          <w:b/>
        </w:rPr>
      </w:pPr>
      <w:r w:rsidRPr="00A33A78">
        <w:rPr>
          <w:rFonts w:ascii="Verdana" w:hAnsi="Verdana"/>
          <w:b/>
        </w:rPr>
        <w:t>CORPORATION OF SIR GEORGE MONOUX COLLEGE</w:t>
      </w:r>
    </w:p>
    <w:p w14:paraId="5F361D5F" w14:textId="77777777" w:rsidR="00A33A78" w:rsidRPr="00A33A78" w:rsidRDefault="00A33A78" w:rsidP="00A33A78">
      <w:pPr>
        <w:jc w:val="center"/>
        <w:rPr>
          <w:rFonts w:ascii="Verdana" w:hAnsi="Verdana"/>
          <w:b/>
        </w:rPr>
      </w:pPr>
    </w:p>
    <w:p w14:paraId="3A11B754" w14:textId="2B949A9C" w:rsidR="00A33A78" w:rsidRPr="00A33A78" w:rsidRDefault="00A33A78" w:rsidP="00C007E9">
      <w:pPr>
        <w:jc w:val="center"/>
        <w:rPr>
          <w:rFonts w:ascii="Verdana" w:hAnsi="Verdana"/>
          <w:b/>
        </w:rPr>
      </w:pPr>
      <w:r w:rsidRPr="00A33A78">
        <w:rPr>
          <w:rFonts w:ascii="Verdana" w:hAnsi="Verdana"/>
          <w:b/>
        </w:rPr>
        <w:t xml:space="preserve">Minutes of the Meeting of the Governance &amp; Nominations Committee held on </w:t>
      </w:r>
      <w:r w:rsidR="00411E56">
        <w:rPr>
          <w:rFonts w:ascii="Verdana" w:hAnsi="Verdana"/>
          <w:b/>
        </w:rPr>
        <w:t>20 April 2021</w:t>
      </w:r>
    </w:p>
    <w:p w14:paraId="54B2E7FB" w14:textId="77777777" w:rsidR="00A33A78" w:rsidRPr="00A33A78" w:rsidRDefault="00A33A78" w:rsidP="00A33A78">
      <w:pPr>
        <w:jc w:val="center"/>
        <w:rPr>
          <w:rFonts w:ascii="Verdana" w:hAnsi="Verdana"/>
          <w:b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866"/>
      </w:tblGrid>
      <w:tr w:rsidR="00A33A78" w:rsidRPr="00A33A78" w14:paraId="04B9C969" w14:textId="77777777" w:rsidTr="00C7047B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798C" w14:textId="77777777" w:rsidR="00A33A78" w:rsidRPr="00A33A78" w:rsidRDefault="00A33A78">
            <w:pPr>
              <w:tabs>
                <w:tab w:val="left" w:pos="1455"/>
              </w:tabs>
              <w:spacing w:line="276" w:lineRule="auto"/>
              <w:rPr>
                <w:rFonts w:ascii="Verdana" w:hAnsi="Verdana"/>
                <w:b/>
              </w:rPr>
            </w:pPr>
            <w:r w:rsidRPr="00A33A78">
              <w:rPr>
                <w:rFonts w:ascii="Verdana" w:hAnsi="Verdana"/>
                <w:b/>
              </w:rPr>
              <w:t>Present</w:t>
            </w:r>
            <w:r w:rsidRPr="00A33A78">
              <w:rPr>
                <w:rFonts w:ascii="Verdana" w:hAnsi="Verdana"/>
                <w:b/>
              </w:rPr>
              <w:tab/>
            </w:r>
          </w:p>
          <w:p w14:paraId="6B95E93E" w14:textId="77777777" w:rsidR="00A33A78" w:rsidRPr="00A33A78" w:rsidRDefault="00A33A78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6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D340" w14:textId="0802E504" w:rsidR="00A33A78" w:rsidRPr="00A33A78" w:rsidRDefault="00A33A78">
            <w:pPr>
              <w:spacing w:line="276" w:lineRule="auto"/>
              <w:rPr>
                <w:rFonts w:ascii="Verdana" w:hAnsi="Verdana"/>
              </w:rPr>
            </w:pPr>
            <w:r w:rsidRPr="00A33A78">
              <w:rPr>
                <w:rFonts w:ascii="Verdana" w:hAnsi="Verdana"/>
              </w:rPr>
              <w:t xml:space="preserve">Tom </w:t>
            </w:r>
            <w:proofErr w:type="spellStart"/>
            <w:r w:rsidRPr="00A33A78">
              <w:rPr>
                <w:rFonts w:ascii="Verdana" w:hAnsi="Verdana"/>
              </w:rPr>
              <w:t>Foakes</w:t>
            </w:r>
            <w:proofErr w:type="spellEnd"/>
            <w:r w:rsidRPr="00A33A78">
              <w:rPr>
                <w:rFonts w:ascii="Verdana" w:hAnsi="Verdana"/>
              </w:rPr>
              <w:t xml:space="preserve"> (Chair), </w:t>
            </w:r>
            <w:r w:rsidR="00CF38BF">
              <w:rPr>
                <w:rFonts w:ascii="Verdana" w:hAnsi="Verdana"/>
              </w:rPr>
              <w:t>Riddhi Bhalla,</w:t>
            </w:r>
            <w:r w:rsidR="00C007E9">
              <w:rPr>
                <w:rFonts w:ascii="Verdana" w:hAnsi="Verdana"/>
              </w:rPr>
              <w:t xml:space="preserve"> Stephen Jones,</w:t>
            </w:r>
            <w:r w:rsidR="00CF38BF">
              <w:rPr>
                <w:rFonts w:ascii="Verdana" w:hAnsi="Verdana"/>
              </w:rPr>
              <w:t xml:space="preserve"> </w:t>
            </w:r>
            <w:r w:rsidRPr="00A33A78">
              <w:rPr>
                <w:rFonts w:ascii="Verdana" w:hAnsi="Verdana"/>
              </w:rPr>
              <w:t xml:space="preserve">Alastair Owens, Alan Wells. </w:t>
            </w:r>
          </w:p>
          <w:p w14:paraId="39B23576" w14:textId="77777777" w:rsidR="00A33A78" w:rsidRPr="00A33A78" w:rsidRDefault="00A33A7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33A78" w:rsidRPr="00A33A78" w14:paraId="42615353" w14:textId="77777777" w:rsidTr="00C7047B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76F1" w14:textId="77777777" w:rsidR="00A33A78" w:rsidRPr="00A33A78" w:rsidRDefault="00A33A78">
            <w:pPr>
              <w:spacing w:line="276" w:lineRule="auto"/>
              <w:rPr>
                <w:rFonts w:ascii="Verdana" w:hAnsi="Verdana"/>
                <w:b/>
              </w:rPr>
            </w:pPr>
            <w:r w:rsidRPr="00A33A78">
              <w:rPr>
                <w:rFonts w:ascii="Verdana" w:hAnsi="Verdana"/>
                <w:b/>
              </w:rPr>
              <w:t>In Attendance</w:t>
            </w:r>
          </w:p>
        </w:tc>
        <w:tc>
          <w:tcPr>
            <w:tcW w:w="6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E56E" w14:textId="77777777" w:rsidR="00A33A78" w:rsidRPr="00A33A78" w:rsidRDefault="00A33A78">
            <w:pPr>
              <w:spacing w:line="276" w:lineRule="auto"/>
              <w:rPr>
                <w:rFonts w:ascii="Verdana" w:hAnsi="Verdana"/>
              </w:rPr>
            </w:pPr>
            <w:r w:rsidRPr="00A33A78">
              <w:rPr>
                <w:rFonts w:ascii="Verdana" w:hAnsi="Verdana"/>
              </w:rPr>
              <w:t>Robert Smith (Clerk to the Corporation).</w:t>
            </w:r>
          </w:p>
        </w:tc>
      </w:tr>
    </w:tbl>
    <w:p w14:paraId="2AC670FE" w14:textId="77777777" w:rsidR="00A33A78" w:rsidRPr="00A33A78" w:rsidRDefault="00A33A78" w:rsidP="00A33A78">
      <w:pPr>
        <w:rPr>
          <w:rFonts w:ascii="Verdana" w:hAnsi="Verdana"/>
          <w:b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8713"/>
      </w:tblGrid>
      <w:tr w:rsidR="00A33A78" w:rsidRPr="00A33A78" w14:paraId="4E7F0409" w14:textId="77777777" w:rsidTr="00C7047B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91F3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1</w:t>
            </w:r>
          </w:p>
          <w:p w14:paraId="3090CA4E" w14:textId="77777777" w:rsidR="00A33A78" w:rsidRPr="00A33A78" w:rsidRDefault="00A33A78" w:rsidP="00A33A78">
            <w:pPr>
              <w:pStyle w:val="NoSpacing"/>
              <w:rPr>
                <w:b/>
              </w:rPr>
            </w:pPr>
          </w:p>
          <w:p w14:paraId="3DADE090" w14:textId="77777777" w:rsidR="00A33A78" w:rsidRPr="00A33A78" w:rsidRDefault="00A33A78" w:rsidP="00A33A78">
            <w:pPr>
              <w:pStyle w:val="NoSpacing"/>
              <w:rPr>
                <w:b/>
              </w:rPr>
            </w:pP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C010" w14:textId="5CA32701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Apologies for Absence</w:t>
            </w:r>
            <w:r w:rsidR="00DE059A">
              <w:rPr>
                <w:b/>
              </w:rPr>
              <w:t xml:space="preserve"> and Quoracy</w:t>
            </w:r>
          </w:p>
          <w:p w14:paraId="7CB11826" w14:textId="69B683BE" w:rsidR="00A33A78" w:rsidRDefault="00A33A78" w:rsidP="00A33A78">
            <w:pPr>
              <w:pStyle w:val="NoSpacing"/>
            </w:pPr>
          </w:p>
          <w:p w14:paraId="1CD0A5EE" w14:textId="41BD5C05" w:rsidR="000417C5" w:rsidRPr="00A33A78" w:rsidRDefault="00DC300D" w:rsidP="00A33A78">
            <w:pPr>
              <w:pStyle w:val="NoSpacing"/>
            </w:pPr>
            <w:r>
              <w:t>All members were present.</w:t>
            </w:r>
          </w:p>
          <w:p w14:paraId="4615D451" w14:textId="77777777" w:rsidR="00A33A78" w:rsidRPr="00A33A78" w:rsidRDefault="00A33A78" w:rsidP="00A33A78">
            <w:pPr>
              <w:pStyle w:val="NoSpacing"/>
            </w:pPr>
          </w:p>
        </w:tc>
      </w:tr>
      <w:tr w:rsidR="00A33A78" w:rsidRPr="00A33A78" w14:paraId="1E74380D" w14:textId="77777777" w:rsidTr="00C7047B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BA96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2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0D37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Declarations of Interest</w:t>
            </w:r>
          </w:p>
          <w:p w14:paraId="4CB8F994" w14:textId="77777777" w:rsidR="00A33A78" w:rsidRPr="00A33A78" w:rsidRDefault="00A33A78" w:rsidP="00A33A78">
            <w:pPr>
              <w:pStyle w:val="NoSpacing"/>
            </w:pPr>
          </w:p>
          <w:p w14:paraId="6F4B93AE" w14:textId="77777777" w:rsidR="00A33A78" w:rsidRPr="00A33A78" w:rsidRDefault="00A33A78" w:rsidP="00A33A78">
            <w:pPr>
              <w:pStyle w:val="NoSpacing"/>
            </w:pPr>
            <w:r w:rsidRPr="00A33A78">
              <w:t>None.</w:t>
            </w:r>
          </w:p>
          <w:p w14:paraId="416D7026" w14:textId="77777777" w:rsidR="00A33A78" w:rsidRPr="00A33A78" w:rsidRDefault="00A33A78" w:rsidP="00A33A78">
            <w:pPr>
              <w:pStyle w:val="NoSpacing"/>
            </w:pPr>
          </w:p>
        </w:tc>
      </w:tr>
      <w:tr w:rsidR="00A33A78" w:rsidRPr="00A33A78" w14:paraId="15CFABE2" w14:textId="77777777" w:rsidTr="00C7047B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00D2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3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442B" w14:textId="5C424EE9" w:rsid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 xml:space="preserve">Minutes of the Previous Meeting: </w:t>
            </w:r>
            <w:r w:rsidR="00411E56">
              <w:rPr>
                <w:b/>
              </w:rPr>
              <w:t>6 October</w:t>
            </w:r>
            <w:r w:rsidR="002A4E79" w:rsidRPr="00A33A78">
              <w:rPr>
                <w:b/>
              </w:rPr>
              <w:t xml:space="preserve"> 20</w:t>
            </w:r>
            <w:r w:rsidR="00C007E9">
              <w:rPr>
                <w:b/>
              </w:rPr>
              <w:t>20</w:t>
            </w:r>
          </w:p>
          <w:p w14:paraId="5D7920D4" w14:textId="77777777" w:rsidR="002A4E79" w:rsidRPr="00A33A78" w:rsidRDefault="002A4E79" w:rsidP="00A33A78">
            <w:pPr>
              <w:pStyle w:val="NoSpacing"/>
            </w:pPr>
          </w:p>
          <w:p w14:paraId="4232E190" w14:textId="77777777" w:rsidR="00A33A78" w:rsidRPr="00A33A78" w:rsidRDefault="00A33A78" w:rsidP="00A33A78">
            <w:pPr>
              <w:pStyle w:val="NoSpacing"/>
            </w:pPr>
            <w:r w:rsidRPr="00A33A78">
              <w:t>It was noted that the draft minutes had received approval by the Chair of the Committee for circulation.</w:t>
            </w:r>
          </w:p>
          <w:p w14:paraId="35043724" w14:textId="77777777" w:rsidR="00A33A78" w:rsidRPr="00A33A78" w:rsidRDefault="00A33A78" w:rsidP="00A33A78">
            <w:pPr>
              <w:pStyle w:val="NoSpacing"/>
            </w:pPr>
          </w:p>
          <w:p w14:paraId="7DC43425" w14:textId="77777777" w:rsidR="00A33A78" w:rsidRPr="00A33A78" w:rsidRDefault="00A33A78" w:rsidP="00A33A78">
            <w:pPr>
              <w:pStyle w:val="NoSpacing"/>
            </w:pPr>
            <w:r w:rsidRPr="00A33A78">
              <w:t xml:space="preserve">They were approved as a correct record of the business transacted and </w:t>
            </w:r>
            <w:r w:rsidRPr="00A33A78">
              <w:rPr>
                <w:i/>
              </w:rPr>
              <w:t>prima facie</w:t>
            </w:r>
            <w:r w:rsidRPr="00A33A78">
              <w:t xml:space="preserve"> evidence of the proceedings to which they relate.</w:t>
            </w:r>
          </w:p>
          <w:p w14:paraId="6B116800" w14:textId="77777777" w:rsidR="00A33A78" w:rsidRPr="00A33A78" w:rsidRDefault="00A33A78" w:rsidP="00A33A78">
            <w:pPr>
              <w:pStyle w:val="NoSpacing"/>
            </w:pPr>
          </w:p>
        </w:tc>
      </w:tr>
      <w:tr w:rsidR="00A33A78" w:rsidRPr="00A33A78" w14:paraId="0CD4C7BD" w14:textId="77777777" w:rsidTr="00C7047B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B585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4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A6E6" w14:textId="29ABBCEF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 xml:space="preserve">Matters Arising from the Minutes: </w:t>
            </w:r>
            <w:r w:rsidR="00411E56">
              <w:rPr>
                <w:b/>
              </w:rPr>
              <w:t>6 October</w:t>
            </w:r>
            <w:r w:rsidR="002A4E79" w:rsidRPr="00A33A78">
              <w:rPr>
                <w:b/>
              </w:rPr>
              <w:t xml:space="preserve"> 20</w:t>
            </w:r>
            <w:r w:rsidR="00C007E9">
              <w:rPr>
                <w:b/>
              </w:rPr>
              <w:t>20</w:t>
            </w:r>
          </w:p>
          <w:p w14:paraId="1A18C1DD" w14:textId="77777777" w:rsidR="00A33A78" w:rsidRPr="00A33A78" w:rsidRDefault="00A33A78" w:rsidP="00A33A78">
            <w:pPr>
              <w:pStyle w:val="NoSpacing"/>
            </w:pPr>
          </w:p>
          <w:p w14:paraId="79543793" w14:textId="23E1479F" w:rsidR="00AA3A9C" w:rsidRDefault="00AE4FC1" w:rsidP="00AE4FC1">
            <w:pPr>
              <w:pStyle w:val="NoSpacing"/>
            </w:pPr>
            <w:r w:rsidRPr="00276D92">
              <w:rPr>
                <w:i/>
                <w:iCs/>
              </w:rPr>
              <w:t>Minute 5</w:t>
            </w:r>
            <w:r>
              <w:t xml:space="preserve">: it was noted that the candidate recommended for appointment as </w:t>
            </w:r>
            <w:proofErr w:type="spellStart"/>
            <w:r w:rsidR="00AA21E9">
              <w:t>as</w:t>
            </w:r>
            <w:proofErr w:type="spellEnd"/>
            <w:r w:rsidR="00AA21E9">
              <w:t xml:space="preserve"> the parent</w:t>
            </w:r>
            <w:r>
              <w:t xml:space="preserve"> member of the Corporation </w:t>
            </w:r>
            <w:r w:rsidR="00AA21E9">
              <w:t>was duly appointed.</w:t>
            </w:r>
          </w:p>
          <w:p w14:paraId="0CBB69C1" w14:textId="7EFADF44" w:rsidR="00AE4FC1" w:rsidRPr="00A33A78" w:rsidRDefault="00AE4FC1" w:rsidP="00AE4FC1">
            <w:pPr>
              <w:pStyle w:val="NoSpacing"/>
            </w:pPr>
          </w:p>
        </w:tc>
      </w:tr>
      <w:tr w:rsidR="00A33A78" w:rsidRPr="00A33A78" w14:paraId="1E0A8F5D" w14:textId="77777777" w:rsidTr="00C7047B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6118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5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1185" w14:textId="2C5731A3" w:rsidR="00AA21E9" w:rsidRPr="00EF75D8" w:rsidRDefault="00AA21E9" w:rsidP="00AA21E9">
            <w:pPr>
              <w:rPr>
                <w:rFonts w:ascii="Verdana" w:hAnsi="Verdana"/>
                <w:b/>
                <w:bCs/>
              </w:rPr>
            </w:pPr>
            <w:r w:rsidRPr="00EF75D8">
              <w:rPr>
                <w:rFonts w:ascii="Verdana" w:hAnsi="Verdana"/>
                <w:b/>
                <w:bCs/>
              </w:rPr>
              <w:t>Bye Laws of the Corporation</w:t>
            </w:r>
          </w:p>
          <w:p w14:paraId="76E53310" w14:textId="77777777" w:rsidR="00A33A78" w:rsidRPr="00A33A78" w:rsidRDefault="00A33A78" w:rsidP="00CF38BF">
            <w:pPr>
              <w:pStyle w:val="NoSpacing"/>
            </w:pPr>
          </w:p>
          <w:p w14:paraId="04151E54" w14:textId="555A29FC" w:rsidR="00DE059A" w:rsidRDefault="00AA21E9" w:rsidP="00AA21E9">
            <w:pPr>
              <w:pStyle w:val="NoSpacing"/>
            </w:pPr>
            <w:r>
              <w:t>A draft revised set o</w:t>
            </w:r>
            <w:r w:rsidR="00C37222">
              <w:t>f</w:t>
            </w:r>
            <w:r>
              <w:t xml:space="preserve"> bye laws</w:t>
            </w:r>
            <w:r w:rsidR="00C37222">
              <w:t xml:space="preserve"> prepared by the Clerk to the Corporation</w:t>
            </w:r>
            <w:r>
              <w:t xml:space="preserve">, together with a schedule setting out the intended changes, </w:t>
            </w:r>
            <w:r w:rsidR="00C37222">
              <w:t>was received and considered.</w:t>
            </w:r>
          </w:p>
          <w:p w14:paraId="6400FD47" w14:textId="77777777" w:rsidR="00C37222" w:rsidRDefault="00C37222" w:rsidP="00AA21E9">
            <w:pPr>
              <w:pStyle w:val="NoSpacing"/>
            </w:pPr>
          </w:p>
          <w:p w14:paraId="0857A374" w14:textId="77777777" w:rsidR="00C37222" w:rsidRDefault="00C37222" w:rsidP="00AA21E9">
            <w:pPr>
              <w:pStyle w:val="NoSpacing"/>
            </w:pPr>
            <w:r>
              <w:t>It was noted that the changes proposed to Bye Law 4.5 reflect the wishes of the Corporation as expressed at the meeting held on 30 March 2021.</w:t>
            </w:r>
          </w:p>
          <w:p w14:paraId="49E5D49B" w14:textId="77777777" w:rsidR="00C37222" w:rsidRDefault="00C37222" w:rsidP="00AA21E9">
            <w:pPr>
              <w:pStyle w:val="NoSpacing"/>
            </w:pPr>
          </w:p>
          <w:p w14:paraId="28043D9C" w14:textId="475FC021" w:rsidR="00C37222" w:rsidRDefault="00C37222" w:rsidP="00AA21E9">
            <w:pPr>
              <w:pStyle w:val="NoSpacing"/>
            </w:pPr>
            <w:r>
              <w:t>Other proposed changes</w:t>
            </w:r>
            <w:r w:rsidR="00120FFC">
              <w:t xml:space="preserve"> to the Bye Laws</w:t>
            </w:r>
            <w:r>
              <w:t xml:space="preserve"> arise from a general review of the</w:t>
            </w:r>
            <w:r w:rsidR="00120FFC">
              <w:t>ir</w:t>
            </w:r>
            <w:r>
              <w:t xml:space="preserve"> provisions.</w:t>
            </w:r>
          </w:p>
          <w:p w14:paraId="65488105" w14:textId="77777777" w:rsidR="00C37222" w:rsidRDefault="00C37222" w:rsidP="00AA21E9">
            <w:pPr>
              <w:pStyle w:val="NoSpacing"/>
            </w:pPr>
          </w:p>
          <w:p w14:paraId="05EAF90D" w14:textId="1D9B4659" w:rsidR="00C37222" w:rsidRDefault="00324118" w:rsidP="00AA21E9">
            <w:pPr>
              <w:pStyle w:val="NoSpacing"/>
            </w:pPr>
            <w:r>
              <w:t>It was agreed that future annual reviews of the Bye Laws of the Corporation should encompass a thoroughgoing examination</w:t>
            </w:r>
            <w:r w:rsidR="00120FFC">
              <w:t xml:space="preserve"> by the Committee</w:t>
            </w:r>
            <w:r>
              <w:t xml:space="preserve"> of all their provisions</w:t>
            </w:r>
            <w:r w:rsidR="00534D56">
              <w:t xml:space="preserve"> in the light of the Corporation’s requirements</w:t>
            </w:r>
            <w:r>
              <w:t>, not just those proposed for amendment.</w:t>
            </w:r>
          </w:p>
          <w:p w14:paraId="02298788" w14:textId="77777777" w:rsidR="00C37222" w:rsidRDefault="00C37222" w:rsidP="00AA21E9">
            <w:pPr>
              <w:pStyle w:val="NoSpacing"/>
            </w:pPr>
          </w:p>
          <w:p w14:paraId="7160A03D" w14:textId="3E5C3406" w:rsidR="00C37222" w:rsidRDefault="00EA6006" w:rsidP="00AA21E9">
            <w:pPr>
              <w:pStyle w:val="NoSpacing"/>
            </w:pPr>
            <w:r>
              <w:t xml:space="preserve">The amended Bye Laws were approved by the Committee on behalf of the Corporation </w:t>
            </w:r>
            <w:r w:rsidR="00856152">
              <w:t>with</w:t>
            </w:r>
            <w:r>
              <w:t xml:space="preserve"> immediate effect.</w:t>
            </w:r>
          </w:p>
          <w:p w14:paraId="71E0EA8E" w14:textId="77777777" w:rsidR="003D52BF" w:rsidRDefault="003D52BF" w:rsidP="00AA21E9">
            <w:pPr>
              <w:pStyle w:val="NoSpacing"/>
            </w:pPr>
          </w:p>
          <w:p w14:paraId="0D82EF05" w14:textId="632C05BF" w:rsidR="00D30B7D" w:rsidRDefault="00EA6006" w:rsidP="00AA21E9">
            <w:pPr>
              <w:pStyle w:val="NoSpacing"/>
            </w:pPr>
            <w:r>
              <w:lastRenderedPageBreak/>
              <w:t>The Clerk to the Corporation stated that he would circulate a copy of the revised Bye Laws of the Corporation to all members, and cause them to be placed on the College website.</w:t>
            </w:r>
            <w:r w:rsidR="00856152">
              <w:t xml:space="preserve">  </w:t>
            </w:r>
          </w:p>
          <w:p w14:paraId="2AE55BFC" w14:textId="77777777" w:rsidR="00324118" w:rsidRDefault="00324118" w:rsidP="00AA21E9">
            <w:pPr>
              <w:pStyle w:val="NoSpacing"/>
            </w:pPr>
          </w:p>
          <w:p w14:paraId="14FC302D" w14:textId="03605B0C" w:rsidR="003D52BF" w:rsidRDefault="00856152" w:rsidP="00AA21E9">
            <w:pPr>
              <w:pStyle w:val="NoSpacing"/>
            </w:pPr>
            <w:r>
              <w:t>It was noted that circulation</w:t>
            </w:r>
            <w:r w:rsidR="00D30B7D">
              <w:t xml:space="preserve"> of the Bye Laws to each member</w:t>
            </w:r>
            <w:r>
              <w:t xml:space="preserve"> would comprise </w:t>
            </w:r>
            <w:r w:rsidR="00D30B7D">
              <w:t>sufficient</w:t>
            </w:r>
            <w:r>
              <w:t xml:space="preserve"> noti</w:t>
            </w:r>
            <w:r w:rsidR="00D30B7D">
              <w:t xml:space="preserve">ce and that, notwithstanding the </w:t>
            </w:r>
            <w:r w:rsidR="00AF3D15">
              <w:t>action recorded</w:t>
            </w:r>
            <w:r w:rsidR="00D30B7D">
              <w:t xml:space="preserve"> in Minute 10 of the Corporation meeting held on 30 March 2021, they </w:t>
            </w:r>
            <w:r>
              <w:t xml:space="preserve">would not be </w:t>
            </w:r>
            <w:r w:rsidR="00D30B7D">
              <w:t>tabl</w:t>
            </w:r>
            <w:r>
              <w:t>ed for information at the next meeting of the Corporation.</w:t>
            </w:r>
          </w:p>
          <w:p w14:paraId="232D5B0C" w14:textId="1650C8E9" w:rsidR="003D52BF" w:rsidRPr="00A33A78" w:rsidRDefault="003D52BF" w:rsidP="00AA21E9">
            <w:pPr>
              <w:pStyle w:val="NoSpacing"/>
            </w:pPr>
          </w:p>
        </w:tc>
      </w:tr>
      <w:tr w:rsidR="00C37222" w:rsidRPr="00A33A78" w14:paraId="1DE7CF4B" w14:textId="77777777" w:rsidTr="00C7047B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82E2" w14:textId="1E437CB4" w:rsidR="00C37222" w:rsidRPr="00A33A78" w:rsidRDefault="00C37222" w:rsidP="00A33A7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FD1D" w14:textId="47D6E2FD" w:rsidR="003D52BF" w:rsidRDefault="00EA6006" w:rsidP="003D52B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Role</w:t>
            </w:r>
            <w:r w:rsidR="003D52BF">
              <w:rPr>
                <w:rFonts w:ascii="Verdana" w:hAnsi="Verdana"/>
                <w:b/>
                <w:bCs/>
              </w:rPr>
              <w:t xml:space="preserve"> Description and Person Specification for Chair of the Corporation</w:t>
            </w:r>
          </w:p>
          <w:p w14:paraId="3C05FFF9" w14:textId="77777777" w:rsidR="00C37222" w:rsidRDefault="00C37222" w:rsidP="00AA21E9">
            <w:pPr>
              <w:rPr>
                <w:rFonts w:ascii="Verdana" w:hAnsi="Verdana"/>
                <w:b/>
                <w:bCs/>
              </w:rPr>
            </w:pPr>
          </w:p>
          <w:p w14:paraId="0BD7A16E" w14:textId="0ED191FC" w:rsidR="003D52BF" w:rsidRDefault="003D52BF" w:rsidP="00AA21E9">
            <w:pPr>
              <w:rPr>
                <w:rFonts w:ascii="Verdana" w:hAnsi="Verdana"/>
              </w:rPr>
            </w:pPr>
            <w:r w:rsidRPr="003D52BF">
              <w:rPr>
                <w:rFonts w:ascii="Verdana" w:hAnsi="Verdana"/>
              </w:rPr>
              <w:t xml:space="preserve">A draft </w:t>
            </w:r>
            <w:r w:rsidR="00EA6006">
              <w:rPr>
                <w:rFonts w:ascii="Verdana" w:hAnsi="Verdana"/>
              </w:rPr>
              <w:t>role</w:t>
            </w:r>
            <w:r w:rsidRPr="003D52BF">
              <w:rPr>
                <w:rFonts w:ascii="Verdana" w:hAnsi="Verdana"/>
              </w:rPr>
              <w:t xml:space="preserve"> description and person specification</w:t>
            </w:r>
            <w:r w:rsidR="00D30B7D">
              <w:rPr>
                <w:rFonts w:ascii="Verdana" w:hAnsi="Verdana"/>
              </w:rPr>
              <w:t>,</w:t>
            </w:r>
            <w:r w:rsidRPr="003D52BF">
              <w:rPr>
                <w:rFonts w:ascii="Verdana" w:hAnsi="Verdana"/>
              </w:rPr>
              <w:t xml:space="preserve"> </w:t>
            </w:r>
            <w:r w:rsidR="00EA6006">
              <w:rPr>
                <w:rFonts w:ascii="Verdana" w:hAnsi="Verdana"/>
              </w:rPr>
              <w:t>as a single document</w:t>
            </w:r>
            <w:r>
              <w:rPr>
                <w:rFonts w:ascii="Verdana" w:hAnsi="Verdana"/>
              </w:rPr>
              <w:t xml:space="preserve">, </w:t>
            </w:r>
            <w:r w:rsidR="00D30B7D" w:rsidRPr="003D52BF">
              <w:rPr>
                <w:rFonts w:ascii="Verdana" w:hAnsi="Verdana"/>
              </w:rPr>
              <w:t>for the said office</w:t>
            </w:r>
            <w:r w:rsidR="00D30B7D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prepared by the incumbent</w:t>
            </w:r>
            <w:r w:rsidR="00EA6006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was received and considered.</w:t>
            </w:r>
          </w:p>
          <w:p w14:paraId="6571E6A7" w14:textId="77777777" w:rsidR="003D52BF" w:rsidRDefault="003D52BF" w:rsidP="00AA21E9">
            <w:pPr>
              <w:rPr>
                <w:rFonts w:ascii="Verdana" w:hAnsi="Verdana"/>
              </w:rPr>
            </w:pPr>
          </w:p>
          <w:p w14:paraId="6B1BE8B7" w14:textId="31D20024" w:rsidR="003D52BF" w:rsidRDefault="00EA6006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noted that it had been prepared </w:t>
            </w:r>
            <w:r w:rsidR="00D30B7D">
              <w:rPr>
                <w:rFonts w:ascii="Verdana" w:hAnsi="Verdana"/>
              </w:rPr>
              <w:t>with due regard to</w:t>
            </w:r>
            <w:r>
              <w:rPr>
                <w:rFonts w:ascii="Verdana" w:hAnsi="Verdana"/>
              </w:rPr>
              <w:t xml:space="preserve"> the specific challenges facing the College.</w:t>
            </w:r>
          </w:p>
          <w:p w14:paraId="3F8063D4" w14:textId="77777777" w:rsidR="00EA6006" w:rsidRDefault="00EA6006" w:rsidP="00AA21E9">
            <w:pPr>
              <w:rPr>
                <w:rFonts w:ascii="Verdana" w:hAnsi="Verdana"/>
              </w:rPr>
            </w:pPr>
          </w:p>
          <w:p w14:paraId="471AB8A4" w14:textId="393855E3" w:rsidR="00EA6006" w:rsidRDefault="00EA6006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draft role description set out:</w:t>
            </w:r>
          </w:p>
          <w:p w14:paraId="59FE1F54" w14:textId="77777777" w:rsidR="00EA6006" w:rsidRDefault="00EA6006" w:rsidP="00AA21E9">
            <w:pPr>
              <w:rPr>
                <w:rFonts w:ascii="Verdana" w:hAnsi="Verdana"/>
              </w:rPr>
            </w:pPr>
          </w:p>
          <w:p w14:paraId="4E1463E0" w14:textId="3C41CB06" w:rsidR="00EA6006" w:rsidRPr="00EA6006" w:rsidRDefault="00EA6006" w:rsidP="00AA21E9">
            <w:pPr>
              <w:rPr>
                <w:rFonts w:ascii="Verdana" w:hAnsi="Verdana"/>
                <w:i/>
                <w:iCs/>
              </w:rPr>
            </w:pPr>
            <w:r w:rsidRPr="00EA6006">
              <w:rPr>
                <w:rFonts w:ascii="Verdana" w:hAnsi="Verdana"/>
                <w:i/>
                <w:iCs/>
              </w:rPr>
              <w:t>the time commitment required;</w:t>
            </w:r>
          </w:p>
          <w:p w14:paraId="7D348D15" w14:textId="05179B8C" w:rsidR="00EA6006" w:rsidRPr="00EA6006" w:rsidRDefault="00EA6006" w:rsidP="00AA21E9">
            <w:pPr>
              <w:rPr>
                <w:rFonts w:ascii="Verdana" w:hAnsi="Verdana"/>
              </w:rPr>
            </w:pPr>
            <w:r w:rsidRPr="00EA6006">
              <w:rPr>
                <w:rFonts w:ascii="Verdana" w:hAnsi="Verdana"/>
                <w:i/>
                <w:iCs/>
              </w:rPr>
              <w:t>the purpose of the role;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>
              <w:rPr>
                <w:rFonts w:ascii="Verdana" w:hAnsi="Verdana"/>
              </w:rPr>
              <w:t>and</w:t>
            </w:r>
          </w:p>
          <w:p w14:paraId="7BC63492" w14:textId="4EBDB798" w:rsidR="00EA6006" w:rsidRDefault="00534D56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</w:rPr>
              <w:t>its principal</w:t>
            </w:r>
            <w:r w:rsidR="00EA6006" w:rsidRPr="00EA6006">
              <w:rPr>
                <w:rFonts w:ascii="Verdana" w:hAnsi="Verdana"/>
                <w:i/>
                <w:iCs/>
              </w:rPr>
              <w:t xml:space="preserve"> duties</w:t>
            </w:r>
            <w:r w:rsidR="00EA6006">
              <w:rPr>
                <w:rFonts w:ascii="Verdana" w:hAnsi="Verdana"/>
                <w:i/>
                <w:iCs/>
              </w:rPr>
              <w:t>.</w:t>
            </w:r>
          </w:p>
          <w:p w14:paraId="700E712A" w14:textId="77777777" w:rsidR="00EA6006" w:rsidRDefault="00EA6006" w:rsidP="00AA21E9">
            <w:pPr>
              <w:rPr>
                <w:rFonts w:ascii="Verdana" w:hAnsi="Verdana"/>
              </w:rPr>
            </w:pPr>
          </w:p>
          <w:p w14:paraId="300FD741" w14:textId="23DD3AD1" w:rsidR="00EA6006" w:rsidRDefault="00EA6006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r w:rsidR="00856152">
              <w:rPr>
                <w:rFonts w:ascii="Verdana" w:hAnsi="Verdana"/>
              </w:rPr>
              <w:t xml:space="preserve">draft </w:t>
            </w:r>
            <w:r>
              <w:rPr>
                <w:rFonts w:ascii="Verdana" w:hAnsi="Verdana"/>
              </w:rPr>
              <w:t>person specification set out:</w:t>
            </w:r>
          </w:p>
          <w:p w14:paraId="69B71A9E" w14:textId="77777777" w:rsidR="00856152" w:rsidRDefault="00856152" w:rsidP="00AA21E9">
            <w:pPr>
              <w:rPr>
                <w:rFonts w:ascii="Verdana" w:hAnsi="Verdana"/>
                <w:i/>
                <w:iCs/>
              </w:rPr>
            </w:pPr>
          </w:p>
          <w:p w14:paraId="5A26663E" w14:textId="6AFAD212" w:rsidR="00EA6006" w:rsidRPr="00856152" w:rsidRDefault="00EA6006" w:rsidP="00AA21E9">
            <w:pPr>
              <w:rPr>
                <w:rFonts w:ascii="Verdana" w:hAnsi="Verdana"/>
              </w:rPr>
            </w:pPr>
            <w:r w:rsidRPr="00856152">
              <w:rPr>
                <w:rFonts w:ascii="Verdana" w:hAnsi="Verdana"/>
                <w:i/>
                <w:iCs/>
              </w:rPr>
              <w:t xml:space="preserve">the personal qualities </w:t>
            </w:r>
            <w:r w:rsidR="00856152">
              <w:rPr>
                <w:rFonts w:ascii="Verdana" w:hAnsi="Verdana"/>
                <w:i/>
                <w:iCs/>
              </w:rPr>
              <w:t>need</w:t>
            </w:r>
            <w:r w:rsidRPr="00856152">
              <w:rPr>
                <w:rFonts w:ascii="Verdana" w:hAnsi="Verdana"/>
                <w:i/>
                <w:iCs/>
              </w:rPr>
              <w:t>ed;</w:t>
            </w:r>
            <w:r w:rsidR="00856152">
              <w:rPr>
                <w:rFonts w:ascii="Verdana" w:hAnsi="Verdana"/>
              </w:rPr>
              <w:t xml:space="preserve"> and</w:t>
            </w:r>
          </w:p>
          <w:p w14:paraId="2974258E" w14:textId="3359EDC2" w:rsidR="00856152" w:rsidRPr="00856152" w:rsidRDefault="00856152" w:rsidP="00AA21E9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previous experience required.</w:t>
            </w:r>
          </w:p>
          <w:p w14:paraId="79FFC847" w14:textId="77777777" w:rsidR="00EA6006" w:rsidRDefault="00EA6006" w:rsidP="00AA21E9">
            <w:pPr>
              <w:rPr>
                <w:rFonts w:ascii="Verdana" w:hAnsi="Verdana"/>
              </w:rPr>
            </w:pPr>
          </w:p>
          <w:p w14:paraId="34C9C0D3" w14:textId="4B461AAA" w:rsidR="00EA6006" w:rsidRDefault="00324118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role description and person specification were recommended to the Corporation for approval, subject to inclusion of an amended introductory sentence to the section </w:t>
            </w:r>
            <w:r w:rsidR="00534D56">
              <w:rPr>
                <w:rFonts w:ascii="Verdana" w:hAnsi="Verdana"/>
              </w:rPr>
              <w:t>“</w:t>
            </w:r>
            <w:r>
              <w:rPr>
                <w:rFonts w:ascii="Verdana" w:hAnsi="Verdana"/>
              </w:rPr>
              <w:t>Previous Experience</w:t>
            </w:r>
            <w:r w:rsidR="00534D56">
              <w:rPr>
                <w:rFonts w:ascii="Verdana" w:hAnsi="Verdana"/>
              </w:rPr>
              <w:t>”</w:t>
            </w:r>
            <w:r>
              <w:rPr>
                <w:rFonts w:ascii="Verdana" w:hAnsi="Verdana"/>
              </w:rPr>
              <w:t xml:space="preserve"> requiring significant experience in </w:t>
            </w:r>
            <w:r w:rsidRPr="00324118">
              <w:rPr>
                <w:rFonts w:ascii="Verdana" w:hAnsi="Verdana"/>
                <w:i/>
                <w:iCs/>
              </w:rPr>
              <w:t>a majority of</w:t>
            </w:r>
            <w:r>
              <w:rPr>
                <w:rFonts w:ascii="Verdana" w:hAnsi="Verdana"/>
              </w:rPr>
              <w:t xml:space="preserve"> the specified areas.</w:t>
            </w:r>
          </w:p>
          <w:p w14:paraId="229DE1B0" w14:textId="5982D30C" w:rsidR="00856152" w:rsidRPr="003D52BF" w:rsidRDefault="00856152" w:rsidP="00534D56">
            <w:pPr>
              <w:rPr>
                <w:rFonts w:ascii="Verdana" w:hAnsi="Verdana"/>
              </w:rPr>
            </w:pPr>
          </w:p>
        </w:tc>
      </w:tr>
      <w:tr w:rsidR="00C37222" w:rsidRPr="00A33A78" w14:paraId="146C6AA2" w14:textId="77777777" w:rsidTr="00C7047B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261E" w14:textId="1E13D38B" w:rsidR="00C37222" w:rsidRPr="00A33A78" w:rsidRDefault="00C37222" w:rsidP="00A33A78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C632" w14:textId="7EEB22D3" w:rsidR="00D30B7D" w:rsidRDefault="00D30B7D" w:rsidP="00D30B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Governor Recruitment Review</w:t>
            </w:r>
          </w:p>
          <w:p w14:paraId="77F95DB3" w14:textId="77777777" w:rsidR="00C37222" w:rsidRDefault="00C37222" w:rsidP="00AA21E9">
            <w:pPr>
              <w:rPr>
                <w:rFonts w:ascii="Verdana" w:hAnsi="Verdana"/>
                <w:b/>
                <w:bCs/>
              </w:rPr>
            </w:pPr>
          </w:p>
          <w:p w14:paraId="42C486EF" w14:textId="532DE7AE" w:rsidR="00D30B7D" w:rsidRDefault="00D30B7D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paper, prepared by the Chair of the Committee, was received and considered.</w:t>
            </w:r>
          </w:p>
          <w:p w14:paraId="32FA9B8B" w14:textId="109A6DF5" w:rsidR="00D30B7D" w:rsidRDefault="00D30B7D" w:rsidP="00AA21E9">
            <w:pPr>
              <w:rPr>
                <w:rFonts w:ascii="Verdana" w:hAnsi="Verdana"/>
              </w:rPr>
            </w:pPr>
          </w:p>
          <w:p w14:paraId="0F791517" w14:textId="52921E27" w:rsidR="006837C5" w:rsidRDefault="00324118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agreed that existing methods of recruitment had served the Corporation adequately, but that the need to appoint a plurality of new members owing to forthcoming terminations of office makes essential a review of recruitment processes, in particular those </w:t>
            </w:r>
            <w:r w:rsidR="00811440">
              <w:rPr>
                <w:rFonts w:ascii="Verdana" w:hAnsi="Verdana"/>
              </w:rPr>
              <w:t>relating to skills audit and search.</w:t>
            </w:r>
          </w:p>
          <w:p w14:paraId="1CB67DB7" w14:textId="2001A1E9" w:rsidR="00324118" w:rsidRDefault="00324118" w:rsidP="00AA21E9">
            <w:pPr>
              <w:rPr>
                <w:rFonts w:ascii="Verdana" w:hAnsi="Verdana"/>
              </w:rPr>
            </w:pPr>
          </w:p>
          <w:p w14:paraId="0C1E3B24" w14:textId="4E36F7E9" w:rsidR="00324118" w:rsidRDefault="00324118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also agreed that the appropriate comparators for the College are inner London 16-19 education providers.</w:t>
            </w:r>
          </w:p>
          <w:p w14:paraId="2DD17778" w14:textId="57E0F78E" w:rsidR="00811440" w:rsidRDefault="00811440" w:rsidP="00AA21E9">
            <w:pPr>
              <w:rPr>
                <w:rFonts w:ascii="Verdana" w:hAnsi="Verdana"/>
              </w:rPr>
            </w:pPr>
          </w:p>
          <w:p w14:paraId="6C85EEEE" w14:textId="1F95C71E" w:rsidR="00811440" w:rsidRDefault="00811440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additionally suggested that the Corporation approve targets for the proportion of appointees who are women and/or are drawn from ethnic minorities to inform it when faced with a choice between equally well-qualified candidates.</w:t>
            </w:r>
          </w:p>
          <w:p w14:paraId="50048B16" w14:textId="5958A5E1" w:rsidR="00811440" w:rsidRDefault="00811440" w:rsidP="00AA21E9">
            <w:pPr>
              <w:rPr>
                <w:rFonts w:ascii="Verdana" w:hAnsi="Verdana"/>
              </w:rPr>
            </w:pPr>
          </w:p>
          <w:p w14:paraId="38E08F3E" w14:textId="44F90BE7" w:rsidR="00811440" w:rsidRDefault="00811440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further agreed that the review should be carried out in time for its conclusion to be reported to the Corporation at the 6 July meeting.</w:t>
            </w:r>
          </w:p>
          <w:p w14:paraId="214A8080" w14:textId="42307156" w:rsidR="00811440" w:rsidRDefault="00811440" w:rsidP="00AA21E9">
            <w:pPr>
              <w:rPr>
                <w:rFonts w:ascii="Verdana" w:hAnsi="Verdana"/>
              </w:rPr>
            </w:pPr>
          </w:p>
          <w:p w14:paraId="5778CAFB" w14:textId="7174B71D" w:rsidR="00811440" w:rsidRDefault="00811440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following measures were agreed:</w:t>
            </w:r>
          </w:p>
          <w:p w14:paraId="25A1CE7F" w14:textId="4B7B9476" w:rsidR="00811440" w:rsidRDefault="00811440" w:rsidP="00AA21E9">
            <w:pPr>
              <w:rPr>
                <w:rFonts w:ascii="Verdana" w:hAnsi="Verdana"/>
              </w:rPr>
            </w:pPr>
          </w:p>
          <w:p w14:paraId="5EFB40CB" w14:textId="027EA973" w:rsidR="00811440" w:rsidRPr="00811440" w:rsidRDefault="009124D8" w:rsidP="00AA21E9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a</w:t>
            </w:r>
            <w:r w:rsidR="00811440" w:rsidRPr="00811440">
              <w:rPr>
                <w:rFonts w:ascii="Verdana" w:hAnsi="Verdana"/>
                <w:i/>
                <w:iCs/>
              </w:rPr>
              <w:t xml:space="preserve"> skills audit of the existing Corporation membership (to be conducted jointly by the Chair of the Committee and the Chair of the Corporation);</w:t>
            </w:r>
          </w:p>
          <w:p w14:paraId="77439057" w14:textId="76054D71" w:rsidR="00811440" w:rsidRPr="00811440" w:rsidRDefault="00811440" w:rsidP="00AA21E9">
            <w:pPr>
              <w:rPr>
                <w:rFonts w:ascii="Verdana" w:hAnsi="Verdana"/>
                <w:i/>
                <w:iCs/>
              </w:rPr>
            </w:pPr>
          </w:p>
          <w:p w14:paraId="4478E15C" w14:textId="3B69DE67" w:rsidR="00811440" w:rsidRDefault="009124D8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</w:rPr>
              <w:t>a</w:t>
            </w:r>
            <w:r w:rsidR="00811440" w:rsidRPr="00811440">
              <w:rPr>
                <w:rFonts w:ascii="Verdana" w:hAnsi="Verdana"/>
                <w:i/>
                <w:iCs/>
              </w:rPr>
              <w:t xml:space="preserve"> schedule of how current members </w:t>
            </w:r>
            <w:r w:rsidR="00120FFC">
              <w:rPr>
                <w:rFonts w:ascii="Verdana" w:hAnsi="Verdana"/>
                <w:i/>
                <w:iCs/>
              </w:rPr>
              <w:t xml:space="preserve">had been </w:t>
            </w:r>
            <w:r w:rsidR="00811440" w:rsidRPr="00811440">
              <w:rPr>
                <w:rFonts w:ascii="Verdana" w:hAnsi="Verdana"/>
                <w:i/>
                <w:iCs/>
              </w:rPr>
              <w:t>recruited (to be conveyed by the Clerk to the Corporation to the Chair of the Committee);</w:t>
            </w:r>
            <w:r w:rsidR="00811440">
              <w:rPr>
                <w:rFonts w:ascii="Verdana" w:hAnsi="Verdana"/>
                <w:i/>
                <w:iCs/>
              </w:rPr>
              <w:t xml:space="preserve"> </w:t>
            </w:r>
            <w:r w:rsidR="00811440">
              <w:rPr>
                <w:rFonts w:ascii="Verdana" w:hAnsi="Verdana"/>
              </w:rPr>
              <w:t>and</w:t>
            </w:r>
          </w:p>
          <w:p w14:paraId="0403BC72" w14:textId="1E610861" w:rsidR="00811440" w:rsidRDefault="00811440" w:rsidP="00AA21E9">
            <w:pPr>
              <w:rPr>
                <w:rFonts w:ascii="Verdana" w:hAnsi="Verdana"/>
              </w:rPr>
            </w:pPr>
          </w:p>
          <w:p w14:paraId="0B8B361A" w14:textId="50375262" w:rsidR="00811440" w:rsidRDefault="009124D8" w:rsidP="00AA21E9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an enquiry as to how governors are recruited in comparable colleges, and with what success.</w:t>
            </w:r>
          </w:p>
          <w:p w14:paraId="75604D83" w14:textId="0A8AA3F0" w:rsidR="009124D8" w:rsidRDefault="009124D8" w:rsidP="00AA21E9">
            <w:pPr>
              <w:rPr>
                <w:rFonts w:ascii="Verdana" w:hAnsi="Verdana"/>
                <w:i/>
                <w:iCs/>
              </w:rPr>
            </w:pPr>
          </w:p>
          <w:p w14:paraId="03BFDFB8" w14:textId="0AA2E039" w:rsidR="009124D8" w:rsidRPr="009124D8" w:rsidRDefault="009124D8" w:rsidP="00AA21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information will be collated by the Chair of the Committee and, via the Clerk to the Corporation, circulated to all members of the Committee.</w:t>
            </w:r>
          </w:p>
          <w:p w14:paraId="10AB3DBE" w14:textId="08795D3D" w:rsidR="00D30B7D" w:rsidRPr="00D30B7D" w:rsidRDefault="00D30B7D" w:rsidP="00AA21E9">
            <w:pPr>
              <w:rPr>
                <w:rFonts w:ascii="Verdana" w:hAnsi="Verdana"/>
              </w:rPr>
            </w:pPr>
          </w:p>
        </w:tc>
      </w:tr>
      <w:tr w:rsidR="00F253F9" w:rsidRPr="00A33A78" w14:paraId="3FC2C2F0" w14:textId="77777777" w:rsidTr="00C7047B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9119" w14:textId="2AFE6016" w:rsidR="00F253F9" w:rsidRDefault="00C37222" w:rsidP="00F253F9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71D9" w14:textId="77777777" w:rsidR="00F253F9" w:rsidRDefault="00F253F9" w:rsidP="00F253F9">
            <w:pPr>
              <w:rPr>
                <w:rFonts w:ascii="Verdana" w:hAnsi="Verdana"/>
                <w:b/>
              </w:rPr>
            </w:pPr>
            <w:r w:rsidRPr="0049013F">
              <w:rPr>
                <w:rFonts w:ascii="Verdana" w:hAnsi="Verdana"/>
                <w:b/>
              </w:rPr>
              <w:t>Any Other Competent Business</w:t>
            </w:r>
          </w:p>
          <w:p w14:paraId="0F675F9C" w14:textId="77777777" w:rsidR="00F253F9" w:rsidRDefault="00F253F9" w:rsidP="00F253F9">
            <w:pPr>
              <w:rPr>
                <w:rFonts w:ascii="Verdana" w:hAnsi="Verdana"/>
                <w:b/>
              </w:rPr>
            </w:pPr>
          </w:p>
          <w:p w14:paraId="687731EA" w14:textId="0E3489E2" w:rsidR="00F253F9" w:rsidRPr="006837C5" w:rsidRDefault="00C007E9" w:rsidP="00F253F9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None.</w:t>
            </w:r>
          </w:p>
        </w:tc>
      </w:tr>
    </w:tbl>
    <w:p w14:paraId="42BA95EA" w14:textId="77777777" w:rsidR="00BA678D" w:rsidRDefault="00BA678D" w:rsidP="00A33A78">
      <w:pPr>
        <w:rPr>
          <w:rFonts w:ascii="Verdana" w:hAnsi="Verdana"/>
        </w:rPr>
      </w:pPr>
    </w:p>
    <w:p w14:paraId="449BFB63" w14:textId="2F07D01F" w:rsidR="00A07AF1" w:rsidRPr="00BA678D" w:rsidRDefault="00A07AF1" w:rsidP="00A33A78">
      <w:pPr>
        <w:rPr>
          <w:rFonts w:ascii="Verdana" w:hAnsi="Verdana"/>
          <w:b/>
          <w:bCs/>
        </w:rPr>
      </w:pPr>
    </w:p>
    <w:p w14:paraId="59C7EFDB" w14:textId="6649800B" w:rsidR="00A07AF1" w:rsidRDefault="00A07AF1" w:rsidP="00A33A78">
      <w:pPr>
        <w:rPr>
          <w:rFonts w:ascii="Verdana" w:hAnsi="Verdana"/>
        </w:rPr>
      </w:pPr>
    </w:p>
    <w:p w14:paraId="63F75676" w14:textId="5B9162A9" w:rsidR="00BA678D" w:rsidRDefault="00BA678D" w:rsidP="00A33A78">
      <w:pPr>
        <w:rPr>
          <w:rFonts w:ascii="Verdana" w:hAnsi="Verdana"/>
        </w:rPr>
      </w:pPr>
    </w:p>
    <w:p w14:paraId="7382C655" w14:textId="77777777" w:rsidR="00BA678D" w:rsidRPr="00A33A78" w:rsidRDefault="00BA678D" w:rsidP="00A33A78">
      <w:pPr>
        <w:rPr>
          <w:rFonts w:ascii="Verdana" w:hAnsi="Verdana"/>
        </w:rPr>
      </w:pPr>
      <w:bookmarkStart w:id="0" w:name="_GoBack"/>
      <w:bookmarkEnd w:id="0"/>
    </w:p>
    <w:p w14:paraId="713D27D1" w14:textId="77777777" w:rsidR="00A33A78" w:rsidRDefault="00A33A78"/>
    <w:sectPr w:rsidR="00A3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78"/>
    <w:rsid w:val="000417C5"/>
    <w:rsid w:val="00101677"/>
    <w:rsid w:val="00120FFC"/>
    <w:rsid w:val="00131A61"/>
    <w:rsid w:val="001B0894"/>
    <w:rsid w:val="00266773"/>
    <w:rsid w:val="00276D92"/>
    <w:rsid w:val="0028561D"/>
    <w:rsid w:val="002A4E79"/>
    <w:rsid w:val="002E075E"/>
    <w:rsid w:val="00324118"/>
    <w:rsid w:val="00355BBB"/>
    <w:rsid w:val="003D52BF"/>
    <w:rsid w:val="00411E56"/>
    <w:rsid w:val="00437F6A"/>
    <w:rsid w:val="004553FA"/>
    <w:rsid w:val="00473BC0"/>
    <w:rsid w:val="00534D56"/>
    <w:rsid w:val="00553CCB"/>
    <w:rsid w:val="005C5B06"/>
    <w:rsid w:val="006837C5"/>
    <w:rsid w:val="00811440"/>
    <w:rsid w:val="008521AD"/>
    <w:rsid w:val="00856152"/>
    <w:rsid w:val="009124D8"/>
    <w:rsid w:val="00A0393D"/>
    <w:rsid w:val="00A07AF1"/>
    <w:rsid w:val="00A33A78"/>
    <w:rsid w:val="00AA21E9"/>
    <w:rsid w:val="00AA3A9C"/>
    <w:rsid w:val="00AE4FC1"/>
    <w:rsid w:val="00AF3D15"/>
    <w:rsid w:val="00BA678D"/>
    <w:rsid w:val="00BC3A29"/>
    <w:rsid w:val="00C007E9"/>
    <w:rsid w:val="00C25C37"/>
    <w:rsid w:val="00C37222"/>
    <w:rsid w:val="00C7047B"/>
    <w:rsid w:val="00CF38BF"/>
    <w:rsid w:val="00D30B7D"/>
    <w:rsid w:val="00DC300D"/>
    <w:rsid w:val="00DE059A"/>
    <w:rsid w:val="00E64E06"/>
    <w:rsid w:val="00EA6006"/>
    <w:rsid w:val="00F253F9"/>
    <w:rsid w:val="00F4717A"/>
    <w:rsid w:val="00F9130A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595B"/>
  <w15:chartTrackingRefBased/>
  <w15:docId w15:val="{FEE6A9B3-90AD-4F2D-B08B-A303240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7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3A78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A33A78"/>
    <w:pPr>
      <w:spacing w:after="0" w:line="240" w:lineRule="auto"/>
    </w:pPr>
    <w:rPr>
      <w:rFonts w:ascii="Verdana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2956-9359-4E5A-8DF3-E291FA9D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26</cp:revision>
  <cp:lastPrinted>2019-07-02T14:03:00Z</cp:lastPrinted>
  <dcterms:created xsi:type="dcterms:W3CDTF">2019-02-06T10:40:00Z</dcterms:created>
  <dcterms:modified xsi:type="dcterms:W3CDTF">2021-04-29T16:14:00Z</dcterms:modified>
</cp:coreProperties>
</file>