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BD59A" w14:textId="217DB126" w:rsidR="00297477" w:rsidRDefault="00297477" w:rsidP="00297477">
      <w:pPr>
        <w:rPr>
          <w:rFonts w:ascii="Verdana" w:hAnsi="Verdana"/>
          <w:b/>
        </w:rPr>
      </w:pPr>
    </w:p>
    <w:p w14:paraId="3CBEB785" w14:textId="30520C3A" w:rsidR="0080510E" w:rsidRPr="00F4263C" w:rsidRDefault="0080510E" w:rsidP="00297477">
      <w:pPr>
        <w:jc w:val="center"/>
        <w:rPr>
          <w:rFonts w:ascii="Verdana" w:hAnsi="Verdana"/>
          <w:sz w:val="24"/>
          <w:szCs w:val="24"/>
        </w:rPr>
      </w:pPr>
      <w:r w:rsidRPr="00F4263C">
        <w:rPr>
          <w:rFonts w:ascii="Verdana" w:hAnsi="Verdana"/>
          <w:b/>
          <w:sz w:val="24"/>
          <w:szCs w:val="24"/>
        </w:rPr>
        <w:t xml:space="preserve">Corporation of Sir George </w:t>
      </w:r>
      <w:proofErr w:type="spellStart"/>
      <w:r w:rsidRPr="00F4263C">
        <w:rPr>
          <w:rFonts w:ascii="Verdana" w:hAnsi="Verdana"/>
          <w:b/>
          <w:sz w:val="24"/>
          <w:szCs w:val="24"/>
        </w:rPr>
        <w:t>Monoux</w:t>
      </w:r>
      <w:proofErr w:type="spellEnd"/>
      <w:r w:rsidRPr="00F4263C">
        <w:rPr>
          <w:rFonts w:ascii="Verdana" w:hAnsi="Verdana"/>
          <w:b/>
          <w:sz w:val="24"/>
          <w:szCs w:val="24"/>
        </w:rPr>
        <w:t xml:space="preserve"> College</w:t>
      </w:r>
    </w:p>
    <w:p w14:paraId="3CBEB786" w14:textId="77777777" w:rsidR="0080510E" w:rsidRPr="00F4263C" w:rsidRDefault="0080510E" w:rsidP="00AF2767">
      <w:pPr>
        <w:jc w:val="center"/>
        <w:rPr>
          <w:rFonts w:ascii="Verdana" w:hAnsi="Verdana"/>
          <w:b/>
          <w:sz w:val="24"/>
          <w:szCs w:val="24"/>
        </w:rPr>
      </w:pPr>
    </w:p>
    <w:p w14:paraId="3CBEB787" w14:textId="77777777" w:rsidR="0080510E" w:rsidRDefault="0080510E" w:rsidP="0080510E">
      <w:pPr>
        <w:jc w:val="center"/>
        <w:rPr>
          <w:rFonts w:ascii="Verdana" w:hAnsi="Verdana"/>
          <w:b/>
        </w:rPr>
      </w:pPr>
      <w:r w:rsidRPr="003475F7">
        <w:rPr>
          <w:rFonts w:ascii="Verdana" w:hAnsi="Verdana"/>
          <w:b/>
        </w:rPr>
        <w:t xml:space="preserve">Minutes of the Meeting of the </w:t>
      </w:r>
      <w:r>
        <w:rPr>
          <w:rFonts w:ascii="Verdana" w:hAnsi="Verdana"/>
          <w:b/>
        </w:rPr>
        <w:t>Quality</w:t>
      </w:r>
      <w:r w:rsidRPr="003475F7">
        <w:rPr>
          <w:rFonts w:ascii="Verdana" w:hAnsi="Verdana"/>
          <w:b/>
        </w:rPr>
        <w:t xml:space="preserve"> &amp; </w:t>
      </w:r>
      <w:r>
        <w:rPr>
          <w:rFonts w:ascii="Verdana" w:hAnsi="Verdana"/>
          <w:b/>
        </w:rPr>
        <w:t>Perform</w:t>
      </w:r>
      <w:r w:rsidRPr="003475F7">
        <w:rPr>
          <w:rFonts w:ascii="Verdana" w:hAnsi="Verdana"/>
          <w:b/>
        </w:rPr>
        <w:t>ance</w:t>
      </w:r>
      <w:r>
        <w:rPr>
          <w:rFonts w:ascii="Verdana" w:hAnsi="Verdana"/>
          <w:b/>
        </w:rPr>
        <w:t xml:space="preserve"> </w:t>
      </w:r>
      <w:r w:rsidRPr="003475F7">
        <w:rPr>
          <w:rFonts w:ascii="Verdana" w:hAnsi="Verdana"/>
          <w:b/>
        </w:rPr>
        <w:t xml:space="preserve">Committee </w:t>
      </w:r>
    </w:p>
    <w:p w14:paraId="3CBEB788" w14:textId="6E7040AD" w:rsidR="0080510E" w:rsidRDefault="0080510E" w:rsidP="0080510E">
      <w:pPr>
        <w:jc w:val="center"/>
        <w:rPr>
          <w:rFonts w:ascii="Verdana" w:hAnsi="Verdana"/>
          <w:b/>
        </w:rPr>
      </w:pPr>
      <w:r w:rsidRPr="003475F7">
        <w:rPr>
          <w:rFonts w:ascii="Verdana" w:hAnsi="Verdana"/>
          <w:b/>
        </w:rPr>
        <w:t xml:space="preserve">held on </w:t>
      </w:r>
      <w:r w:rsidR="00C61924">
        <w:rPr>
          <w:rFonts w:ascii="Verdana" w:hAnsi="Verdana"/>
          <w:b/>
        </w:rPr>
        <w:t>21 September</w:t>
      </w:r>
      <w:r w:rsidR="00907324">
        <w:rPr>
          <w:rFonts w:ascii="Verdana" w:hAnsi="Verdana"/>
          <w:b/>
        </w:rPr>
        <w:t xml:space="preserve"> </w:t>
      </w:r>
      <w:r w:rsidR="00E11261">
        <w:rPr>
          <w:rFonts w:ascii="Verdana" w:hAnsi="Verdana"/>
          <w:b/>
        </w:rPr>
        <w:t>202</w:t>
      </w:r>
      <w:r w:rsidR="00C67796">
        <w:rPr>
          <w:rFonts w:ascii="Verdana" w:hAnsi="Verdana"/>
          <w:b/>
        </w:rPr>
        <w:t>1</w:t>
      </w:r>
    </w:p>
    <w:p w14:paraId="3CBEB789" w14:textId="77777777" w:rsidR="0080510E" w:rsidRDefault="0080510E" w:rsidP="0080510E">
      <w:pPr>
        <w:jc w:val="center"/>
        <w:rPr>
          <w:rFonts w:ascii="Verdana" w:hAnsi="Verdana"/>
          <w:b/>
        </w:rPr>
      </w:pPr>
    </w:p>
    <w:tbl>
      <w:tblPr>
        <w:tblW w:w="9634" w:type="dxa"/>
        <w:tblLook w:val="04A0" w:firstRow="1" w:lastRow="0" w:firstColumn="1" w:lastColumn="0" w:noHBand="0" w:noVBand="1"/>
      </w:tblPr>
      <w:tblGrid>
        <w:gridCol w:w="2376"/>
        <w:gridCol w:w="7258"/>
      </w:tblGrid>
      <w:tr w:rsidR="009F7BA2" w:rsidRPr="003D3002" w14:paraId="3CBEB78E" w14:textId="77777777" w:rsidTr="007B6893">
        <w:tc>
          <w:tcPr>
            <w:tcW w:w="2376" w:type="dxa"/>
          </w:tcPr>
          <w:p w14:paraId="6857F8C9" w14:textId="77777777" w:rsidR="009F7BA2" w:rsidRPr="003D3002" w:rsidRDefault="009F7BA2" w:rsidP="009F7BA2">
            <w:pPr>
              <w:rPr>
                <w:rFonts w:ascii="Verdana" w:hAnsi="Verdana"/>
                <w:b/>
              </w:rPr>
            </w:pPr>
            <w:r w:rsidRPr="003D3002">
              <w:rPr>
                <w:rFonts w:ascii="Verdana" w:hAnsi="Verdana"/>
                <w:b/>
              </w:rPr>
              <w:t>Present</w:t>
            </w:r>
          </w:p>
          <w:p w14:paraId="48FEDB1C" w14:textId="77777777" w:rsidR="009F7BA2" w:rsidRPr="003D3002" w:rsidRDefault="009F7BA2" w:rsidP="009F7BA2">
            <w:pPr>
              <w:rPr>
                <w:rFonts w:ascii="Verdana" w:hAnsi="Verdana"/>
                <w:b/>
              </w:rPr>
            </w:pPr>
          </w:p>
        </w:tc>
        <w:tc>
          <w:tcPr>
            <w:tcW w:w="7258" w:type="dxa"/>
          </w:tcPr>
          <w:p w14:paraId="11F033EE" w14:textId="458B2BAD" w:rsidR="009F7BA2" w:rsidRDefault="009F7BA2" w:rsidP="009F7BA2">
            <w:pPr>
              <w:rPr>
                <w:rFonts w:ascii="Verdana" w:hAnsi="Verdana"/>
              </w:rPr>
            </w:pPr>
            <w:r>
              <w:rPr>
                <w:rFonts w:ascii="Verdana" w:hAnsi="Verdana"/>
              </w:rPr>
              <w:t xml:space="preserve">Alastair Owens (Chair), </w:t>
            </w:r>
            <w:proofErr w:type="spellStart"/>
            <w:r w:rsidR="009D626E" w:rsidRPr="00E11261">
              <w:rPr>
                <w:rFonts w:ascii="Verdana" w:hAnsi="Verdana"/>
              </w:rPr>
              <w:t>Nehendra</w:t>
            </w:r>
            <w:proofErr w:type="spellEnd"/>
            <w:r w:rsidR="009D626E" w:rsidRPr="00E11261">
              <w:rPr>
                <w:rFonts w:ascii="Verdana" w:hAnsi="Verdana"/>
              </w:rPr>
              <w:t xml:space="preserve"> Jonas</w:t>
            </w:r>
            <w:r w:rsidR="009D626E">
              <w:rPr>
                <w:rFonts w:ascii="Verdana" w:hAnsi="Verdana"/>
              </w:rPr>
              <w:t>,</w:t>
            </w:r>
            <w:r w:rsidR="009D626E" w:rsidRPr="00E11261">
              <w:rPr>
                <w:rFonts w:ascii="Verdana" w:hAnsi="Verdana"/>
              </w:rPr>
              <w:t xml:space="preserve"> </w:t>
            </w:r>
            <w:r>
              <w:rPr>
                <w:rFonts w:ascii="Verdana" w:hAnsi="Verdana"/>
              </w:rPr>
              <w:t xml:space="preserve">Stephen Jones, </w:t>
            </w:r>
            <w:r w:rsidR="009D626E" w:rsidRPr="00E11261">
              <w:rPr>
                <w:rFonts w:ascii="Verdana" w:hAnsi="Verdana"/>
              </w:rPr>
              <w:t>Anisa Khadija</w:t>
            </w:r>
            <w:r w:rsidR="009D626E">
              <w:rPr>
                <w:rFonts w:ascii="Verdana" w:hAnsi="Verdana"/>
              </w:rPr>
              <w:t xml:space="preserve">, </w:t>
            </w:r>
            <w:r>
              <w:rPr>
                <w:rFonts w:ascii="Verdana" w:hAnsi="Verdana"/>
              </w:rPr>
              <w:t xml:space="preserve">David </w:t>
            </w:r>
            <w:proofErr w:type="spellStart"/>
            <w:r>
              <w:rPr>
                <w:rFonts w:ascii="Verdana" w:hAnsi="Verdana"/>
              </w:rPr>
              <w:t>Vasse</w:t>
            </w:r>
            <w:proofErr w:type="spellEnd"/>
            <w:r>
              <w:rPr>
                <w:rFonts w:ascii="Verdana" w:hAnsi="Verdana"/>
              </w:rPr>
              <w:t>.</w:t>
            </w:r>
          </w:p>
          <w:p w14:paraId="7428A366" w14:textId="77777777" w:rsidR="009F7BA2" w:rsidRPr="003D3002" w:rsidRDefault="009F7BA2" w:rsidP="009F7BA2">
            <w:pPr>
              <w:rPr>
                <w:rFonts w:ascii="Verdana" w:hAnsi="Verdana"/>
                <w:b/>
              </w:rPr>
            </w:pPr>
          </w:p>
        </w:tc>
      </w:tr>
      <w:tr w:rsidR="009F7BA2" w:rsidRPr="003D3002" w14:paraId="3CBEB792" w14:textId="77777777" w:rsidTr="007B6893">
        <w:tc>
          <w:tcPr>
            <w:tcW w:w="2376" w:type="dxa"/>
          </w:tcPr>
          <w:p w14:paraId="4704DD12" w14:textId="77777777" w:rsidR="009F7BA2" w:rsidRDefault="009F7BA2" w:rsidP="009F7BA2">
            <w:pPr>
              <w:rPr>
                <w:rFonts w:ascii="Verdana" w:hAnsi="Verdana"/>
                <w:b/>
              </w:rPr>
            </w:pPr>
            <w:r>
              <w:rPr>
                <w:rFonts w:ascii="Verdana" w:hAnsi="Verdana"/>
                <w:b/>
              </w:rPr>
              <w:t>In Attendance</w:t>
            </w:r>
          </w:p>
          <w:p w14:paraId="38A41E68" w14:textId="77777777" w:rsidR="009F7BA2" w:rsidRPr="003D3002" w:rsidRDefault="009F7BA2" w:rsidP="009F7BA2">
            <w:pPr>
              <w:rPr>
                <w:rFonts w:ascii="Verdana" w:hAnsi="Verdana"/>
                <w:b/>
              </w:rPr>
            </w:pPr>
          </w:p>
        </w:tc>
        <w:tc>
          <w:tcPr>
            <w:tcW w:w="7258" w:type="dxa"/>
          </w:tcPr>
          <w:p w14:paraId="0B2F5074" w14:textId="266D588E" w:rsidR="009F7BA2" w:rsidRPr="00E11261" w:rsidRDefault="00E11261" w:rsidP="009F7BA2">
            <w:pPr>
              <w:rPr>
                <w:rFonts w:ascii="Verdana" w:hAnsi="Verdana"/>
                <w:b/>
              </w:rPr>
            </w:pPr>
            <w:r w:rsidRPr="00E11261">
              <w:rPr>
                <w:rFonts w:ascii="Verdana" w:hAnsi="Verdana"/>
              </w:rPr>
              <w:t xml:space="preserve">Holly Bembridge (Vice-Principal: Curriculum), </w:t>
            </w:r>
            <w:r w:rsidR="009F7BA2" w:rsidRPr="00E11261">
              <w:rPr>
                <w:rFonts w:ascii="Verdana" w:hAnsi="Verdana"/>
              </w:rPr>
              <w:t>Robert Smith (Clerk to the Corporation).</w:t>
            </w:r>
            <w:r>
              <w:rPr>
                <w:rFonts w:ascii="Verdana" w:hAnsi="Verdana"/>
              </w:rPr>
              <w:t xml:space="preserve"> </w:t>
            </w:r>
          </w:p>
        </w:tc>
      </w:tr>
    </w:tbl>
    <w:p w14:paraId="3CBEB796" w14:textId="77777777" w:rsidR="0080510E" w:rsidRDefault="0080510E" w:rsidP="0080510E">
      <w:pPr>
        <w:rPr>
          <w:rFonts w:ascii="Verdana" w:hAnsi="Verdana"/>
          <w:b/>
        </w:rPr>
      </w:pPr>
    </w:p>
    <w:tbl>
      <w:tblPr>
        <w:tblW w:w="9747" w:type="dxa"/>
        <w:tblLook w:val="04A0" w:firstRow="1" w:lastRow="0" w:firstColumn="1" w:lastColumn="0" w:noHBand="0" w:noVBand="1"/>
      </w:tblPr>
      <w:tblGrid>
        <w:gridCol w:w="534"/>
        <w:gridCol w:w="9213"/>
      </w:tblGrid>
      <w:tr w:rsidR="0080510E" w:rsidRPr="003D3002" w14:paraId="3CBEB7A0" w14:textId="77777777" w:rsidTr="007B6893">
        <w:tc>
          <w:tcPr>
            <w:tcW w:w="534" w:type="dxa"/>
          </w:tcPr>
          <w:p w14:paraId="3CBEB797" w14:textId="77777777" w:rsidR="0080510E" w:rsidRPr="003D3002" w:rsidRDefault="0080510E" w:rsidP="002C3254">
            <w:pPr>
              <w:rPr>
                <w:rFonts w:ascii="Verdana" w:hAnsi="Verdana"/>
                <w:b/>
              </w:rPr>
            </w:pPr>
            <w:r w:rsidRPr="003D3002">
              <w:rPr>
                <w:rFonts w:ascii="Verdana" w:hAnsi="Verdana"/>
                <w:b/>
              </w:rPr>
              <w:t>1</w:t>
            </w:r>
          </w:p>
        </w:tc>
        <w:tc>
          <w:tcPr>
            <w:tcW w:w="9213" w:type="dxa"/>
          </w:tcPr>
          <w:p w14:paraId="3CBEB798" w14:textId="247213C2" w:rsidR="0080510E" w:rsidRPr="003D3002" w:rsidRDefault="0080510E" w:rsidP="002C3254">
            <w:pPr>
              <w:rPr>
                <w:rFonts w:ascii="Verdana" w:hAnsi="Verdana"/>
                <w:b/>
              </w:rPr>
            </w:pPr>
            <w:r w:rsidRPr="003D3002">
              <w:rPr>
                <w:rFonts w:ascii="Verdana" w:hAnsi="Verdana"/>
                <w:b/>
              </w:rPr>
              <w:t>Apologies for Absence</w:t>
            </w:r>
            <w:r>
              <w:rPr>
                <w:rFonts w:ascii="Verdana" w:hAnsi="Verdana"/>
                <w:b/>
              </w:rPr>
              <w:t xml:space="preserve"> and Quoracy</w:t>
            </w:r>
            <w:r w:rsidR="009939CF">
              <w:rPr>
                <w:rFonts w:ascii="Verdana" w:hAnsi="Verdana"/>
                <w:b/>
              </w:rPr>
              <w:t xml:space="preserve"> </w:t>
            </w:r>
          </w:p>
          <w:p w14:paraId="3CBEB799" w14:textId="0C20252E" w:rsidR="0080510E" w:rsidRDefault="00165BD4" w:rsidP="002C3254">
            <w:pPr>
              <w:rPr>
                <w:rFonts w:ascii="Verdana" w:hAnsi="Verdana"/>
              </w:rPr>
            </w:pPr>
            <w:r>
              <w:rPr>
                <w:rFonts w:ascii="Verdana" w:hAnsi="Verdana"/>
              </w:rPr>
              <w:t xml:space="preserve">  </w:t>
            </w:r>
          </w:p>
          <w:p w14:paraId="14309807" w14:textId="784C6539" w:rsidR="00945146" w:rsidRDefault="001A763B" w:rsidP="00945146">
            <w:pPr>
              <w:rPr>
                <w:rFonts w:ascii="Verdana" w:hAnsi="Verdana"/>
              </w:rPr>
            </w:pPr>
            <w:r>
              <w:rPr>
                <w:rFonts w:ascii="Verdana" w:hAnsi="Verdana"/>
              </w:rPr>
              <w:t>Apologies had been received from the following member of the Corporation: Jagdev Kenth.</w:t>
            </w:r>
          </w:p>
          <w:p w14:paraId="25D421B0" w14:textId="561D18A8" w:rsidR="001A763B" w:rsidRDefault="001A763B" w:rsidP="00945146">
            <w:pPr>
              <w:rPr>
                <w:rFonts w:ascii="Verdana" w:hAnsi="Verdana"/>
              </w:rPr>
            </w:pPr>
          </w:p>
          <w:p w14:paraId="3547B5F4" w14:textId="6A3D1CEA" w:rsidR="001A763B" w:rsidRDefault="001A763B" w:rsidP="00945146">
            <w:pPr>
              <w:rPr>
                <w:rFonts w:ascii="Verdana" w:hAnsi="Verdana"/>
              </w:rPr>
            </w:pPr>
            <w:r>
              <w:rPr>
                <w:rFonts w:ascii="Verdana" w:hAnsi="Verdana"/>
              </w:rPr>
              <w:t>The meeting was quorate.</w:t>
            </w:r>
          </w:p>
          <w:p w14:paraId="3CBEB79F" w14:textId="70C6C2EB" w:rsidR="00945146" w:rsidRPr="003D3002" w:rsidRDefault="00945146" w:rsidP="00C61924">
            <w:pPr>
              <w:rPr>
                <w:rFonts w:ascii="Verdana" w:hAnsi="Verdana"/>
              </w:rPr>
            </w:pPr>
          </w:p>
        </w:tc>
      </w:tr>
      <w:tr w:rsidR="0080510E" w:rsidRPr="003D3002" w14:paraId="3CBEB7A6" w14:textId="77777777" w:rsidTr="007B6893">
        <w:tc>
          <w:tcPr>
            <w:tcW w:w="534" w:type="dxa"/>
          </w:tcPr>
          <w:p w14:paraId="3CBEB7A1" w14:textId="7F892BF4" w:rsidR="0080510E" w:rsidRPr="003D3002" w:rsidRDefault="0080510E" w:rsidP="002C3254">
            <w:pPr>
              <w:rPr>
                <w:rFonts w:ascii="Verdana" w:hAnsi="Verdana"/>
                <w:b/>
              </w:rPr>
            </w:pPr>
            <w:r w:rsidRPr="003D3002">
              <w:rPr>
                <w:rFonts w:ascii="Verdana" w:hAnsi="Verdana"/>
                <w:b/>
              </w:rPr>
              <w:t>2</w:t>
            </w:r>
          </w:p>
        </w:tc>
        <w:tc>
          <w:tcPr>
            <w:tcW w:w="9213" w:type="dxa"/>
          </w:tcPr>
          <w:p w14:paraId="3CBEB7A2" w14:textId="77777777" w:rsidR="0080510E" w:rsidRPr="003D3002" w:rsidRDefault="0080510E" w:rsidP="002C3254">
            <w:pPr>
              <w:rPr>
                <w:rFonts w:ascii="Verdana" w:hAnsi="Verdana"/>
                <w:b/>
              </w:rPr>
            </w:pPr>
            <w:r w:rsidRPr="003D3002">
              <w:rPr>
                <w:rFonts w:ascii="Verdana" w:hAnsi="Verdana"/>
                <w:b/>
              </w:rPr>
              <w:t>Declarations of Interest</w:t>
            </w:r>
          </w:p>
          <w:p w14:paraId="3CBEB7A3" w14:textId="77777777" w:rsidR="0080510E" w:rsidRPr="003D3002" w:rsidRDefault="0080510E" w:rsidP="002C3254">
            <w:pPr>
              <w:rPr>
                <w:rFonts w:ascii="Verdana" w:hAnsi="Verdana"/>
              </w:rPr>
            </w:pPr>
          </w:p>
          <w:p w14:paraId="3CBEB7A4" w14:textId="22BA9FB9" w:rsidR="0080510E" w:rsidRDefault="0080510E" w:rsidP="002C3254">
            <w:pPr>
              <w:rPr>
                <w:rFonts w:ascii="Verdana" w:hAnsi="Verdana"/>
              </w:rPr>
            </w:pPr>
            <w:r>
              <w:rPr>
                <w:rFonts w:ascii="Verdana" w:hAnsi="Verdana"/>
              </w:rPr>
              <w:t>None.</w:t>
            </w:r>
            <w:r w:rsidR="009E0B7E">
              <w:rPr>
                <w:rFonts w:ascii="Verdana" w:hAnsi="Verdana"/>
              </w:rPr>
              <w:t xml:space="preserve"> </w:t>
            </w:r>
          </w:p>
          <w:p w14:paraId="3CBEB7A5" w14:textId="77777777" w:rsidR="0080510E" w:rsidRPr="003D3002" w:rsidRDefault="0080510E" w:rsidP="002C3254">
            <w:pPr>
              <w:rPr>
                <w:rFonts w:ascii="Verdana" w:hAnsi="Verdana"/>
              </w:rPr>
            </w:pPr>
          </w:p>
        </w:tc>
      </w:tr>
      <w:tr w:rsidR="0080510E" w:rsidRPr="003D3002" w14:paraId="3CBEB7AC" w14:textId="77777777" w:rsidTr="007B6893">
        <w:tc>
          <w:tcPr>
            <w:tcW w:w="534" w:type="dxa"/>
          </w:tcPr>
          <w:p w14:paraId="3CBEB7A7" w14:textId="77777777" w:rsidR="0080510E" w:rsidRPr="003D3002" w:rsidRDefault="0080510E" w:rsidP="002C3254">
            <w:pPr>
              <w:rPr>
                <w:rFonts w:ascii="Verdana" w:hAnsi="Verdana"/>
                <w:b/>
              </w:rPr>
            </w:pPr>
            <w:r>
              <w:rPr>
                <w:rFonts w:ascii="Verdana" w:hAnsi="Verdana"/>
                <w:b/>
              </w:rPr>
              <w:t>3</w:t>
            </w:r>
          </w:p>
        </w:tc>
        <w:tc>
          <w:tcPr>
            <w:tcW w:w="9213" w:type="dxa"/>
          </w:tcPr>
          <w:p w14:paraId="301CC1F6" w14:textId="21675C74" w:rsidR="00F4263C" w:rsidRDefault="0080510E" w:rsidP="000E6449">
            <w:pPr>
              <w:rPr>
                <w:rFonts w:ascii="Verdana" w:hAnsi="Verdana"/>
                <w:b/>
              </w:rPr>
            </w:pPr>
            <w:r w:rsidRPr="00F97EF9">
              <w:rPr>
                <w:rFonts w:ascii="Verdana" w:hAnsi="Verdana"/>
                <w:b/>
              </w:rPr>
              <w:t>Minutes of the Previous Meeting</w:t>
            </w:r>
            <w:r w:rsidR="00F4263C">
              <w:rPr>
                <w:rFonts w:ascii="Verdana" w:hAnsi="Verdana"/>
                <w:b/>
              </w:rPr>
              <w:t xml:space="preserve">: </w:t>
            </w:r>
            <w:r w:rsidR="00C61924">
              <w:rPr>
                <w:rFonts w:ascii="Verdana" w:hAnsi="Verdana"/>
                <w:b/>
              </w:rPr>
              <w:t>8 June</w:t>
            </w:r>
            <w:r w:rsidR="00F4263C">
              <w:rPr>
                <w:rFonts w:ascii="Verdana" w:hAnsi="Verdana"/>
                <w:b/>
              </w:rPr>
              <w:t xml:space="preserve"> 2021 </w:t>
            </w:r>
          </w:p>
          <w:p w14:paraId="5DAF434E" w14:textId="77777777" w:rsidR="00F4263C" w:rsidRDefault="00F4263C" w:rsidP="000E6449">
            <w:pPr>
              <w:rPr>
                <w:rFonts w:ascii="Verdana" w:hAnsi="Verdana"/>
              </w:rPr>
            </w:pPr>
          </w:p>
          <w:p w14:paraId="4C431B21" w14:textId="5A49D64E" w:rsidR="000E6449" w:rsidRPr="00CA1B35" w:rsidRDefault="000E6449" w:rsidP="000E6449">
            <w:pPr>
              <w:rPr>
                <w:rFonts w:ascii="Verdana" w:hAnsi="Verdana"/>
              </w:rPr>
            </w:pPr>
            <w:r>
              <w:rPr>
                <w:rFonts w:ascii="Verdana" w:hAnsi="Verdana"/>
              </w:rPr>
              <w:t>It was</w:t>
            </w:r>
            <w:r w:rsidRPr="00CA1B35">
              <w:rPr>
                <w:rFonts w:ascii="Verdana" w:hAnsi="Verdana"/>
              </w:rPr>
              <w:t xml:space="preserve"> note</w:t>
            </w:r>
            <w:r>
              <w:rPr>
                <w:rFonts w:ascii="Verdana" w:hAnsi="Verdana"/>
              </w:rPr>
              <w:t xml:space="preserve">d that the draft minutes had </w:t>
            </w:r>
            <w:r w:rsidR="003C67B9">
              <w:rPr>
                <w:rFonts w:ascii="Verdana" w:hAnsi="Verdana"/>
              </w:rPr>
              <w:t>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263B29FA" w14:textId="77777777" w:rsidR="000E6449" w:rsidRDefault="000E6449" w:rsidP="000B2F77">
            <w:pPr>
              <w:rPr>
                <w:rFonts w:ascii="Verdana" w:hAnsi="Verdana"/>
              </w:rPr>
            </w:pPr>
          </w:p>
          <w:p w14:paraId="3DCEAE94" w14:textId="18DC3B68" w:rsidR="000B2F77" w:rsidRDefault="00E70922" w:rsidP="000B2F77">
            <w:pPr>
              <w:rPr>
                <w:rFonts w:ascii="Verdana" w:hAnsi="Verdana"/>
              </w:rPr>
            </w:pPr>
            <w:r>
              <w:rPr>
                <w:rFonts w:ascii="Verdana" w:hAnsi="Verdana"/>
              </w:rPr>
              <w:t>They</w:t>
            </w:r>
            <w:r w:rsidR="000B2F77" w:rsidRPr="003648D1">
              <w:rPr>
                <w:rFonts w:ascii="Verdana" w:hAnsi="Verdana"/>
              </w:rPr>
              <w:t xml:space="preserve"> were approved as a correct record of the business transacted and </w:t>
            </w:r>
            <w:r w:rsidR="000B2F77" w:rsidRPr="00320E87">
              <w:rPr>
                <w:rFonts w:ascii="Verdana" w:hAnsi="Verdana"/>
                <w:i/>
              </w:rPr>
              <w:t>prima facie</w:t>
            </w:r>
            <w:r w:rsidR="000B2F77" w:rsidRPr="003648D1">
              <w:rPr>
                <w:rFonts w:ascii="Verdana" w:hAnsi="Verdana"/>
              </w:rPr>
              <w:t xml:space="preserve"> evidence of the proceedings to which they relate.</w:t>
            </w:r>
          </w:p>
          <w:p w14:paraId="3CBEB7AB" w14:textId="77777777" w:rsidR="0080510E" w:rsidRPr="003D3002" w:rsidRDefault="0080510E" w:rsidP="002C3254">
            <w:pPr>
              <w:rPr>
                <w:rFonts w:ascii="Verdana" w:hAnsi="Verdana"/>
              </w:rPr>
            </w:pPr>
          </w:p>
        </w:tc>
      </w:tr>
      <w:tr w:rsidR="0080510E" w:rsidRPr="003D3002" w14:paraId="3CBEB7BF" w14:textId="77777777" w:rsidTr="007B6893">
        <w:tc>
          <w:tcPr>
            <w:tcW w:w="534" w:type="dxa"/>
          </w:tcPr>
          <w:p w14:paraId="3CBEB7AD" w14:textId="77777777" w:rsidR="0080510E" w:rsidRPr="003D3002" w:rsidRDefault="0080510E" w:rsidP="002C3254">
            <w:pPr>
              <w:rPr>
                <w:rFonts w:ascii="Verdana" w:hAnsi="Verdana"/>
                <w:b/>
              </w:rPr>
            </w:pPr>
            <w:r>
              <w:rPr>
                <w:rFonts w:ascii="Verdana" w:hAnsi="Verdana"/>
                <w:b/>
              </w:rPr>
              <w:t>4</w:t>
            </w:r>
          </w:p>
        </w:tc>
        <w:tc>
          <w:tcPr>
            <w:tcW w:w="9213" w:type="dxa"/>
          </w:tcPr>
          <w:p w14:paraId="3CBEB7AF" w14:textId="24DB9EFE" w:rsidR="0080510E" w:rsidRPr="00F4263C" w:rsidRDefault="0080510E" w:rsidP="002C3254">
            <w:pPr>
              <w:rPr>
                <w:rFonts w:ascii="Verdana" w:hAnsi="Verdana"/>
                <w:b/>
              </w:rPr>
            </w:pPr>
            <w:r w:rsidRPr="00F4263C">
              <w:rPr>
                <w:rFonts w:ascii="Verdana" w:hAnsi="Verdana"/>
                <w:b/>
              </w:rPr>
              <w:t>Matters Arising from the Minutes</w:t>
            </w:r>
            <w:r w:rsidR="00F4263C" w:rsidRPr="00F4263C">
              <w:rPr>
                <w:rFonts w:ascii="Verdana" w:hAnsi="Verdana"/>
                <w:b/>
              </w:rPr>
              <w:t xml:space="preserve">: </w:t>
            </w:r>
            <w:r w:rsidR="00C61924">
              <w:rPr>
                <w:rFonts w:ascii="Verdana" w:hAnsi="Verdana"/>
                <w:b/>
              </w:rPr>
              <w:t>8 June 2021</w:t>
            </w:r>
          </w:p>
          <w:p w14:paraId="3CB902E5" w14:textId="77777777" w:rsidR="00F4263C" w:rsidRPr="00F4263C" w:rsidRDefault="00F4263C" w:rsidP="002C3254">
            <w:pPr>
              <w:rPr>
                <w:rFonts w:ascii="Verdana" w:hAnsi="Verdana"/>
                <w:b/>
              </w:rPr>
            </w:pPr>
          </w:p>
          <w:p w14:paraId="4A1CB0B4" w14:textId="3903E418" w:rsidR="004C0D44" w:rsidRPr="00F4263C" w:rsidRDefault="00C61924" w:rsidP="0083168D">
            <w:pPr>
              <w:rPr>
                <w:rFonts w:ascii="Verdana" w:hAnsi="Verdana"/>
              </w:rPr>
            </w:pPr>
            <w:r w:rsidRPr="00C61924">
              <w:rPr>
                <w:rFonts w:ascii="Verdana" w:hAnsi="Verdana"/>
              </w:rPr>
              <w:t>None</w:t>
            </w:r>
            <w:r w:rsidR="004C0D44" w:rsidRPr="00C61924">
              <w:rPr>
                <w:rFonts w:ascii="Verdana" w:hAnsi="Verdana"/>
              </w:rPr>
              <w:t xml:space="preserve"> except as provided for within</w:t>
            </w:r>
            <w:r w:rsidR="004C0D44" w:rsidRPr="00F4263C">
              <w:rPr>
                <w:rFonts w:ascii="Verdana" w:hAnsi="Verdana"/>
              </w:rPr>
              <w:t xml:space="preserve"> the meeting agenda.</w:t>
            </w:r>
            <w:r w:rsidR="00A43309" w:rsidRPr="00F4263C">
              <w:rPr>
                <w:rFonts w:ascii="Verdana" w:hAnsi="Verdana"/>
              </w:rPr>
              <w:t xml:space="preserve"> </w:t>
            </w:r>
            <w:r w:rsidR="00250896" w:rsidRPr="00F4263C">
              <w:rPr>
                <w:rFonts w:ascii="Verdana" w:hAnsi="Verdana"/>
              </w:rPr>
              <w:t xml:space="preserve">  </w:t>
            </w:r>
          </w:p>
          <w:p w14:paraId="3CBEB7BE" w14:textId="53C40B84" w:rsidR="00E5723C" w:rsidRPr="00F4263C" w:rsidRDefault="00E5723C" w:rsidP="0083168D">
            <w:pPr>
              <w:rPr>
                <w:rFonts w:ascii="Verdana" w:hAnsi="Verdana"/>
              </w:rPr>
            </w:pPr>
          </w:p>
        </w:tc>
      </w:tr>
      <w:tr w:rsidR="00E5723C" w:rsidRPr="003D3002" w14:paraId="258DCD39" w14:textId="77777777" w:rsidTr="007B6893">
        <w:tc>
          <w:tcPr>
            <w:tcW w:w="534" w:type="dxa"/>
          </w:tcPr>
          <w:p w14:paraId="081699A2" w14:textId="4C06C605" w:rsidR="00E5723C" w:rsidRDefault="00E5723C" w:rsidP="002C3254">
            <w:pPr>
              <w:rPr>
                <w:rFonts w:ascii="Verdana" w:hAnsi="Verdana"/>
                <w:b/>
              </w:rPr>
            </w:pPr>
            <w:r>
              <w:rPr>
                <w:rFonts w:ascii="Verdana" w:hAnsi="Verdana"/>
                <w:b/>
              </w:rPr>
              <w:t>5</w:t>
            </w:r>
          </w:p>
        </w:tc>
        <w:tc>
          <w:tcPr>
            <w:tcW w:w="9213" w:type="dxa"/>
          </w:tcPr>
          <w:p w14:paraId="1E23CEFE" w14:textId="77777777" w:rsidR="00E5723C" w:rsidRDefault="00E5723C" w:rsidP="00E5723C">
            <w:pPr>
              <w:rPr>
                <w:rFonts w:ascii="Verdana" w:hAnsi="Verdana"/>
                <w:b/>
              </w:rPr>
            </w:pPr>
            <w:r>
              <w:rPr>
                <w:rFonts w:ascii="Verdana" w:hAnsi="Verdana"/>
                <w:b/>
              </w:rPr>
              <w:t>Board Level Risks</w:t>
            </w:r>
          </w:p>
          <w:p w14:paraId="55A47409" w14:textId="77777777" w:rsidR="00E5723C" w:rsidRDefault="00E5723C" w:rsidP="002C3254">
            <w:pPr>
              <w:rPr>
                <w:rFonts w:ascii="Verdana" w:hAnsi="Verdana"/>
                <w:b/>
              </w:rPr>
            </w:pPr>
          </w:p>
          <w:p w14:paraId="075B9CC2" w14:textId="17014925" w:rsidR="00E5723C" w:rsidRDefault="008A1688" w:rsidP="002C3254">
            <w:pPr>
              <w:rPr>
                <w:rFonts w:ascii="Verdana" w:hAnsi="Verdana"/>
              </w:rPr>
            </w:pPr>
            <w:r w:rsidRPr="008A1688">
              <w:rPr>
                <w:rFonts w:ascii="Verdana" w:hAnsi="Verdana"/>
              </w:rPr>
              <w:t>I</w:t>
            </w:r>
            <w:r w:rsidR="00FC064B" w:rsidRPr="008A1688">
              <w:rPr>
                <w:rFonts w:ascii="Verdana" w:hAnsi="Verdana"/>
              </w:rPr>
              <w:t>t was noted that board level risks pertaining to the Committee’s remit</w:t>
            </w:r>
            <w:r w:rsidRPr="008A1688">
              <w:rPr>
                <w:rFonts w:ascii="Verdana" w:hAnsi="Verdana"/>
              </w:rPr>
              <w:t xml:space="preserve"> relate to agenda 6 and 7 below.</w:t>
            </w:r>
          </w:p>
          <w:p w14:paraId="275FE064" w14:textId="24302EE7" w:rsidR="005D4B0C" w:rsidRDefault="005D4B0C" w:rsidP="002C3254">
            <w:pPr>
              <w:rPr>
                <w:rFonts w:ascii="Verdana" w:hAnsi="Verdana"/>
              </w:rPr>
            </w:pPr>
          </w:p>
          <w:p w14:paraId="6D0AD55B" w14:textId="77777777" w:rsidR="005D4B0C" w:rsidRDefault="005D4B0C" w:rsidP="005D4B0C">
            <w:pPr>
              <w:rPr>
                <w:rFonts w:ascii="Verdana" w:hAnsi="Verdana"/>
                <w:bCs/>
              </w:rPr>
            </w:pPr>
            <w:r>
              <w:rPr>
                <w:rFonts w:ascii="Verdana" w:hAnsi="Verdana"/>
                <w:bCs/>
              </w:rPr>
              <w:t>No other risks requiring the Audit Committee’s attention were identified in the course of the meeting.</w:t>
            </w:r>
          </w:p>
          <w:p w14:paraId="6610976B" w14:textId="1E22F755" w:rsidR="00C6500A" w:rsidRPr="008A1688" w:rsidRDefault="00C6500A" w:rsidP="002C3254">
            <w:pPr>
              <w:rPr>
                <w:rFonts w:ascii="Verdana" w:hAnsi="Verdana"/>
              </w:rPr>
            </w:pPr>
          </w:p>
        </w:tc>
      </w:tr>
      <w:tr w:rsidR="009D4719" w:rsidRPr="00A7571C" w14:paraId="4919FA19" w14:textId="77777777" w:rsidTr="007B6893">
        <w:tc>
          <w:tcPr>
            <w:tcW w:w="534" w:type="dxa"/>
          </w:tcPr>
          <w:p w14:paraId="289172BA" w14:textId="049C7484" w:rsidR="009D4719" w:rsidRPr="00205776" w:rsidRDefault="009D4719" w:rsidP="002C3254">
            <w:pPr>
              <w:rPr>
                <w:rFonts w:ascii="Verdana" w:hAnsi="Verdana"/>
                <w:b/>
                <w:i/>
                <w:iCs/>
              </w:rPr>
            </w:pPr>
            <w:r w:rsidRPr="00205776">
              <w:rPr>
                <w:rFonts w:ascii="Verdana" w:hAnsi="Verdana"/>
                <w:b/>
                <w:i/>
                <w:iCs/>
              </w:rPr>
              <w:t>6</w:t>
            </w:r>
          </w:p>
        </w:tc>
        <w:tc>
          <w:tcPr>
            <w:tcW w:w="9213" w:type="dxa"/>
          </w:tcPr>
          <w:p w14:paraId="7C5823D2" w14:textId="77777777" w:rsidR="00C61924" w:rsidRPr="00A7571C" w:rsidRDefault="00C61924" w:rsidP="00C61924">
            <w:pPr>
              <w:rPr>
                <w:rFonts w:ascii="Verdana" w:hAnsi="Verdana"/>
                <w:b/>
              </w:rPr>
            </w:pPr>
            <w:r w:rsidRPr="00A7571C">
              <w:rPr>
                <w:rFonts w:ascii="Verdana" w:hAnsi="Verdana"/>
                <w:b/>
              </w:rPr>
              <w:t xml:space="preserve">Report on Student Achievement 2020-21 </w:t>
            </w:r>
          </w:p>
          <w:p w14:paraId="3611DCA0" w14:textId="77777777" w:rsidR="009D4719" w:rsidRPr="00A7571C" w:rsidRDefault="009D4719" w:rsidP="00E5723C">
            <w:pPr>
              <w:rPr>
                <w:rFonts w:ascii="Verdana" w:hAnsi="Verdana"/>
                <w:b/>
                <w:i/>
                <w:iCs/>
              </w:rPr>
            </w:pPr>
          </w:p>
          <w:p w14:paraId="17D0AC00" w14:textId="6D25251A" w:rsidR="00CE7A5B" w:rsidRPr="00A7571C" w:rsidRDefault="00C61924" w:rsidP="009D1328">
            <w:pPr>
              <w:pStyle w:val="NoSpacing"/>
              <w:rPr>
                <w:rFonts w:ascii="Verdana" w:hAnsi="Verdana"/>
              </w:rPr>
            </w:pPr>
            <w:r w:rsidRPr="00A7571C">
              <w:rPr>
                <w:rFonts w:ascii="Verdana" w:hAnsi="Verdana"/>
              </w:rPr>
              <w:t>A report prepared by the Vice-Principal: Curriculum was received and considered.</w:t>
            </w:r>
          </w:p>
          <w:p w14:paraId="450D5599" w14:textId="2B99B1DD" w:rsidR="00C61924" w:rsidRPr="00A7571C" w:rsidRDefault="00C61924" w:rsidP="009D1328">
            <w:pPr>
              <w:pStyle w:val="NoSpacing"/>
              <w:rPr>
                <w:rFonts w:ascii="Verdana" w:hAnsi="Verdana"/>
              </w:rPr>
            </w:pPr>
          </w:p>
          <w:p w14:paraId="4249389D" w14:textId="3A06CF04" w:rsidR="00C61924" w:rsidRPr="00A7571C" w:rsidRDefault="00C61924" w:rsidP="009D1328">
            <w:pPr>
              <w:pStyle w:val="NoSpacing"/>
              <w:rPr>
                <w:rFonts w:ascii="Verdana" w:hAnsi="Verdana"/>
              </w:rPr>
            </w:pPr>
            <w:r w:rsidRPr="00A7571C">
              <w:rPr>
                <w:rFonts w:ascii="Verdana" w:hAnsi="Verdana"/>
              </w:rPr>
              <w:t>It was noted that:</w:t>
            </w:r>
          </w:p>
          <w:p w14:paraId="3240A0AC" w14:textId="7460C69D" w:rsidR="00C61924" w:rsidRPr="00A7571C" w:rsidRDefault="00C61924" w:rsidP="009D1328">
            <w:pPr>
              <w:pStyle w:val="NoSpacing"/>
              <w:rPr>
                <w:rFonts w:ascii="Verdana" w:hAnsi="Verdana"/>
              </w:rPr>
            </w:pPr>
          </w:p>
          <w:p w14:paraId="09D2CCE8" w14:textId="28062FC6" w:rsidR="00ED23E8" w:rsidRPr="00A7571C" w:rsidRDefault="00ED23E8" w:rsidP="00ED23E8">
            <w:pPr>
              <w:rPr>
                <w:rFonts w:ascii="Verdana" w:hAnsi="Verdana"/>
                <w:bCs/>
                <w:i/>
                <w:iCs/>
              </w:rPr>
            </w:pPr>
            <w:r w:rsidRPr="00A7571C">
              <w:rPr>
                <w:rFonts w:ascii="Verdana" w:hAnsi="Verdana"/>
                <w:bCs/>
                <w:i/>
                <w:iCs/>
              </w:rPr>
              <w:t xml:space="preserve">students at the College </w:t>
            </w:r>
            <w:r w:rsidR="00083798" w:rsidRPr="00A7571C">
              <w:rPr>
                <w:rFonts w:ascii="Verdana" w:hAnsi="Verdana"/>
                <w:bCs/>
                <w:i/>
                <w:iCs/>
              </w:rPr>
              <w:t>had been</w:t>
            </w:r>
            <w:r w:rsidRPr="00A7571C">
              <w:rPr>
                <w:rFonts w:ascii="Verdana" w:hAnsi="Verdana"/>
                <w:bCs/>
                <w:i/>
                <w:iCs/>
              </w:rPr>
              <w:t xml:space="preserve"> at least as likely as students across all sixth form colleges to stay on their programmes, and more likely to achieve their </w:t>
            </w:r>
            <w:r w:rsidRPr="00A7571C">
              <w:rPr>
                <w:rFonts w:ascii="Verdana" w:hAnsi="Verdana"/>
                <w:bCs/>
                <w:i/>
                <w:iCs/>
              </w:rPr>
              <w:lastRenderedPageBreak/>
              <w:t>qualifications, despite being significantly more disadvantaged than the national cohort;</w:t>
            </w:r>
          </w:p>
          <w:p w14:paraId="13415EDE" w14:textId="77777777" w:rsidR="00ED23E8" w:rsidRPr="00A7571C" w:rsidRDefault="00ED23E8" w:rsidP="00ED23E8">
            <w:pPr>
              <w:rPr>
                <w:rFonts w:ascii="Verdana" w:hAnsi="Verdana"/>
                <w:bCs/>
                <w:i/>
                <w:iCs/>
              </w:rPr>
            </w:pPr>
          </w:p>
          <w:p w14:paraId="357AA004" w14:textId="2978DBB2" w:rsidR="00ED23E8" w:rsidRPr="00A7571C" w:rsidRDefault="00083798" w:rsidP="00ED23E8">
            <w:pPr>
              <w:rPr>
                <w:rFonts w:ascii="Verdana" w:hAnsi="Verdana"/>
                <w:bCs/>
                <w:i/>
                <w:iCs/>
              </w:rPr>
            </w:pPr>
            <w:r w:rsidRPr="00A7571C">
              <w:rPr>
                <w:rFonts w:ascii="Verdana" w:hAnsi="Verdana"/>
                <w:i/>
                <w:iCs/>
              </w:rPr>
              <w:t>a</w:t>
            </w:r>
            <w:r w:rsidR="00ED23E8" w:rsidRPr="00A7571C">
              <w:rPr>
                <w:rFonts w:ascii="Verdana" w:hAnsi="Verdana"/>
                <w:i/>
                <w:iCs/>
              </w:rPr>
              <w:t xml:space="preserve"> larger cohort of </w:t>
            </w:r>
            <w:r w:rsidR="00ED23E8" w:rsidRPr="00A7571C">
              <w:rPr>
                <w:rFonts w:ascii="Verdana" w:hAnsi="Verdana"/>
                <w:b/>
                <w:i/>
                <w:iCs/>
              </w:rPr>
              <w:t>A level students</w:t>
            </w:r>
            <w:r w:rsidR="00ED23E8" w:rsidRPr="00A7571C">
              <w:rPr>
                <w:rFonts w:ascii="Verdana" w:hAnsi="Verdana"/>
                <w:i/>
                <w:iCs/>
              </w:rPr>
              <w:t xml:space="preserve"> </w:t>
            </w:r>
            <w:r w:rsidRPr="00A7571C">
              <w:rPr>
                <w:rFonts w:ascii="Verdana" w:hAnsi="Verdana"/>
                <w:i/>
                <w:iCs/>
              </w:rPr>
              <w:t xml:space="preserve">had </w:t>
            </w:r>
            <w:r w:rsidR="00ED23E8" w:rsidRPr="00A7571C">
              <w:rPr>
                <w:rFonts w:ascii="Verdana" w:hAnsi="Verdana"/>
                <w:i/>
                <w:iCs/>
              </w:rPr>
              <w:t>achieved at slightly better than the national rate for sixth form colleges</w:t>
            </w:r>
            <w:r w:rsidRPr="00A7571C">
              <w:rPr>
                <w:rFonts w:ascii="Verdana" w:hAnsi="Verdana"/>
                <w:i/>
                <w:iCs/>
              </w:rPr>
              <w:t>,</w:t>
            </w:r>
            <w:r w:rsidR="00ED23E8" w:rsidRPr="00A7571C">
              <w:rPr>
                <w:rFonts w:ascii="Verdana" w:hAnsi="Verdana"/>
                <w:i/>
                <w:iCs/>
              </w:rPr>
              <w:t xml:space="preserve"> </w:t>
            </w:r>
            <w:r w:rsidRPr="00A7571C">
              <w:rPr>
                <w:rFonts w:ascii="Verdana" w:hAnsi="Verdana"/>
                <w:i/>
                <w:iCs/>
              </w:rPr>
              <w:t>with</w:t>
            </w:r>
            <w:r w:rsidR="00ED23E8" w:rsidRPr="00A7571C">
              <w:rPr>
                <w:rFonts w:ascii="Verdana" w:hAnsi="Verdana"/>
                <w:i/>
                <w:iCs/>
              </w:rPr>
              <w:t xml:space="preserve"> a very high pass rate of 99%</w:t>
            </w:r>
            <w:r w:rsidRPr="00A7571C">
              <w:rPr>
                <w:rFonts w:ascii="Verdana" w:hAnsi="Verdana"/>
                <w:i/>
                <w:iCs/>
              </w:rPr>
              <w:t xml:space="preserve"> -</w:t>
            </w:r>
            <w:r w:rsidR="00ED23E8" w:rsidRPr="00A7571C">
              <w:rPr>
                <w:rFonts w:ascii="Verdana" w:hAnsi="Verdana"/>
                <w:i/>
                <w:iCs/>
              </w:rPr>
              <w:t xml:space="preserve">  </w:t>
            </w:r>
            <w:r w:rsidRPr="00A7571C">
              <w:rPr>
                <w:rFonts w:ascii="Verdana" w:hAnsi="Verdana"/>
                <w:i/>
                <w:iCs/>
              </w:rPr>
              <w:t>u</w:t>
            </w:r>
            <w:r w:rsidR="00ED23E8" w:rsidRPr="00A7571C">
              <w:rPr>
                <w:rFonts w:ascii="Verdana" w:hAnsi="Verdana"/>
                <w:i/>
                <w:iCs/>
              </w:rPr>
              <w:t xml:space="preserve">ndoubtedly, the way assessments were </w:t>
            </w:r>
            <w:r w:rsidRPr="00A7571C">
              <w:rPr>
                <w:rFonts w:ascii="Verdana" w:hAnsi="Verdana"/>
                <w:i/>
                <w:iCs/>
              </w:rPr>
              <w:t>mad</w:t>
            </w:r>
            <w:r w:rsidR="00ED23E8" w:rsidRPr="00A7571C">
              <w:rPr>
                <w:rFonts w:ascii="Verdana" w:hAnsi="Verdana"/>
                <w:i/>
                <w:iCs/>
              </w:rPr>
              <w:t>e this year presented fewer problems for students than traditional exam</w:t>
            </w:r>
            <w:r w:rsidRPr="00A7571C">
              <w:rPr>
                <w:rFonts w:ascii="Verdana" w:hAnsi="Verdana"/>
                <w:i/>
                <w:iCs/>
              </w:rPr>
              <w:t>ination</w:t>
            </w:r>
            <w:r w:rsidR="00ED23E8" w:rsidRPr="00A7571C">
              <w:rPr>
                <w:rFonts w:ascii="Verdana" w:hAnsi="Verdana"/>
                <w:i/>
                <w:iCs/>
              </w:rPr>
              <w:t>s, and probably led to an inflated pass rate</w:t>
            </w:r>
            <w:r w:rsidRPr="00A7571C">
              <w:rPr>
                <w:rFonts w:ascii="Verdana" w:hAnsi="Verdana"/>
                <w:i/>
                <w:iCs/>
              </w:rPr>
              <w:t>, but their work was</w:t>
            </w:r>
            <w:r w:rsidR="00ED23E8" w:rsidRPr="00A7571C">
              <w:rPr>
                <w:rFonts w:ascii="Verdana" w:hAnsi="Verdana"/>
                <w:i/>
                <w:iCs/>
              </w:rPr>
              <w:t xml:space="preserve"> </w:t>
            </w:r>
            <w:r w:rsidRPr="00A7571C">
              <w:rPr>
                <w:rFonts w:ascii="Verdana" w:hAnsi="Verdana"/>
                <w:i/>
                <w:iCs/>
              </w:rPr>
              <w:t>n</w:t>
            </w:r>
            <w:r w:rsidR="00ED23E8" w:rsidRPr="00A7571C">
              <w:rPr>
                <w:rFonts w:ascii="Verdana" w:hAnsi="Verdana"/>
                <w:i/>
                <w:iCs/>
              </w:rPr>
              <w:t>onetheless good, rigorously checked, and</w:t>
            </w:r>
            <w:r w:rsidRPr="00A7571C">
              <w:rPr>
                <w:rFonts w:ascii="Verdana" w:hAnsi="Verdana"/>
                <w:i/>
                <w:iCs/>
              </w:rPr>
              <w:t xml:space="preserve"> the</w:t>
            </w:r>
            <w:r w:rsidR="00ED23E8" w:rsidRPr="00A7571C">
              <w:rPr>
                <w:rFonts w:ascii="Verdana" w:hAnsi="Verdana"/>
                <w:i/>
                <w:iCs/>
              </w:rPr>
              <w:t xml:space="preserve"> exam</w:t>
            </w:r>
            <w:r w:rsidRPr="00A7571C">
              <w:rPr>
                <w:rFonts w:ascii="Verdana" w:hAnsi="Verdana"/>
                <w:i/>
                <w:iCs/>
              </w:rPr>
              <w:t>ination</w:t>
            </w:r>
            <w:r w:rsidR="00ED23E8" w:rsidRPr="00A7571C">
              <w:rPr>
                <w:rFonts w:ascii="Verdana" w:hAnsi="Verdana"/>
                <w:i/>
                <w:iCs/>
              </w:rPr>
              <w:t xml:space="preserve"> boards verified all of </w:t>
            </w:r>
            <w:r w:rsidRPr="00A7571C">
              <w:rPr>
                <w:rFonts w:ascii="Verdana" w:hAnsi="Verdana"/>
                <w:i/>
                <w:iCs/>
              </w:rPr>
              <w:t>the</w:t>
            </w:r>
            <w:r w:rsidR="00ED23E8" w:rsidRPr="00A7571C">
              <w:rPr>
                <w:rFonts w:ascii="Verdana" w:hAnsi="Verdana"/>
                <w:i/>
                <w:iCs/>
              </w:rPr>
              <w:t xml:space="preserve"> grades</w:t>
            </w:r>
            <w:r w:rsidRPr="00A7571C">
              <w:rPr>
                <w:rFonts w:ascii="Verdana" w:hAnsi="Verdana"/>
                <w:i/>
                <w:iCs/>
              </w:rPr>
              <w:t xml:space="preserve"> awarded;</w:t>
            </w:r>
            <w:r w:rsidR="00ED23E8" w:rsidRPr="00A7571C">
              <w:rPr>
                <w:rFonts w:ascii="Verdana" w:hAnsi="Verdana"/>
                <w:bCs/>
                <w:i/>
                <w:iCs/>
              </w:rPr>
              <w:t xml:space="preserve"> </w:t>
            </w:r>
          </w:p>
          <w:p w14:paraId="3FB076F6" w14:textId="1C910C37" w:rsidR="00C61924" w:rsidRPr="00A7571C" w:rsidRDefault="00C61924" w:rsidP="009D1328">
            <w:pPr>
              <w:pStyle w:val="NoSpacing"/>
              <w:rPr>
                <w:rFonts w:ascii="Verdana" w:hAnsi="Verdana"/>
                <w:bCs/>
                <w:i/>
                <w:iCs/>
              </w:rPr>
            </w:pPr>
          </w:p>
          <w:p w14:paraId="038E5793" w14:textId="337F36E9" w:rsidR="00083798" w:rsidRPr="00A7571C" w:rsidRDefault="00083798" w:rsidP="009D1328">
            <w:pPr>
              <w:pStyle w:val="NoSpacing"/>
              <w:rPr>
                <w:rFonts w:ascii="Verdana" w:hAnsi="Verdana"/>
                <w:i/>
                <w:iCs/>
              </w:rPr>
            </w:pPr>
            <w:r w:rsidRPr="00A7571C">
              <w:rPr>
                <w:rFonts w:ascii="Verdana" w:hAnsi="Verdana"/>
                <w:i/>
                <w:iCs/>
              </w:rPr>
              <w:t xml:space="preserve">the retention rate for </w:t>
            </w:r>
            <w:r w:rsidRPr="00A7571C">
              <w:rPr>
                <w:rFonts w:ascii="Verdana" w:hAnsi="Verdana"/>
                <w:b/>
                <w:i/>
                <w:iCs/>
              </w:rPr>
              <w:t>level 3</w:t>
            </w:r>
            <w:r w:rsidRPr="00A7571C">
              <w:rPr>
                <w:rFonts w:ascii="Verdana" w:hAnsi="Verdana"/>
                <w:i/>
                <w:iCs/>
              </w:rPr>
              <w:t xml:space="preserve"> </w:t>
            </w:r>
            <w:r w:rsidRPr="00A7571C">
              <w:rPr>
                <w:rFonts w:ascii="Verdana" w:hAnsi="Verdana"/>
                <w:b/>
                <w:i/>
                <w:iCs/>
              </w:rPr>
              <w:t xml:space="preserve">vocational students </w:t>
            </w:r>
            <w:r w:rsidRPr="00A7571C">
              <w:rPr>
                <w:rFonts w:ascii="Verdana" w:hAnsi="Verdana"/>
                <w:bCs/>
                <w:i/>
                <w:iCs/>
              </w:rPr>
              <w:t xml:space="preserve">had </w:t>
            </w:r>
            <w:r w:rsidRPr="00A7571C">
              <w:rPr>
                <w:rFonts w:ascii="Verdana" w:hAnsi="Verdana"/>
                <w:i/>
                <w:iCs/>
              </w:rPr>
              <w:t>shown a 1.9% drop by comparison with the previous year, bringing this cohort below the sixth form college average - uniquely, level 3 vocational students who began courses in the autumn of 2019 were on a two-year linear programme (therefore students who left in the first year, or over the summer of 2020 were included in the retention for 2021, rather than in the previous year or not showing up at all, lowering the rate of retention for 2021, and raising it for 2020 – when this is allowed for, the overall outcome is positive;</w:t>
            </w:r>
          </w:p>
          <w:p w14:paraId="28A229D8" w14:textId="326A6375" w:rsidR="00083798" w:rsidRPr="00A7571C" w:rsidRDefault="00083798" w:rsidP="009D1328">
            <w:pPr>
              <w:pStyle w:val="NoSpacing"/>
              <w:rPr>
                <w:rFonts w:ascii="Verdana" w:hAnsi="Verdana"/>
                <w:bCs/>
                <w:i/>
                <w:iCs/>
              </w:rPr>
            </w:pPr>
          </w:p>
          <w:p w14:paraId="46621ABB" w14:textId="07E5ADAA" w:rsidR="00FD1B75" w:rsidRPr="00A7571C" w:rsidRDefault="00083798" w:rsidP="009D1328">
            <w:pPr>
              <w:pStyle w:val="NoSpacing"/>
              <w:rPr>
                <w:rFonts w:ascii="Verdana" w:hAnsi="Verdana"/>
                <w:i/>
                <w:iCs/>
              </w:rPr>
            </w:pPr>
            <w:r w:rsidRPr="00A7571C">
              <w:rPr>
                <w:rFonts w:ascii="Verdana" w:hAnsi="Verdana"/>
                <w:b/>
                <w:i/>
                <w:iCs/>
              </w:rPr>
              <w:t>Level 2 students</w:t>
            </w:r>
            <w:r w:rsidR="00FD1B75" w:rsidRPr="00A7571C">
              <w:rPr>
                <w:rFonts w:ascii="Verdana" w:hAnsi="Verdana"/>
                <w:b/>
                <w:i/>
                <w:iCs/>
              </w:rPr>
              <w:t xml:space="preserve"> </w:t>
            </w:r>
            <w:r w:rsidR="00FD1B75" w:rsidRPr="00A7571C">
              <w:rPr>
                <w:rFonts w:ascii="Verdana" w:hAnsi="Verdana"/>
                <w:bCs/>
                <w:i/>
                <w:iCs/>
              </w:rPr>
              <w:t>had</w:t>
            </w:r>
            <w:r w:rsidRPr="00A7571C">
              <w:rPr>
                <w:rFonts w:ascii="Verdana" w:hAnsi="Verdana"/>
                <w:bCs/>
                <w:i/>
                <w:iCs/>
              </w:rPr>
              <w:t xml:space="preserve"> </w:t>
            </w:r>
            <w:r w:rsidRPr="00A7571C">
              <w:rPr>
                <w:rFonts w:ascii="Verdana" w:hAnsi="Verdana"/>
                <w:i/>
                <w:iCs/>
              </w:rPr>
              <w:t>continued to achieve at better than national rates, although they were less likely to be retained than in former years, with retention dropping to the sixth form college average</w:t>
            </w:r>
            <w:r w:rsidR="00FD1B75" w:rsidRPr="00A7571C">
              <w:rPr>
                <w:rFonts w:ascii="Verdana" w:hAnsi="Verdana"/>
                <w:i/>
                <w:iCs/>
              </w:rPr>
              <w:t xml:space="preserve"> - </w:t>
            </w:r>
            <w:r w:rsidRPr="00A7571C">
              <w:rPr>
                <w:rFonts w:ascii="Verdana" w:hAnsi="Verdana"/>
                <w:i/>
                <w:iCs/>
              </w:rPr>
              <w:t>the majority of those lost were male and displayed a range of low-level behavioural issues (such as very poor attendance, little or no work done outside of class, and/or a tendency towards immature behaviour</w:t>
            </w:r>
            <w:r w:rsidR="00FD1B75" w:rsidRPr="00A7571C">
              <w:rPr>
                <w:rFonts w:ascii="Verdana" w:hAnsi="Verdana"/>
                <w:i/>
                <w:iCs/>
              </w:rPr>
              <w:t>,</w:t>
            </w:r>
            <w:r w:rsidRPr="00A7571C">
              <w:rPr>
                <w:rFonts w:ascii="Verdana" w:hAnsi="Verdana"/>
                <w:i/>
                <w:iCs/>
              </w:rPr>
              <w:t xml:space="preserve"> </w:t>
            </w:r>
            <w:r w:rsidR="00FD1B75" w:rsidRPr="00A7571C">
              <w:rPr>
                <w:rFonts w:ascii="Verdana" w:hAnsi="Verdana"/>
                <w:i/>
                <w:iCs/>
              </w:rPr>
              <w:t>with the l</w:t>
            </w:r>
            <w:r w:rsidRPr="00A7571C">
              <w:rPr>
                <w:rFonts w:ascii="Verdana" w:hAnsi="Verdana"/>
                <w:i/>
                <w:iCs/>
              </w:rPr>
              <w:t xml:space="preserve">owest rates of retention </w:t>
            </w:r>
            <w:r w:rsidR="00FD1B75" w:rsidRPr="00A7571C">
              <w:rPr>
                <w:rFonts w:ascii="Verdana" w:hAnsi="Verdana"/>
                <w:i/>
                <w:iCs/>
              </w:rPr>
              <w:t>being</w:t>
            </w:r>
            <w:r w:rsidRPr="00A7571C">
              <w:rPr>
                <w:rFonts w:ascii="Verdana" w:hAnsi="Verdana"/>
                <w:i/>
                <w:iCs/>
              </w:rPr>
              <w:t xml:space="preserve"> on level 2 Business courses</w:t>
            </w:r>
            <w:r w:rsidR="00FD1B75" w:rsidRPr="00A7571C">
              <w:rPr>
                <w:rFonts w:ascii="Verdana" w:hAnsi="Verdana"/>
                <w:i/>
                <w:iCs/>
              </w:rPr>
              <w:t>);</w:t>
            </w:r>
            <w:r w:rsidRPr="00A7571C">
              <w:rPr>
                <w:rFonts w:ascii="Verdana" w:hAnsi="Verdana"/>
                <w:i/>
                <w:iCs/>
              </w:rPr>
              <w:t xml:space="preserve"> </w:t>
            </w:r>
          </w:p>
          <w:p w14:paraId="20BD65F3" w14:textId="77777777" w:rsidR="00FD1B75" w:rsidRPr="00A7571C" w:rsidRDefault="00FD1B75" w:rsidP="009D1328">
            <w:pPr>
              <w:pStyle w:val="NoSpacing"/>
              <w:rPr>
                <w:rFonts w:ascii="Verdana" w:hAnsi="Verdana"/>
                <w:i/>
                <w:iCs/>
              </w:rPr>
            </w:pPr>
          </w:p>
          <w:p w14:paraId="36765F0A" w14:textId="3E4D0FFF" w:rsidR="00083798" w:rsidRPr="00A7571C" w:rsidRDefault="00FD1B75" w:rsidP="009D1328">
            <w:pPr>
              <w:pStyle w:val="NoSpacing"/>
              <w:rPr>
                <w:rFonts w:ascii="Verdana" w:hAnsi="Verdana"/>
                <w:i/>
                <w:iCs/>
              </w:rPr>
            </w:pPr>
            <w:r w:rsidRPr="00A7571C">
              <w:rPr>
                <w:rFonts w:ascii="Verdana" w:hAnsi="Verdana"/>
                <w:i/>
                <w:iCs/>
              </w:rPr>
              <w:t>a</w:t>
            </w:r>
            <w:r w:rsidR="00083798" w:rsidRPr="00A7571C">
              <w:rPr>
                <w:rFonts w:ascii="Verdana" w:hAnsi="Verdana"/>
                <w:i/>
                <w:iCs/>
              </w:rPr>
              <w:t xml:space="preserve">cross level 2, teachers reported that students </w:t>
            </w:r>
            <w:r w:rsidRPr="00A7571C">
              <w:rPr>
                <w:rFonts w:ascii="Verdana" w:hAnsi="Verdana"/>
                <w:i/>
                <w:iCs/>
              </w:rPr>
              <w:t xml:space="preserve">had </w:t>
            </w:r>
            <w:r w:rsidR="00083798" w:rsidRPr="00A7571C">
              <w:rPr>
                <w:rFonts w:ascii="Verdana" w:hAnsi="Verdana"/>
                <w:i/>
                <w:iCs/>
              </w:rPr>
              <w:t>seemed academically less well</w:t>
            </w:r>
            <w:r w:rsidRPr="00A7571C">
              <w:rPr>
                <w:rFonts w:ascii="Verdana" w:hAnsi="Verdana"/>
                <w:i/>
                <w:iCs/>
              </w:rPr>
              <w:t>-</w:t>
            </w:r>
            <w:r w:rsidR="00083798" w:rsidRPr="00A7571C">
              <w:rPr>
                <w:rFonts w:ascii="Verdana" w:hAnsi="Verdana"/>
                <w:i/>
                <w:iCs/>
              </w:rPr>
              <w:t>equipped than in previous years,</w:t>
            </w:r>
            <w:r w:rsidRPr="00A7571C">
              <w:rPr>
                <w:rFonts w:ascii="Verdana" w:hAnsi="Verdana"/>
                <w:i/>
                <w:iCs/>
              </w:rPr>
              <w:t xml:space="preserve"> which was perhaps to have been</w:t>
            </w:r>
            <w:r w:rsidR="00083798" w:rsidRPr="00A7571C">
              <w:rPr>
                <w:rFonts w:ascii="Verdana" w:hAnsi="Verdana"/>
                <w:i/>
                <w:iCs/>
              </w:rPr>
              <w:t xml:space="preserve"> expected given inflated GCSE scores</w:t>
            </w:r>
            <w:r w:rsidRPr="00A7571C">
              <w:rPr>
                <w:rFonts w:ascii="Verdana" w:hAnsi="Verdana"/>
                <w:i/>
                <w:iCs/>
              </w:rPr>
              <w:t xml:space="preserve"> in 2020, though </w:t>
            </w:r>
            <w:r w:rsidR="00083798" w:rsidRPr="00A7571C">
              <w:rPr>
                <w:rFonts w:ascii="Verdana" w:hAnsi="Verdana"/>
                <w:i/>
                <w:iCs/>
              </w:rPr>
              <w:t>this did not seem</w:t>
            </w:r>
            <w:r w:rsidRPr="00A7571C">
              <w:rPr>
                <w:rFonts w:ascii="Verdana" w:hAnsi="Verdana"/>
                <w:i/>
                <w:iCs/>
              </w:rPr>
              <w:t xml:space="preserve"> to have been</w:t>
            </w:r>
            <w:r w:rsidR="00083798" w:rsidRPr="00A7571C">
              <w:rPr>
                <w:rFonts w:ascii="Verdana" w:hAnsi="Verdana"/>
                <w:i/>
                <w:iCs/>
              </w:rPr>
              <w:t xml:space="preserve"> so </w:t>
            </w:r>
            <w:r w:rsidRPr="00A7571C">
              <w:rPr>
                <w:rFonts w:ascii="Verdana" w:hAnsi="Verdana"/>
                <w:i/>
                <w:iCs/>
              </w:rPr>
              <w:t>prominent</w:t>
            </w:r>
            <w:r w:rsidR="00083798" w:rsidRPr="00A7571C">
              <w:rPr>
                <w:rFonts w:ascii="Verdana" w:hAnsi="Verdana"/>
                <w:i/>
                <w:iCs/>
              </w:rPr>
              <w:t xml:space="preserve"> an issue in other cohorts</w:t>
            </w:r>
            <w:r w:rsidRPr="00A7571C">
              <w:rPr>
                <w:rFonts w:ascii="Verdana" w:hAnsi="Verdana"/>
                <w:i/>
                <w:iCs/>
              </w:rPr>
              <w:t>;</w:t>
            </w:r>
          </w:p>
          <w:p w14:paraId="2313DA74" w14:textId="2D6B7C22" w:rsidR="00FD1B75" w:rsidRPr="00A7571C" w:rsidRDefault="00FD1B75" w:rsidP="009D1328">
            <w:pPr>
              <w:pStyle w:val="NoSpacing"/>
              <w:rPr>
                <w:rFonts w:ascii="Verdana" w:hAnsi="Verdana"/>
                <w:bCs/>
                <w:i/>
                <w:iCs/>
              </w:rPr>
            </w:pPr>
          </w:p>
          <w:p w14:paraId="0F85FDAB" w14:textId="04C94360" w:rsidR="00FD1B75" w:rsidRPr="00A7571C" w:rsidRDefault="00FD1B75" w:rsidP="009D1328">
            <w:pPr>
              <w:pStyle w:val="NoSpacing"/>
              <w:rPr>
                <w:rFonts w:ascii="Verdana" w:hAnsi="Verdana"/>
                <w:i/>
                <w:iCs/>
              </w:rPr>
            </w:pPr>
            <w:r w:rsidRPr="00A7571C">
              <w:rPr>
                <w:rFonts w:ascii="Verdana" w:hAnsi="Verdana"/>
                <w:b/>
                <w:i/>
                <w:iCs/>
              </w:rPr>
              <w:t>Students on GCSE courses</w:t>
            </w:r>
            <w:r w:rsidRPr="00A7571C">
              <w:rPr>
                <w:rFonts w:ascii="Verdana" w:hAnsi="Verdana"/>
                <w:i/>
                <w:iCs/>
              </w:rPr>
              <w:t xml:space="preserve"> had continued to pass and be retained above national rates for sixth form colleges, as has been the case for several years, though there was a decline in the retention rates for these courses, reflecting the retention rate of students’ main programmes (often on level 2), since students are only removed from these courses if they are leaving the college altogether;</w:t>
            </w:r>
          </w:p>
          <w:p w14:paraId="382A6AF4" w14:textId="4E55EB81" w:rsidR="00FD1B75" w:rsidRPr="00A7571C" w:rsidRDefault="00FD1B75" w:rsidP="009D1328">
            <w:pPr>
              <w:pStyle w:val="NoSpacing"/>
              <w:rPr>
                <w:rFonts w:ascii="Verdana" w:hAnsi="Verdana"/>
                <w:bCs/>
                <w:i/>
                <w:iCs/>
              </w:rPr>
            </w:pPr>
          </w:p>
          <w:p w14:paraId="3A993A85" w14:textId="5A5F96FD" w:rsidR="00FD1B75" w:rsidRPr="00A7571C" w:rsidRDefault="00FD1B75" w:rsidP="009D1328">
            <w:pPr>
              <w:pStyle w:val="NoSpacing"/>
              <w:rPr>
                <w:rFonts w:ascii="Verdana" w:hAnsi="Verdana"/>
                <w:i/>
                <w:iCs/>
              </w:rPr>
            </w:pPr>
            <w:r w:rsidRPr="00A7571C">
              <w:rPr>
                <w:rFonts w:ascii="Verdana" w:hAnsi="Verdana"/>
                <w:i/>
                <w:iCs/>
              </w:rPr>
              <w:t xml:space="preserve">overall, students had achieved well, but </w:t>
            </w:r>
            <w:r w:rsidRPr="00A7571C">
              <w:rPr>
                <w:rFonts w:ascii="Verdana" w:hAnsi="Verdana"/>
                <w:b/>
                <w:i/>
                <w:iCs/>
              </w:rPr>
              <w:t>disadvantaged students</w:t>
            </w:r>
            <w:r w:rsidRPr="00A7571C">
              <w:rPr>
                <w:rFonts w:ascii="Verdana" w:hAnsi="Verdana"/>
                <w:i/>
                <w:iCs/>
              </w:rPr>
              <w:t xml:space="preserve"> had achieved exceptionally well, being retained at markedly higher rates, contrary to national trends;</w:t>
            </w:r>
          </w:p>
          <w:p w14:paraId="0F564E92" w14:textId="77777777" w:rsidR="00FD1B75" w:rsidRPr="00A7571C" w:rsidRDefault="00FD1B75" w:rsidP="009D1328">
            <w:pPr>
              <w:pStyle w:val="NoSpacing"/>
              <w:rPr>
                <w:rFonts w:ascii="Verdana" w:hAnsi="Verdana"/>
                <w:i/>
                <w:iCs/>
              </w:rPr>
            </w:pPr>
          </w:p>
          <w:p w14:paraId="51389E09" w14:textId="30A9BA92" w:rsidR="00FD1B75" w:rsidRPr="00A7571C" w:rsidRDefault="00FD1B75" w:rsidP="009D1328">
            <w:pPr>
              <w:pStyle w:val="NoSpacing"/>
              <w:rPr>
                <w:rFonts w:ascii="Verdana" w:hAnsi="Verdana"/>
                <w:bCs/>
                <w:i/>
                <w:iCs/>
              </w:rPr>
            </w:pPr>
            <w:r w:rsidRPr="00A7571C">
              <w:rPr>
                <w:rFonts w:ascii="Verdana" w:hAnsi="Verdana"/>
                <w:i/>
                <w:iCs/>
              </w:rPr>
              <w:t xml:space="preserve">across all level 3 programmes, </w:t>
            </w:r>
            <w:r w:rsidRPr="00A7571C">
              <w:rPr>
                <w:rFonts w:ascii="Verdana" w:hAnsi="Verdana"/>
                <w:b/>
                <w:bCs/>
                <w:i/>
                <w:iCs/>
              </w:rPr>
              <w:t>disadvantaged students</w:t>
            </w:r>
            <w:r w:rsidRPr="00A7571C">
              <w:rPr>
                <w:rFonts w:ascii="Verdana" w:hAnsi="Verdana"/>
                <w:i/>
                <w:iCs/>
              </w:rPr>
              <w:t xml:space="preserve"> had achieved higher grades, again very much contrary to the national picture</w:t>
            </w:r>
            <w:r w:rsidR="000F1A19" w:rsidRPr="00A7571C">
              <w:rPr>
                <w:rFonts w:ascii="Verdana" w:hAnsi="Verdana"/>
                <w:i/>
                <w:iCs/>
              </w:rPr>
              <w:t xml:space="preserve"> - a</w:t>
            </w:r>
            <w:r w:rsidRPr="00A7571C">
              <w:rPr>
                <w:rFonts w:ascii="Verdana" w:hAnsi="Verdana"/>
                <w:i/>
                <w:iCs/>
              </w:rPr>
              <w:t xml:space="preserve">cross level 2 programmes (including GCSE) disadvantaged students were less likely to achieve high grades, although they achieved at greater rates;  </w:t>
            </w:r>
          </w:p>
          <w:p w14:paraId="4675D606" w14:textId="77777777" w:rsidR="00FD1B75" w:rsidRPr="00A7571C" w:rsidRDefault="00FD1B75" w:rsidP="009D1328">
            <w:pPr>
              <w:pStyle w:val="NoSpacing"/>
              <w:rPr>
                <w:rFonts w:ascii="Verdana" w:hAnsi="Verdana"/>
                <w:bCs/>
                <w:i/>
                <w:iCs/>
              </w:rPr>
            </w:pPr>
          </w:p>
          <w:p w14:paraId="64B2B0CC" w14:textId="50925AD8" w:rsidR="00083798" w:rsidRPr="00A7571C" w:rsidRDefault="00EE6A43" w:rsidP="009D1328">
            <w:pPr>
              <w:pStyle w:val="NoSpacing"/>
              <w:rPr>
                <w:rFonts w:ascii="Verdana" w:hAnsi="Verdana"/>
                <w:i/>
                <w:iCs/>
              </w:rPr>
            </w:pPr>
            <w:r w:rsidRPr="00A7571C">
              <w:rPr>
                <w:rFonts w:ascii="Verdana" w:hAnsi="Verdana"/>
                <w:i/>
                <w:iCs/>
              </w:rPr>
              <w:t>83% of female students had met their target grades, with the equivalent figure for males being 73%;</w:t>
            </w:r>
          </w:p>
          <w:p w14:paraId="19B3EEA8" w14:textId="26D762DF" w:rsidR="00EE6A43" w:rsidRPr="00A7571C" w:rsidRDefault="00EE6A43" w:rsidP="009D1328">
            <w:pPr>
              <w:pStyle w:val="NoSpacing"/>
              <w:rPr>
                <w:rFonts w:ascii="Verdana" w:hAnsi="Verdana"/>
                <w:bCs/>
                <w:i/>
                <w:iCs/>
              </w:rPr>
            </w:pPr>
          </w:p>
          <w:p w14:paraId="2F63823B" w14:textId="75C22572" w:rsidR="00EE6A43" w:rsidRPr="00A7571C" w:rsidRDefault="00EE6A43" w:rsidP="009D1328">
            <w:pPr>
              <w:pStyle w:val="NoSpacing"/>
              <w:rPr>
                <w:rFonts w:ascii="Verdana" w:hAnsi="Verdana"/>
                <w:i/>
                <w:iCs/>
              </w:rPr>
            </w:pPr>
            <w:r w:rsidRPr="00A7571C">
              <w:rPr>
                <w:rFonts w:ascii="Verdana" w:hAnsi="Verdana"/>
                <w:i/>
                <w:iCs/>
              </w:rPr>
              <w:lastRenderedPageBreak/>
              <w:t xml:space="preserve">analysis of level 3 progress by the largest </w:t>
            </w:r>
            <w:r w:rsidRPr="00A7571C">
              <w:rPr>
                <w:rFonts w:ascii="Verdana" w:hAnsi="Verdana"/>
                <w:b/>
                <w:i/>
                <w:iCs/>
              </w:rPr>
              <w:t>ethnic groups</w:t>
            </w:r>
            <w:r w:rsidRPr="00A7571C">
              <w:rPr>
                <w:rFonts w:ascii="Verdana" w:hAnsi="Verdana"/>
                <w:i/>
                <w:iCs/>
              </w:rPr>
              <w:t xml:space="preserve"> had shown some variations (although no strong trends) across level 3, with 69% of Caribbean students meeting their targets on QCF courses, as opposed to 78% of African students and 82% of Pakistani students – however, Caribbean students had outperformed their peers on the newer RQF qualifications, with 88% meeting target grades, as opposed to 75% of African students and 83% of Pakistani students (a similar pattern had been discerned on A level programmes where 90% of Caribbean students met their target grades, compared to 74% of African students and 84% of Pakistani students);</w:t>
            </w:r>
          </w:p>
          <w:p w14:paraId="547E06DC" w14:textId="34238592" w:rsidR="00EE6A43" w:rsidRPr="00A7571C" w:rsidRDefault="00EE6A43" w:rsidP="009D1328">
            <w:pPr>
              <w:pStyle w:val="NoSpacing"/>
              <w:rPr>
                <w:rFonts w:ascii="Verdana" w:hAnsi="Verdana"/>
                <w:i/>
                <w:iCs/>
              </w:rPr>
            </w:pPr>
          </w:p>
          <w:p w14:paraId="51C7EEF4" w14:textId="734C1486" w:rsidR="00EE6A43" w:rsidRPr="00A7571C" w:rsidRDefault="00EE6A43" w:rsidP="009D1328">
            <w:pPr>
              <w:pStyle w:val="NoSpacing"/>
              <w:rPr>
                <w:rFonts w:ascii="Verdana" w:hAnsi="Verdana"/>
                <w:bCs/>
                <w:i/>
                <w:iCs/>
              </w:rPr>
            </w:pPr>
            <w:r w:rsidRPr="00A7571C">
              <w:rPr>
                <w:rFonts w:ascii="Verdana" w:hAnsi="Verdana"/>
                <w:bCs/>
                <w:i/>
                <w:iCs/>
              </w:rPr>
              <w:t>attendance had been good throughout most of the year, and was slightly improved by comparison with 2019-20;</w:t>
            </w:r>
          </w:p>
          <w:p w14:paraId="276B9D04" w14:textId="1A8EE651" w:rsidR="00EE6A43" w:rsidRPr="00A7571C" w:rsidRDefault="00EE6A43" w:rsidP="009D1328">
            <w:pPr>
              <w:pStyle w:val="NoSpacing"/>
              <w:rPr>
                <w:rFonts w:ascii="Verdana" w:hAnsi="Verdana"/>
                <w:bCs/>
                <w:i/>
                <w:iCs/>
              </w:rPr>
            </w:pPr>
          </w:p>
          <w:p w14:paraId="4A73B4F2" w14:textId="77777777" w:rsidR="00EE6A43" w:rsidRPr="00A7571C" w:rsidRDefault="00EE6A43" w:rsidP="009D1328">
            <w:pPr>
              <w:pStyle w:val="NoSpacing"/>
              <w:rPr>
                <w:rFonts w:ascii="Verdana" w:hAnsi="Verdana"/>
              </w:rPr>
            </w:pPr>
            <w:r w:rsidRPr="00A7571C">
              <w:rPr>
                <w:rFonts w:ascii="Verdana" w:hAnsi="Verdana"/>
                <w:i/>
                <w:iCs/>
              </w:rPr>
              <w:t xml:space="preserve">rates of internal progression are high at this point, and above College targets; </w:t>
            </w:r>
            <w:r w:rsidRPr="00A7571C">
              <w:rPr>
                <w:rFonts w:ascii="Verdana" w:hAnsi="Verdana"/>
              </w:rPr>
              <w:t>and</w:t>
            </w:r>
          </w:p>
          <w:p w14:paraId="74D4A638" w14:textId="77777777" w:rsidR="00EE6A43" w:rsidRPr="00A7571C" w:rsidRDefault="00EE6A43" w:rsidP="009D1328">
            <w:pPr>
              <w:pStyle w:val="NoSpacing"/>
              <w:rPr>
                <w:rFonts w:ascii="Verdana" w:hAnsi="Verdana"/>
              </w:rPr>
            </w:pPr>
          </w:p>
          <w:p w14:paraId="772666B2" w14:textId="6357FDF9" w:rsidR="00EE6A43" w:rsidRPr="00A7571C" w:rsidRDefault="00EE6A43" w:rsidP="009D1328">
            <w:pPr>
              <w:pStyle w:val="NoSpacing"/>
              <w:rPr>
                <w:rFonts w:ascii="Verdana" w:hAnsi="Verdana"/>
                <w:bCs/>
                <w:i/>
                <w:iCs/>
              </w:rPr>
            </w:pPr>
            <w:r w:rsidRPr="00A7571C">
              <w:rPr>
                <w:rFonts w:ascii="Verdana" w:hAnsi="Verdana"/>
                <w:i/>
                <w:iCs/>
              </w:rPr>
              <w:t>early indications suggest that 14% of students have progressed to Russell Group universities, a better rate than in previous years.</w:t>
            </w:r>
          </w:p>
          <w:p w14:paraId="549BCB20" w14:textId="77777777" w:rsidR="00EE6A43" w:rsidRPr="00A7571C" w:rsidRDefault="00EE6A43" w:rsidP="009D1328">
            <w:pPr>
              <w:pStyle w:val="NoSpacing"/>
              <w:rPr>
                <w:rFonts w:ascii="Verdana" w:hAnsi="Verdana"/>
                <w:i/>
                <w:iCs/>
              </w:rPr>
            </w:pPr>
          </w:p>
          <w:p w14:paraId="476C1057" w14:textId="4BBF15BD" w:rsidR="00CE7A5B" w:rsidRPr="00A7571C" w:rsidRDefault="005C2371" w:rsidP="005C2371">
            <w:pPr>
              <w:pStyle w:val="NoSpacing"/>
              <w:rPr>
                <w:rFonts w:ascii="Verdana" w:hAnsi="Verdana"/>
              </w:rPr>
            </w:pPr>
            <w:r w:rsidRPr="00A7571C">
              <w:rPr>
                <w:rFonts w:ascii="Verdana" w:hAnsi="Verdana"/>
              </w:rPr>
              <w:t>It was further noted that the teacher-assessed grades had been derived from a rigorous internal College process, and that all those submitted to examination boards had been accepted as representing reasonable judgements.</w:t>
            </w:r>
          </w:p>
          <w:p w14:paraId="7CB1BF8F" w14:textId="4A0ED13A" w:rsidR="005C2371" w:rsidRPr="00A7571C" w:rsidRDefault="005C2371" w:rsidP="005C2371">
            <w:pPr>
              <w:pStyle w:val="NoSpacing"/>
              <w:rPr>
                <w:rFonts w:ascii="Verdana" w:hAnsi="Verdana"/>
              </w:rPr>
            </w:pPr>
          </w:p>
          <w:p w14:paraId="357D76B6" w14:textId="71805834" w:rsidR="005C2371" w:rsidRDefault="005C2371" w:rsidP="005C2371">
            <w:pPr>
              <w:pStyle w:val="NoSpacing"/>
              <w:rPr>
                <w:rFonts w:ascii="Verdana" w:hAnsi="Verdana"/>
              </w:rPr>
            </w:pPr>
            <w:r w:rsidRPr="00A7571C">
              <w:rPr>
                <w:rFonts w:ascii="Verdana" w:hAnsi="Verdana"/>
              </w:rPr>
              <w:t>It is acknowledged that, because of internal assessment, there had been an element of “grade inflation” throughout the education sector, but that it had been least marked among sixth form colleges.</w:t>
            </w:r>
          </w:p>
          <w:p w14:paraId="63C4BAB3" w14:textId="0D3B4FF4" w:rsidR="005214B4" w:rsidRDefault="005214B4" w:rsidP="005C2371">
            <w:pPr>
              <w:pStyle w:val="NoSpacing"/>
              <w:rPr>
                <w:rFonts w:ascii="Verdana" w:hAnsi="Verdana"/>
              </w:rPr>
            </w:pPr>
          </w:p>
          <w:p w14:paraId="7F61AC06" w14:textId="7057EF3D" w:rsidR="005C2371" w:rsidRPr="00A7571C" w:rsidRDefault="005C2371" w:rsidP="005C2371">
            <w:pPr>
              <w:pStyle w:val="NoSpacing"/>
              <w:rPr>
                <w:rFonts w:ascii="Verdana" w:hAnsi="Verdana"/>
              </w:rPr>
            </w:pPr>
            <w:r w:rsidRPr="00A7571C">
              <w:rPr>
                <w:rFonts w:ascii="Verdana" w:hAnsi="Verdana"/>
              </w:rPr>
              <w:t>The Committee Chair asked how the College would transition back to traditional modes of assessment.  In this regard, it was noted that the DfE is proposing a graduated return to standard practices</w:t>
            </w:r>
            <w:r w:rsidR="0009495A" w:rsidRPr="00A7571C">
              <w:rPr>
                <w:rFonts w:ascii="Verdana" w:hAnsi="Verdana"/>
              </w:rPr>
              <w:t>, rather than an immediate resumption of purely external examinations as the basis for judging achievement, though the details of such a step-by-step adjustment would need to be clearly articulated and understood.  In any event, the College intends to maintain its culture of hard work, high expectations, honest feedback to students and the active encouragement of structured independent study, and to reinforce these positive work habits early in the students’ College careers.</w:t>
            </w:r>
          </w:p>
          <w:p w14:paraId="7881E095" w14:textId="2991A3D9" w:rsidR="0009495A" w:rsidRPr="00A7571C" w:rsidRDefault="0009495A" w:rsidP="005C2371">
            <w:pPr>
              <w:pStyle w:val="NoSpacing"/>
              <w:rPr>
                <w:rFonts w:ascii="Verdana" w:hAnsi="Verdana"/>
              </w:rPr>
            </w:pPr>
          </w:p>
          <w:p w14:paraId="0CAE8F91" w14:textId="77777777" w:rsidR="0009495A" w:rsidRPr="00A7571C" w:rsidRDefault="0009495A" w:rsidP="005C2371">
            <w:pPr>
              <w:pStyle w:val="NoSpacing"/>
              <w:rPr>
                <w:rFonts w:ascii="Verdana" w:hAnsi="Verdana"/>
              </w:rPr>
            </w:pPr>
            <w:r w:rsidRPr="00A7571C">
              <w:rPr>
                <w:rFonts w:ascii="Verdana" w:hAnsi="Verdana"/>
              </w:rPr>
              <w:t xml:space="preserve">It was acknowledged that many College entrants lack a developed culture appropriate to learning, and need to acquire and master vital study skills at the earliest opportunity.  </w:t>
            </w:r>
          </w:p>
          <w:p w14:paraId="1BE8400B" w14:textId="77777777" w:rsidR="0009495A" w:rsidRPr="00A7571C" w:rsidRDefault="0009495A" w:rsidP="005C2371">
            <w:pPr>
              <w:pStyle w:val="NoSpacing"/>
              <w:rPr>
                <w:rFonts w:ascii="Verdana" w:hAnsi="Verdana"/>
              </w:rPr>
            </w:pPr>
          </w:p>
          <w:p w14:paraId="53478F14" w14:textId="63FEE31B" w:rsidR="0009495A" w:rsidRPr="00A7571C" w:rsidRDefault="0009495A" w:rsidP="005C2371">
            <w:pPr>
              <w:pStyle w:val="NoSpacing"/>
              <w:rPr>
                <w:rFonts w:ascii="Verdana" w:hAnsi="Verdana"/>
              </w:rPr>
            </w:pPr>
            <w:r w:rsidRPr="00A7571C">
              <w:rPr>
                <w:rFonts w:ascii="Verdana" w:hAnsi="Verdana"/>
              </w:rPr>
              <w:t>A particular anxiety attends the performance of Y12 students entering the College with grades 4 in Maths and English who may have benefitted from the “grade inflation” applying to GCSE results in 2021.</w:t>
            </w:r>
          </w:p>
          <w:p w14:paraId="445B6351" w14:textId="00FDF278" w:rsidR="0009495A" w:rsidRPr="00A7571C" w:rsidRDefault="0009495A" w:rsidP="005C2371">
            <w:pPr>
              <w:pStyle w:val="NoSpacing"/>
              <w:rPr>
                <w:rFonts w:ascii="Verdana" w:hAnsi="Verdana"/>
              </w:rPr>
            </w:pPr>
          </w:p>
          <w:p w14:paraId="294BA97B" w14:textId="2A97560A" w:rsidR="0009495A" w:rsidRPr="00A7571C" w:rsidRDefault="0009495A" w:rsidP="005C2371">
            <w:pPr>
              <w:pStyle w:val="NoSpacing"/>
              <w:rPr>
                <w:rFonts w:ascii="Verdana" w:hAnsi="Verdana"/>
              </w:rPr>
            </w:pPr>
            <w:r w:rsidRPr="00A7571C">
              <w:rPr>
                <w:rFonts w:ascii="Verdana" w:hAnsi="Verdana"/>
              </w:rPr>
              <w:t xml:space="preserve">Questions were asked in relation to Applied Law and Applied Science grades, and it was noted that special circumstances affecting those courses in the 2020-21 year furnished explanations for the less positive outcomes and </w:t>
            </w:r>
            <w:r w:rsidR="00B17BAF" w:rsidRPr="00A7571C">
              <w:rPr>
                <w:rFonts w:ascii="Verdana" w:hAnsi="Verdana"/>
              </w:rPr>
              <w:t>ar</w:t>
            </w:r>
            <w:r w:rsidRPr="00A7571C">
              <w:rPr>
                <w:rFonts w:ascii="Verdana" w:hAnsi="Verdana"/>
              </w:rPr>
              <w:t>e being addressed.</w:t>
            </w:r>
          </w:p>
          <w:p w14:paraId="0ACC784E" w14:textId="6130046D" w:rsidR="00B17BAF" w:rsidRPr="00A7571C" w:rsidRDefault="00B17BAF" w:rsidP="005C2371">
            <w:pPr>
              <w:pStyle w:val="NoSpacing"/>
              <w:rPr>
                <w:rFonts w:ascii="Verdana" w:hAnsi="Verdana"/>
              </w:rPr>
            </w:pPr>
          </w:p>
          <w:p w14:paraId="0A26BD5E" w14:textId="230C81AD" w:rsidR="00B17BAF" w:rsidRPr="00A7571C" w:rsidRDefault="00B17BAF" w:rsidP="005C2371">
            <w:pPr>
              <w:pStyle w:val="NoSpacing"/>
              <w:rPr>
                <w:rFonts w:ascii="Verdana" w:hAnsi="Verdana"/>
              </w:rPr>
            </w:pPr>
            <w:r w:rsidRPr="00A7571C">
              <w:rPr>
                <w:rFonts w:ascii="Verdana" w:hAnsi="Verdana"/>
              </w:rPr>
              <w:t xml:space="preserve">GCSE Maths had benefitted from a more stable teaching team under improved leadership.  Significantly, there had been no student complaints about teaching </w:t>
            </w:r>
            <w:r w:rsidRPr="00A7571C">
              <w:rPr>
                <w:rFonts w:ascii="Verdana" w:hAnsi="Verdana"/>
              </w:rPr>
              <w:lastRenderedPageBreak/>
              <w:t>standards during 2020-21.  However, the progress of some students in A level Maths continues to provide a challenge.</w:t>
            </w:r>
          </w:p>
          <w:p w14:paraId="31D78352" w14:textId="33D5A07B" w:rsidR="00B17BAF" w:rsidRPr="00A7571C" w:rsidRDefault="00B17BAF" w:rsidP="005C2371">
            <w:pPr>
              <w:pStyle w:val="NoSpacing"/>
              <w:rPr>
                <w:rFonts w:ascii="Verdana" w:hAnsi="Verdana"/>
              </w:rPr>
            </w:pPr>
          </w:p>
          <w:p w14:paraId="257A514C" w14:textId="144347E5" w:rsidR="00B17BAF" w:rsidRPr="00A7571C" w:rsidRDefault="00B17BAF" w:rsidP="005C2371">
            <w:pPr>
              <w:pStyle w:val="NoSpacing"/>
              <w:rPr>
                <w:rFonts w:ascii="Verdana" w:hAnsi="Verdana"/>
              </w:rPr>
            </w:pPr>
            <w:r w:rsidRPr="00A7571C">
              <w:rPr>
                <w:rFonts w:ascii="Verdana" w:hAnsi="Verdana"/>
              </w:rPr>
              <w:t>It was observed that female students had outperformed male students, though not in a way disproportionate in terms of national averages.  It was thought that teacher-assessed grades might suit female students better than their male counterparts, some of whom respond better to the challenge of a culminating examination.</w:t>
            </w:r>
          </w:p>
          <w:p w14:paraId="7429D74F" w14:textId="0435D79B" w:rsidR="00B17BAF" w:rsidRPr="00A7571C" w:rsidRDefault="00B17BAF" w:rsidP="005C2371">
            <w:pPr>
              <w:pStyle w:val="NoSpacing"/>
              <w:rPr>
                <w:rFonts w:ascii="Verdana" w:hAnsi="Verdana"/>
              </w:rPr>
            </w:pPr>
          </w:p>
          <w:p w14:paraId="209D09FC" w14:textId="64308921" w:rsidR="00B17BAF" w:rsidRPr="00A7571C" w:rsidRDefault="00B17BAF" w:rsidP="005C2371">
            <w:pPr>
              <w:pStyle w:val="NoSpacing"/>
              <w:rPr>
                <w:rFonts w:ascii="Verdana" w:hAnsi="Verdana"/>
              </w:rPr>
            </w:pPr>
            <w:r w:rsidRPr="00A7571C">
              <w:rPr>
                <w:rFonts w:ascii="Verdana" w:hAnsi="Verdana"/>
              </w:rPr>
              <w:t xml:space="preserve">Whereas students identifying themselves as Caribbean had under-performed </w:t>
            </w:r>
            <w:r w:rsidR="009A3852" w:rsidRPr="00A7571C">
              <w:rPr>
                <w:rFonts w:ascii="Verdana" w:hAnsi="Verdana"/>
              </w:rPr>
              <w:t>where achievement is determined by</w:t>
            </w:r>
            <w:r w:rsidRPr="00A7571C">
              <w:rPr>
                <w:rFonts w:ascii="Verdana" w:hAnsi="Verdana"/>
              </w:rPr>
              <w:t xml:space="preserve"> a single examination, this difference had not been observed in the context of teacher-assessed grades.  However, an historic correlation between lower attendance and poorer examination outcomes might </w:t>
            </w:r>
            <w:r w:rsidR="009A3852" w:rsidRPr="00A7571C">
              <w:rPr>
                <w:rFonts w:ascii="Verdana" w:hAnsi="Verdana"/>
              </w:rPr>
              <w:t>once more be determinative</w:t>
            </w:r>
            <w:r w:rsidRPr="00A7571C">
              <w:rPr>
                <w:rFonts w:ascii="Verdana" w:hAnsi="Verdana"/>
              </w:rPr>
              <w:t xml:space="preserve"> for these students if their attendance is not improved when single examinations once more become the norm.</w:t>
            </w:r>
          </w:p>
          <w:p w14:paraId="01F11AD6" w14:textId="199F3546" w:rsidR="00B17BAF" w:rsidRPr="00A7571C" w:rsidRDefault="00B17BAF" w:rsidP="005C2371">
            <w:pPr>
              <w:pStyle w:val="NoSpacing"/>
              <w:rPr>
                <w:rFonts w:ascii="Verdana" w:hAnsi="Verdana"/>
              </w:rPr>
            </w:pPr>
          </w:p>
          <w:p w14:paraId="0BCB7462" w14:textId="4A48BBD3" w:rsidR="00B17BAF" w:rsidRPr="00A7571C" w:rsidRDefault="00B17BAF" w:rsidP="005C2371">
            <w:pPr>
              <w:pStyle w:val="NoSpacing"/>
              <w:rPr>
                <w:rFonts w:ascii="Verdana" w:hAnsi="Verdana"/>
              </w:rPr>
            </w:pPr>
            <w:r w:rsidRPr="00A7571C">
              <w:rPr>
                <w:rFonts w:ascii="Verdana" w:hAnsi="Verdana"/>
              </w:rPr>
              <w:t>It was agreed that the impact of disadvantage is the primary factor on a student’s ability to attend classes, study effectively and achieve well.</w:t>
            </w:r>
          </w:p>
          <w:p w14:paraId="635A6C5C" w14:textId="1EFBF60B" w:rsidR="00B17BAF" w:rsidRPr="00A7571C" w:rsidRDefault="00B17BAF" w:rsidP="005C2371">
            <w:pPr>
              <w:pStyle w:val="NoSpacing"/>
              <w:rPr>
                <w:rFonts w:ascii="Verdana" w:hAnsi="Verdana"/>
              </w:rPr>
            </w:pPr>
          </w:p>
          <w:p w14:paraId="431AB7B2" w14:textId="2D1CD0C9" w:rsidR="00B17BAF" w:rsidRPr="00A7571C" w:rsidRDefault="00B17BAF" w:rsidP="005C2371">
            <w:pPr>
              <w:pStyle w:val="NoSpacing"/>
              <w:rPr>
                <w:rFonts w:ascii="Verdana" w:hAnsi="Verdana"/>
              </w:rPr>
            </w:pPr>
            <w:r w:rsidRPr="00A7571C">
              <w:rPr>
                <w:rFonts w:ascii="Verdana" w:hAnsi="Verdana"/>
              </w:rPr>
              <w:t>Members were gratified to note</w:t>
            </w:r>
            <w:r w:rsidR="008413F0" w:rsidRPr="00A7571C">
              <w:rPr>
                <w:rFonts w:ascii="Verdana" w:hAnsi="Verdana"/>
              </w:rPr>
              <w:t xml:space="preserve"> that</w:t>
            </w:r>
            <w:r w:rsidRPr="00A7571C">
              <w:rPr>
                <w:rFonts w:ascii="Verdana" w:hAnsi="Verdana"/>
              </w:rPr>
              <w:t xml:space="preserve"> the progress made by the College is being well-sustained</w:t>
            </w:r>
            <w:r w:rsidR="008413F0" w:rsidRPr="00A7571C">
              <w:rPr>
                <w:rFonts w:ascii="Verdana" w:hAnsi="Verdana"/>
              </w:rPr>
              <w:t xml:space="preserve"> against sector benchmarks, with </w:t>
            </w:r>
            <w:r w:rsidR="009A3852" w:rsidRPr="00A7571C">
              <w:rPr>
                <w:rFonts w:ascii="Verdana" w:hAnsi="Verdana"/>
              </w:rPr>
              <w:t>the</w:t>
            </w:r>
            <w:r w:rsidR="008413F0" w:rsidRPr="00A7571C">
              <w:rPr>
                <w:rFonts w:ascii="Verdana" w:hAnsi="Verdana"/>
              </w:rPr>
              <w:t xml:space="preserve"> overall course of improvement being continued.</w:t>
            </w:r>
          </w:p>
          <w:p w14:paraId="6EEB0489" w14:textId="262DD5B4" w:rsidR="005C2371" w:rsidRPr="00A7571C" w:rsidRDefault="005C2371" w:rsidP="005C2371">
            <w:pPr>
              <w:pStyle w:val="NoSpacing"/>
              <w:rPr>
                <w:rFonts w:ascii="Verdana" w:hAnsi="Verdana"/>
              </w:rPr>
            </w:pPr>
          </w:p>
        </w:tc>
      </w:tr>
      <w:tr w:rsidR="00CE7A5B" w:rsidRPr="00205776" w14:paraId="59D3B7D4" w14:textId="77777777" w:rsidTr="007B6893">
        <w:tc>
          <w:tcPr>
            <w:tcW w:w="534" w:type="dxa"/>
          </w:tcPr>
          <w:p w14:paraId="077AB744" w14:textId="17BDB6E2" w:rsidR="00CE7A5B" w:rsidRPr="00205776" w:rsidRDefault="00CE7A5B" w:rsidP="00CE7A5B">
            <w:pPr>
              <w:rPr>
                <w:rFonts w:ascii="Verdana" w:hAnsi="Verdana"/>
                <w:b/>
                <w:i/>
                <w:iCs/>
              </w:rPr>
            </w:pPr>
            <w:r>
              <w:rPr>
                <w:rFonts w:ascii="Verdana" w:hAnsi="Verdana"/>
                <w:b/>
              </w:rPr>
              <w:lastRenderedPageBreak/>
              <w:t>7</w:t>
            </w:r>
          </w:p>
        </w:tc>
        <w:tc>
          <w:tcPr>
            <w:tcW w:w="9213" w:type="dxa"/>
          </w:tcPr>
          <w:p w14:paraId="641DBB90" w14:textId="77777777" w:rsidR="00CE7A5B" w:rsidRDefault="00CE7A5B" w:rsidP="00CE7A5B">
            <w:pPr>
              <w:rPr>
                <w:rFonts w:ascii="Verdana" w:hAnsi="Verdana"/>
                <w:b/>
              </w:rPr>
            </w:pPr>
            <w:r>
              <w:rPr>
                <w:rFonts w:ascii="Verdana" w:hAnsi="Verdana"/>
                <w:b/>
              </w:rPr>
              <w:t xml:space="preserve">College Improvement and Development Plan 2020-21 </w:t>
            </w:r>
          </w:p>
          <w:p w14:paraId="63B17DBE" w14:textId="77777777" w:rsidR="00CE7A5B" w:rsidRDefault="00CE7A5B" w:rsidP="00CE7A5B">
            <w:pPr>
              <w:rPr>
                <w:rFonts w:ascii="Verdana" w:hAnsi="Verdana"/>
                <w:b/>
              </w:rPr>
            </w:pPr>
          </w:p>
          <w:p w14:paraId="2B31DA96" w14:textId="3D07A66A" w:rsidR="00CE7A5B" w:rsidRDefault="00CE7A5B" w:rsidP="00CE7A5B">
            <w:pPr>
              <w:rPr>
                <w:rFonts w:ascii="Verdana" w:hAnsi="Verdana"/>
                <w:bCs/>
              </w:rPr>
            </w:pPr>
            <w:r>
              <w:rPr>
                <w:rFonts w:ascii="Verdana" w:hAnsi="Verdana"/>
                <w:bCs/>
              </w:rPr>
              <w:t>The</w:t>
            </w:r>
            <w:r w:rsidRPr="00896BAE">
              <w:rPr>
                <w:rFonts w:ascii="Verdana" w:hAnsi="Verdana"/>
                <w:bCs/>
              </w:rPr>
              <w:t xml:space="preserve"> College </w:t>
            </w:r>
            <w:r>
              <w:rPr>
                <w:rFonts w:ascii="Verdana" w:hAnsi="Verdana"/>
                <w:bCs/>
              </w:rPr>
              <w:t>Development Plan updated by the Principal</w:t>
            </w:r>
            <w:r w:rsidRPr="00896BAE">
              <w:rPr>
                <w:rFonts w:ascii="Verdana" w:hAnsi="Verdana"/>
                <w:bCs/>
              </w:rPr>
              <w:t xml:space="preserve"> was received</w:t>
            </w:r>
            <w:r>
              <w:rPr>
                <w:rFonts w:ascii="Verdana" w:hAnsi="Verdana"/>
                <w:bCs/>
              </w:rPr>
              <w:t xml:space="preserve"> and considered.</w:t>
            </w:r>
            <w:r w:rsidR="008413F0">
              <w:rPr>
                <w:rFonts w:ascii="Verdana" w:hAnsi="Verdana"/>
                <w:bCs/>
              </w:rPr>
              <w:t xml:space="preserve">  It was noted that it constitutes the plan’s final iteration ahead of an Ofsted inspection.</w:t>
            </w:r>
          </w:p>
          <w:p w14:paraId="329B69EF" w14:textId="77777777" w:rsidR="00CE7A5B" w:rsidRDefault="00CE7A5B" w:rsidP="00CE7A5B">
            <w:pPr>
              <w:rPr>
                <w:rFonts w:ascii="Verdana" w:hAnsi="Verdana"/>
                <w:bCs/>
              </w:rPr>
            </w:pPr>
          </w:p>
          <w:p w14:paraId="09D56015" w14:textId="0F3BCD92" w:rsidR="00CE7A5B" w:rsidRPr="00900794" w:rsidRDefault="00CE7A5B" w:rsidP="00CE7A5B">
            <w:pPr>
              <w:rPr>
                <w:rFonts w:ascii="Verdana" w:hAnsi="Verdana"/>
                <w:b/>
              </w:rPr>
            </w:pPr>
            <w:r>
              <w:rPr>
                <w:rFonts w:ascii="Verdana" w:hAnsi="Verdana"/>
                <w:bCs/>
              </w:rPr>
              <w:t>Measures falling within the Committee’s remit were noted in relation to three of the four development themes for the College, namely:</w:t>
            </w:r>
          </w:p>
        </w:tc>
      </w:tr>
    </w:tbl>
    <w:p w14:paraId="27A9F495" w14:textId="3E18CA40" w:rsidR="00896BAE" w:rsidRDefault="00896BAE" w:rsidP="00402468"/>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
        <w:gridCol w:w="297"/>
        <w:gridCol w:w="8929"/>
      </w:tblGrid>
      <w:tr w:rsidR="00896BAE" w:rsidRPr="008578A5" w14:paraId="7BCDF9A1" w14:textId="77777777" w:rsidTr="007B6893">
        <w:tc>
          <w:tcPr>
            <w:tcW w:w="521" w:type="dxa"/>
          </w:tcPr>
          <w:p w14:paraId="12182C51" w14:textId="77777777" w:rsidR="00896BAE" w:rsidRPr="004670C3" w:rsidRDefault="00896BAE" w:rsidP="00085599">
            <w:pPr>
              <w:pStyle w:val="NoSpacing"/>
              <w:rPr>
                <w:bCs/>
              </w:rPr>
            </w:pPr>
          </w:p>
        </w:tc>
        <w:tc>
          <w:tcPr>
            <w:tcW w:w="297" w:type="dxa"/>
          </w:tcPr>
          <w:p w14:paraId="4468ECAD" w14:textId="77777777" w:rsidR="00896BAE" w:rsidRPr="005D0A52" w:rsidRDefault="00896BAE" w:rsidP="00085599">
            <w:pPr>
              <w:pStyle w:val="NoSpacing"/>
              <w:rPr>
                <w:b/>
              </w:rPr>
            </w:pPr>
            <w:r w:rsidRPr="005D0A52">
              <w:rPr>
                <w:b/>
              </w:rPr>
              <w:t>.</w:t>
            </w:r>
          </w:p>
        </w:tc>
        <w:tc>
          <w:tcPr>
            <w:tcW w:w="8929" w:type="dxa"/>
          </w:tcPr>
          <w:p w14:paraId="79FD59BF" w14:textId="77777777" w:rsidR="00BC7DA3" w:rsidRPr="004670C3" w:rsidRDefault="00BC7DA3" w:rsidP="00BC7DA3">
            <w:pPr>
              <w:rPr>
                <w:rFonts w:ascii="Verdana" w:hAnsi="Verdana"/>
                <w:bCs/>
              </w:rPr>
            </w:pPr>
            <w:r w:rsidRPr="004670C3">
              <w:rPr>
                <w:rFonts w:ascii="Verdana" w:hAnsi="Verdana"/>
                <w:bCs/>
              </w:rPr>
              <w:t xml:space="preserve">how students demonstrate engagement with </w:t>
            </w:r>
            <w:r>
              <w:rPr>
                <w:rFonts w:ascii="Verdana" w:hAnsi="Verdana"/>
                <w:bCs/>
              </w:rPr>
              <w:t>the College’s</w:t>
            </w:r>
            <w:r w:rsidRPr="004670C3">
              <w:rPr>
                <w:rFonts w:ascii="Verdana" w:hAnsi="Verdana"/>
                <w:bCs/>
              </w:rPr>
              <w:t xml:space="preserve"> mission through their values and behaviours;</w:t>
            </w:r>
          </w:p>
          <w:p w14:paraId="084C8D1B" w14:textId="3C6BCA21" w:rsidR="00896BAE" w:rsidRPr="004670C3" w:rsidRDefault="00896BAE" w:rsidP="00085599">
            <w:pPr>
              <w:contextualSpacing/>
              <w:rPr>
                <w:rFonts w:ascii="Verdana" w:hAnsi="Verdana"/>
                <w:bCs/>
              </w:rPr>
            </w:pPr>
          </w:p>
        </w:tc>
      </w:tr>
      <w:tr w:rsidR="00896BAE" w:rsidRPr="00833A20" w14:paraId="0F5085F1" w14:textId="77777777" w:rsidTr="007B6893">
        <w:tc>
          <w:tcPr>
            <w:tcW w:w="521" w:type="dxa"/>
          </w:tcPr>
          <w:p w14:paraId="27EE97DE" w14:textId="77777777" w:rsidR="00896BAE" w:rsidRPr="004670C3" w:rsidRDefault="00896BAE" w:rsidP="00085599">
            <w:pPr>
              <w:pStyle w:val="NoSpacing"/>
              <w:rPr>
                <w:bCs/>
              </w:rPr>
            </w:pPr>
          </w:p>
        </w:tc>
        <w:tc>
          <w:tcPr>
            <w:tcW w:w="297" w:type="dxa"/>
          </w:tcPr>
          <w:p w14:paraId="0744D53A" w14:textId="77777777" w:rsidR="00896BAE" w:rsidRPr="005D0A52" w:rsidRDefault="00896BAE" w:rsidP="00085599">
            <w:pPr>
              <w:pStyle w:val="NoSpacing"/>
              <w:rPr>
                <w:b/>
              </w:rPr>
            </w:pPr>
            <w:r w:rsidRPr="005D0A52">
              <w:rPr>
                <w:b/>
              </w:rPr>
              <w:t>.</w:t>
            </w:r>
          </w:p>
        </w:tc>
        <w:tc>
          <w:tcPr>
            <w:tcW w:w="8929" w:type="dxa"/>
          </w:tcPr>
          <w:p w14:paraId="4B50805E" w14:textId="7DE2E238" w:rsidR="004670C3" w:rsidRPr="00160C97" w:rsidRDefault="00BC7DA3" w:rsidP="00085599">
            <w:pPr>
              <w:rPr>
                <w:rFonts w:ascii="Verdana" w:hAnsi="Verdana"/>
                <w:bCs/>
                <w:i/>
                <w:iCs/>
              </w:rPr>
            </w:pPr>
            <w:r w:rsidRPr="004670C3">
              <w:rPr>
                <w:rFonts w:ascii="Verdana" w:hAnsi="Verdana"/>
                <w:bCs/>
              </w:rPr>
              <w:t>how teams and individual staff develop skills, make progress and take on challenges</w:t>
            </w:r>
            <w:r>
              <w:rPr>
                <w:rFonts w:ascii="Verdana" w:hAnsi="Verdana"/>
                <w:bCs/>
              </w:rPr>
              <w:t>;</w:t>
            </w:r>
            <w:r w:rsidR="00160C97">
              <w:rPr>
                <w:rFonts w:ascii="Verdana" w:hAnsi="Verdana"/>
                <w:bCs/>
              </w:rPr>
              <w:t xml:space="preserve"> </w:t>
            </w:r>
            <w:r w:rsidR="00160C97">
              <w:rPr>
                <w:rFonts w:ascii="Verdana" w:hAnsi="Verdana"/>
                <w:bCs/>
                <w:i/>
                <w:iCs/>
              </w:rPr>
              <w:t>and</w:t>
            </w:r>
          </w:p>
          <w:p w14:paraId="76B4C0AC" w14:textId="224850CD" w:rsidR="00BC7DA3" w:rsidRPr="004670C3" w:rsidRDefault="00BC7DA3" w:rsidP="00085599">
            <w:pPr>
              <w:rPr>
                <w:rFonts w:ascii="Verdana" w:hAnsi="Verdana" w:cs="Arial"/>
                <w:bCs/>
              </w:rPr>
            </w:pPr>
          </w:p>
        </w:tc>
      </w:tr>
      <w:tr w:rsidR="00896BAE" w:rsidRPr="004975FD" w14:paraId="7646FAF8" w14:textId="77777777" w:rsidTr="007B6893">
        <w:tc>
          <w:tcPr>
            <w:tcW w:w="521" w:type="dxa"/>
          </w:tcPr>
          <w:p w14:paraId="1F2F20FB" w14:textId="77777777" w:rsidR="00896BAE" w:rsidRPr="004670C3" w:rsidRDefault="00896BAE" w:rsidP="00085599">
            <w:pPr>
              <w:pStyle w:val="NoSpacing"/>
              <w:rPr>
                <w:bCs/>
              </w:rPr>
            </w:pPr>
          </w:p>
        </w:tc>
        <w:tc>
          <w:tcPr>
            <w:tcW w:w="297" w:type="dxa"/>
          </w:tcPr>
          <w:p w14:paraId="6E10FA06" w14:textId="77777777" w:rsidR="00896BAE" w:rsidRPr="005D0A52" w:rsidRDefault="00896BAE" w:rsidP="00085599">
            <w:pPr>
              <w:pStyle w:val="NoSpacing"/>
              <w:rPr>
                <w:b/>
              </w:rPr>
            </w:pPr>
            <w:r w:rsidRPr="005D0A52">
              <w:rPr>
                <w:b/>
              </w:rPr>
              <w:t>.</w:t>
            </w:r>
          </w:p>
        </w:tc>
        <w:tc>
          <w:tcPr>
            <w:tcW w:w="8929" w:type="dxa"/>
          </w:tcPr>
          <w:p w14:paraId="1C54A4E7" w14:textId="7A320B1F" w:rsidR="004670C3" w:rsidRPr="00BC7DA3" w:rsidRDefault="009A3852" w:rsidP="00085599">
            <w:pPr>
              <w:rPr>
                <w:rFonts w:ascii="Verdana" w:hAnsi="Verdana"/>
                <w:bCs/>
                <w:i/>
                <w:iCs/>
              </w:rPr>
            </w:pPr>
            <w:r>
              <w:rPr>
                <w:rFonts w:ascii="Verdana" w:hAnsi="Verdana"/>
                <w:bCs/>
              </w:rPr>
              <w:t xml:space="preserve">the </w:t>
            </w:r>
            <w:r w:rsidR="00BC7DA3" w:rsidRPr="004670C3">
              <w:rPr>
                <w:rFonts w:ascii="Verdana" w:hAnsi="Verdana"/>
                <w:bCs/>
              </w:rPr>
              <w:t>optimal use of all spaces with clear routines</w:t>
            </w:r>
            <w:r w:rsidR="00160C97">
              <w:rPr>
                <w:rFonts w:ascii="Verdana" w:hAnsi="Verdana"/>
                <w:bCs/>
              </w:rPr>
              <w:t>.</w:t>
            </w:r>
          </w:p>
        </w:tc>
      </w:tr>
    </w:tbl>
    <w:p w14:paraId="21F38C3D" w14:textId="2F1A82C9" w:rsidR="00896BAE" w:rsidRDefault="00896BAE" w:rsidP="00402468"/>
    <w:tbl>
      <w:tblPr>
        <w:tblW w:w="9747" w:type="dxa"/>
        <w:tblLook w:val="04A0" w:firstRow="1" w:lastRow="0" w:firstColumn="1" w:lastColumn="0" w:noHBand="0" w:noVBand="1"/>
      </w:tblPr>
      <w:tblGrid>
        <w:gridCol w:w="534"/>
        <w:gridCol w:w="9213"/>
      </w:tblGrid>
      <w:tr w:rsidR="00144E96" w:rsidRPr="0054381C" w14:paraId="6CD62633" w14:textId="77777777" w:rsidTr="007B6893">
        <w:tc>
          <w:tcPr>
            <w:tcW w:w="534" w:type="dxa"/>
          </w:tcPr>
          <w:p w14:paraId="0122C67D" w14:textId="77777777" w:rsidR="00144E96" w:rsidRPr="008E515B" w:rsidRDefault="00144E96" w:rsidP="00085599">
            <w:pPr>
              <w:rPr>
                <w:rFonts w:ascii="Verdana" w:hAnsi="Verdana"/>
                <w:b/>
              </w:rPr>
            </w:pPr>
          </w:p>
        </w:tc>
        <w:tc>
          <w:tcPr>
            <w:tcW w:w="9213" w:type="dxa"/>
          </w:tcPr>
          <w:p w14:paraId="1F443269" w14:textId="0EC9DCF2" w:rsidR="00BC7DA3" w:rsidRPr="0054381C" w:rsidRDefault="00BC7DA3" w:rsidP="00BC7DA3">
            <w:pPr>
              <w:rPr>
                <w:rFonts w:ascii="Verdana" w:hAnsi="Verdana"/>
                <w:bCs/>
              </w:rPr>
            </w:pPr>
            <w:r w:rsidRPr="0054381C">
              <w:rPr>
                <w:rFonts w:ascii="Verdana" w:hAnsi="Verdana"/>
              </w:rPr>
              <w:t>The column, reiterated across all sections of the Plan, “</w:t>
            </w:r>
            <w:r w:rsidR="008413F0">
              <w:rPr>
                <w:rFonts w:ascii="Verdana" w:hAnsi="Verdana"/>
              </w:rPr>
              <w:t xml:space="preserve">Is this action having a </w:t>
            </w:r>
            <w:r w:rsidR="008413F0" w:rsidRPr="008413F0">
              <w:rPr>
                <w:rFonts w:ascii="Verdana" w:hAnsi="Verdana"/>
                <w:i/>
                <w:iCs/>
              </w:rPr>
              <w:t xml:space="preserve">sustained </w:t>
            </w:r>
            <w:r w:rsidR="008413F0">
              <w:rPr>
                <w:rFonts w:ascii="Verdana" w:hAnsi="Verdana"/>
              </w:rPr>
              <w:t>impact</w:t>
            </w:r>
            <w:r w:rsidRPr="0054381C">
              <w:rPr>
                <w:rFonts w:ascii="Verdana" w:hAnsi="Verdana"/>
              </w:rPr>
              <w:t xml:space="preserve">”, </w:t>
            </w:r>
            <w:r w:rsidR="009A3852">
              <w:rPr>
                <w:rFonts w:ascii="Verdana" w:hAnsi="Verdana"/>
              </w:rPr>
              <w:t>record</w:t>
            </w:r>
            <w:r w:rsidR="0043772B" w:rsidRPr="0054381C">
              <w:rPr>
                <w:rFonts w:ascii="Verdana" w:hAnsi="Verdana"/>
              </w:rPr>
              <w:t>s</w:t>
            </w:r>
            <w:r w:rsidRPr="0054381C">
              <w:rPr>
                <w:rFonts w:ascii="Verdana" w:hAnsi="Verdana"/>
              </w:rPr>
              <w:t xml:space="preserve"> measurable </w:t>
            </w:r>
            <w:r w:rsidR="008413F0">
              <w:rPr>
                <w:rFonts w:ascii="Verdana" w:hAnsi="Verdana"/>
              </w:rPr>
              <w:t>actions</w:t>
            </w:r>
            <w:r w:rsidRPr="0054381C">
              <w:rPr>
                <w:rFonts w:ascii="Verdana" w:hAnsi="Verdana"/>
              </w:rPr>
              <w:t xml:space="preserve">.  Entries in the column should </w:t>
            </w:r>
            <w:r w:rsidR="0043772B" w:rsidRPr="0054381C">
              <w:rPr>
                <w:rFonts w:ascii="Verdana" w:hAnsi="Verdana"/>
              </w:rPr>
              <w:t xml:space="preserve">therefore </w:t>
            </w:r>
            <w:r w:rsidRPr="0054381C">
              <w:rPr>
                <w:rFonts w:ascii="Verdana" w:hAnsi="Verdana"/>
              </w:rPr>
              <w:t xml:space="preserve">be read in conjunction with those in the </w:t>
            </w:r>
            <w:r w:rsidR="0043772B" w:rsidRPr="0054381C">
              <w:rPr>
                <w:rFonts w:ascii="Verdana" w:hAnsi="Verdana"/>
              </w:rPr>
              <w:t xml:space="preserve">equivalent row of the </w:t>
            </w:r>
            <w:r w:rsidRPr="0054381C">
              <w:rPr>
                <w:rFonts w:ascii="Verdana" w:hAnsi="Verdana"/>
              </w:rPr>
              <w:t>column “</w:t>
            </w:r>
            <w:r w:rsidRPr="0054381C">
              <w:rPr>
                <w:rFonts w:ascii="Verdana" w:hAnsi="Verdana"/>
                <w:bCs/>
              </w:rPr>
              <w:t xml:space="preserve">What does this look like currently?” to gauge the </w:t>
            </w:r>
            <w:r w:rsidR="009A3852">
              <w:rPr>
                <w:rFonts w:ascii="Verdana" w:hAnsi="Verdana"/>
                <w:bCs/>
              </w:rPr>
              <w:t>standards attained</w:t>
            </w:r>
            <w:r w:rsidRPr="0054381C">
              <w:rPr>
                <w:rFonts w:ascii="Verdana" w:hAnsi="Verdana"/>
                <w:bCs/>
              </w:rPr>
              <w:t>.</w:t>
            </w:r>
          </w:p>
          <w:p w14:paraId="14871726" w14:textId="1D8FC647" w:rsidR="00BE6D30" w:rsidRPr="0054381C" w:rsidRDefault="00BE6D30" w:rsidP="00BC7DA3">
            <w:pPr>
              <w:rPr>
                <w:rFonts w:ascii="Verdana" w:hAnsi="Verdana"/>
                <w:bCs/>
              </w:rPr>
            </w:pPr>
          </w:p>
          <w:p w14:paraId="572B9428" w14:textId="145AF1C7" w:rsidR="008413F0" w:rsidRDefault="009A3852" w:rsidP="008413F0">
            <w:pPr>
              <w:pStyle w:val="NoSpacing"/>
              <w:rPr>
                <w:rFonts w:ascii="Verdana" w:hAnsi="Verdana"/>
              </w:rPr>
            </w:pPr>
            <w:r>
              <w:rPr>
                <w:rFonts w:ascii="Verdana" w:hAnsi="Verdana"/>
              </w:rPr>
              <w:t>It</w:t>
            </w:r>
            <w:r w:rsidR="006063D3">
              <w:rPr>
                <w:rFonts w:ascii="Verdana" w:hAnsi="Verdana"/>
              </w:rPr>
              <w:t xml:space="preserve"> was noted that, out of 2</w:t>
            </w:r>
            <w:r w:rsidR="008B36B1">
              <w:rPr>
                <w:rFonts w:ascii="Verdana" w:hAnsi="Verdana"/>
              </w:rPr>
              <w:t>1</w:t>
            </w:r>
            <w:r w:rsidR="006063D3">
              <w:rPr>
                <w:rFonts w:ascii="Verdana" w:hAnsi="Verdana"/>
              </w:rPr>
              <w:t xml:space="preserve"> measures relating to </w:t>
            </w:r>
            <w:r w:rsidR="008B36B1">
              <w:rPr>
                <w:rFonts w:ascii="Verdana" w:hAnsi="Verdana"/>
              </w:rPr>
              <w:t>matters</w:t>
            </w:r>
            <w:r w:rsidR="006063D3">
              <w:rPr>
                <w:rFonts w:ascii="Verdana" w:hAnsi="Verdana"/>
              </w:rPr>
              <w:t xml:space="preserve"> falling within the Committee’s remit, 10 had been judged to have been successfully achieved, a further </w:t>
            </w:r>
            <w:r w:rsidR="00646115">
              <w:rPr>
                <w:rFonts w:ascii="Verdana" w:hAnsi="Verdana"/>
              </w:rPr>
              <w:t>9</w:t>
            </w:r>
            <w:r w:rsidR="006063D3">
              <w:rPr>
                <w:rFonts w:ascii="Verdana" w:hAnsi="Verdana"/>
              </w:rPr>
              <w:t xml:space="preserve"> require </w:t>
            </w:r>
            <w:r w:rsidR="00646115">
              <w:rPr>
                <w:rFonts w:ascii="Verdana" w:hAnsi="Verdana"/>
              </w:rPr>
              <w:t>additional</w:t>
            </w:r>
            <w:r w:rsidR="006063D3">
              <w:rPr>
                <w:rFonts w:ascii="Verdana" w:hAnsi="Verdana"/>
              </w:rPr>
              <w:t xml:space="preserve"> evidence</w:t>
            </w:r>
            <w:r w:rsidR="008413F0">
              <w:rPr>
                <w:rFonts w:ascii="Verdana" w:hAnsi="Verdana"/>
              </w:rPr>
              <w:t xml:space="preserve"> obtained over a greater span of time</w:t>
            </w:r>
            <w:r w:rsidR="006063D3">
              <w:rPr>
                <w:rFonts w:ascii="Verdana" w:hAnsi="Verdana"/>
              </w:rPr>
              <w:t xml:space="preserve"> to</w:t>
            </w:r>
            <w:r w:rsidR="003A63E3">
              <w:rPr>
                <w:rFonts w:ascii="Verdana" w:hAnsi="Verdana"/>
              </w:rPr>
              <w:t xml:space="preserve"> </w:t>
            </w:r>
            <w:r w:rsidR="008413F0">
              <w:rPr>
                <w:rFonts w:ascii="Verdana" w:hAnsi="Verdana"/>
              </w:rPr>
              <w:t>properl</w:t>
            </w:r>
            <w:r w:rsidR="003A63E3">
              <w:rPr>
                <w:rFonts w:ascii="Verdana" w:hAnsi="Verdana"/>
              </w:rPr>
              <w:t>y</w:t>
            </w:r>
            <w:r w:rsidR="006063D3">
              <w:rPr>
                <w:rFonts w:ascii="Verdana" w:hAnsi="Verdana"/>
              </w:rPr>
              <w:t xml:space="preserve"> assess their effectiveness, </w:t>
            </w:r>
            <w:r w:rsidR="003A63E3">
              <w:rPr>
                <w:rFonts w:ascii="Verdana" w:hAnsi="Verdana"/>
              </w:rPr>
              <w:t>whilst</w:t>
            </w:r>
            <w:r w:rsidR="006063D3">
              <w:rPr>
                <w:rFonts w:ascii="Verdana" w:hAnsi="Verdana"/>
              </w:rPr>
              <w:t xml:space="preserve"> the remaining </w:t>
            </w:r>
            <w:r w:rsidR="00646115">
              <w:rPr>
                <w:rFonts w:ascii="Verdana" w:hAnsi="Verdana"/>
              </w:rPr>
              <w:t>2</w:t>
            </w:r>
            <w:r w:rsidR="006063D3">
              <w:rPr>
                <w:rFonts w:ascii="Verdana" w:hAnsi="Verdana"/>
              </w:rPr>
              <w:t xml:space="preserve"> had not been met</w:t>
            </w:r>
            <w:r w:rsidR="003A63E3">
              <w:rPr>
                <w:rFonts w:ascii="Verdana" w:hAnsi="Verdana"/>
              </w:rPr>
              <w:t xml:space="preserve"> and require further </w:t>
            </w:r>
            <w:r w:rsidR="008413F0">
              <w:rPr>
                <w:rFonts w:ascii="Verdana" w:hAnsi="Verdana"/>
              </w:rPr>
              <w:t xml:space="preserve">close </w:t>
            </w:r>
            <w:r w:rsidR="003A63E3">
              <w:rPr>
                <w:rFonts w:ascii="Verdana" w:hAnsi="Verdana"/>
              </w:rPr>
              <w:t>attention</w:t>
            </w:r>
            <w:r w:rsidR="008413F0">
              <w:rPr>
                <w:rFonts w:ascii="Verdana" w:hAnsi="Verdana"/>
              </w:rPr>
              <w:t>.</w:t>
            </w:r>
          </w:p>
          <w:p w14:paraId="7FFA2C3E" w14:textId="3B803545" w:rsidR="005214B4" w:rsidRDefault="005214B4" w:rsidP="008413F0">
            <w:pPr>
              <w:pStyle w:val="NoSpacing"/>
              <w:rPr>
                <w:rFonts w:ascii="Verdana" w:hAnsi="Verdana"/>
              </w:rPr>
            </w:pPr>
          </w:p>
          <w:p w14:paraId="09E6CC3F" w14:textId="77777777" w:rsidR="005214B4" w:rsidRPr="005214B4" w:rsidRDefault="005214B4" w:rsidP="005214B4">
            <w:pPr>
              <w:rPr>
                <w:rFonts w:ascii="Verdana" w:hAnsi="Verdana"/>
              </w:rPr>
            </w:pPr>
            <w:r w:rsidRPr="005214B4">
              <w:rPr>
                <w:rFonts w:ascii="Verdana" w:hAnsi="Verdana"/>
              </w:rPr>
              <w:lastRenderedPageBreak/>
              <w:t xml:space="preserve">In response to a question from Stephen Jones, the Principal set out the clear criteria for staff progression (ref. Page 7, Point 4), citing the effect of the </w:t>
            </w:r>
            <w:proofErr w:type="spellStart"/>
            <w:r w:rsidRPr="005214B4">
              <w:rPr>
                <w:rFonts w:ascii="Verdana" w:hAnsi="Verdana"/>
              </w:rPr>
              <w:t>Monoux</w:t>
            </w:r>
            <w:proofErr w:type="spellEnd"/>
            <w:r w:rsidRPr="005214B4">
              <w:rPr>
                <w:rFonts w:ascii="Verdana" w:hAnsi="Verdana"/>
              </w:rPr>
              <w:t xml:space="preserve"> Teacher Framework, one to one coaching opportunities, and network events.  In response to a question from the Committee Chair as to the evidence that staff are being positively developed, attention was drawn to the high </w:t>
            </w:r>
            <w:bookmarkStart w:id="0" w:name="_GoBack"/>
            <w:bookmarkEnd w:id="0"/>
            <w:r w:rsidRPr="005214B4">
              <w:rPr>
                <w:rFonts w:ascii="Verdana" w:hAnsi="Verdana"/>
              </w:rPr>
              <w:t>retention of probationary staff, the presence of multiple internal candidates included on shortlists for advertised College posts, and the success of internal candidates against competition from outside the College. The role of learning coach had especially afforded increased opportunities for staff to gain knowledge and skills to help them in their careers.</w:t>
            </w:r>
          </w:p>
          <w:p w14:paraId="76364E85" w14:textId="77777777" w:rsidR="005214B4" w:rsidRPr="00A7571C" w:rsidRDefault="005214B4" w:rsidP="005214B4">
            <w:pPr>
              <w:pStyle w:val="NoSpacing"/>
              <w:rPr>
                <w:rFonts w:ascii="Verdana" w:hAnsi="Verdana"/>
              </w:rPr>
            </w:pPr>
          </w:p>
          <w:p w14:paraId="43ABA9F9" w14:textId="7EA52316" w:rsidR="009E1EE9" w:rsidRDefault="009E1EE9" w:rsidP="008413F0">
            <w:pPr>
              <w:pStyle w:val="NoSpacing"/>
              <w:rPr>
                <w:rFonts w:ascii="Verdana" w:hAnsi="Verdana"/>
              </w:rPr>
            </w:pPr>
            <w:r>
              <w:rPr>
                <w:rFonts w:ascii="Verdana" w:hAnsi="Verdana"/>
              </w:rPr>
              <w:t>In response to a question from the Committee Chair regarding the ability of the College to maintain group workshops for GCSE English and Maths</w:t>
            </w:r>
            <w:r w:rsidR="009A3852">
              <w:rPr>
                <w:rFonts w:ascii="Verdana" w:hAnsi="Verdana"/>
              </w:rPr>
              <w:t xml:space="preserve"> (ref. Page 4, Point 4)</w:t>
            </w:r>
            <w:r>
              <w:rPr>
                <w:rFonts w:ascii="Verdana" w:hAnsi="Verdana"/>
              </w:rPr>
              <w:t xml:space="preserve">, it was confirmed that their continuation depends on the availability of </w:t>
            </w:r>
            <w:proofErr w:type="spellStart"/>
            <w:r>
              <w:rPr>
                <w:rFonts w:ascii="Verdana" w:hAnsi="Verdana"/>
              </w:rPr>
              <w:t>Covid</w:t>
            </w:r>
            <w:proofErr w:type="spellEnd"/>
            <w:r>
              <w:rPr>
                <w:rFonts w:ascii="Verdana" w:hAnsi="Verdana"/>
              </w:rPr>
              <w:t xml:space="preserve"> recovery funding, </w:t>
            </w:r>
            <w:r w:rsidR="009A3852">
              <w:rPr>
                <w:rFonts w:ascii="Verdana" w:hAnsi="Verdana"/>
              </w:rPr>
              <w:t>upon which they are dependent</w:t>
            </w:r>
            <w:r>
              <w:rPr>
                <w:rFonts w:ascii="Verdana" w:hAnsi="Verdana"/>
              </w:rPr>
              <w:t>.  In the</w:t>
            </w:r>
            <w:r w:rsidR="009A3852">
              <w:rPr>
                <w:rFonts w:ascii="Verdana" w:hAnsi="Verdana"/>
              </w:rPr>
              <w:t xml:space="preserve"> circumstances of its withdrawal,</w:t>
            </w:r>
            <w:r>
              <w:rPr>
                <w:rFonts w:ascii="Verdana" w:hAnsi="Verdana"/>
              </w:rPr>
              <w:t xml:space="preserve"> the College would make its best endeavours to support students by alternative means.</w:t>
            </w:r>
          </w:p>
          <w:p w14:paraId="396F16A7" w14:textId="75C4C7A7" w:rsidR="009E1EE9" w:rsidRDefault="009E1EE9" w:rsidP="008413F0">
            <w:pPr>
              <w:pStyle w:val="NoSpacing"/>
              <w:rPr>
                <w:rFonts w:ascii="Verdana" w:hAnsi="Verdana"/>
              </w:rPr>
            </w:pPr>
          </w:p>
          <w:p w14:paraId="192C3A58" w14:textId="67E669DB" w:rsidR="009E1EE9" w:rsidRDefault="009E1EE9" w:rsidP="008413F0">
            <w:pPr>
              <w:pStyle w:val="NoSpacing"/>
              <w:rPr>
                <w:rFonts w:ascii="Verdana" w:hAnsi="Verdana"/>
              </w:rPr>
            </w:pPr>
            <w:r>
              <w:rPr>
                <w:rFonts w:ascii="Verdana" w:hAnsi="Verdana"/>
              </w:rPr>
              <w:t>In response to a question from the Committee Chair as to which had been the most impactful interventions during the lifetime of the Plan, the following were proposed:</w:t>
            </w:r>
          </w:p>
          <w:p w14:paraId="0D77E635" w14:textId="4BC72518" w:rsidR="009E1EE9" w:rsidRDefault="009E1EE9" w:rsidP="008413F0">
            <w:pPr>
              <w:pStyle w:val="NoSpacing"/>
              <w:rPr>
                <w:rFonts w:ascii="Verdana" w:hAnsi="Verdana"/>
              </w:rPr>
            </w:pPr>
          </w:p>
          <w:p w14:paraId="31E6D925" w14:textId="342421B5" w:rsidR="009E1EE9" w:rsidRPr="00AA5F73" w:rsidRDefault="009E1EE9" w:rsidP="008413F0">
            <w:pPr>
              <w:pStyle w:val="NoSpacing"/>
              <w:rPr>
                <w:rFonts w:ascii="Verdana" w:hAnsi="Verdana"/>
                <w:i/>
                <w:iCs/>
              </w:rPr>
            </w:pPr>
            <w:r w:rsidRPr="00AA5F73">
              <w:rPr>
                <w:rFonts w:ascii="Verdana" w:hAnsi="Verdana"/>
                <w:i/>
                <w:iCs/>
              </w:rPr>
              <w:t xml:space="preserve">communicating a clear sense of the College’s value-driven professional view of the learning environment, as for example through the </w:t>
            </w:r>
            <w:proofErr w:type="spellStart"/>
            <w:r w:rsidRPr="00AA5F73">
              <w:rPr>
                <w:rFonts w:ascii="Verdana" w:hAnsi="Verdana"/>
                <w:i/>
                <w:iCs/>
              </w:rPr>
              <w:t>Monoux</w:t>
            </w:r>
            <w:proofErr w:type="spellEnd"/>
            <w:r w:rsidRPr="00AA5F73">
              <w:rPr>
                <w:rFonts w:ascii="Verdana" w:hAnsi="Verdana"/>
                <w:i/>
                <w:iCs/>
              </w:rPr>
              <w:t xml:space="preserve"> Teacher Framework;</w:t>
            </w:r>
          </w:p>
          <w:p w14:paraId="692DDC11" w14:textId="1F6064AD" w:rsidR="009E1EE9" w:rsidRPr="00AA5F73" w:rsidRDefault="009E1EE9" w:rsidP="008413F0">
            <w:pPr>
              <w:pStyle w:val="NoSpacing"/>
              <w:rPr>
                <w:rFonts w:ascii="Verdana" w:hAnsi="Verdana"/>
                <w:i/>
                <w:iCs/>
              </w:rPr>
            </w:pPr>
          </w:p>
          <w:p w14:paraId="5002F4EC" w14:textId="583A048C" w:rsidR="009E1EE9" w:rsidRPr="00AA5F73" w:rsidRDefault="009E1EE9" w:rsidP="008413F0">
            <w:pPr>
              <w:pStyle w:val="NoSpacing"/>
              <w:rPr>
                <w:rFonts w:ascii="Verdana" w:hAnsi="Verdana"/>
              </w:rPr>
            </w:pPr>
            <w:r w:rsidRPr="00AA5F73">
              <w:rPr>
                <w:rFonts w:ascii="Verdana" w:hAnsi="Verdana"/>
                <w:i/>
                <w:iCs/>
              </w:rPr>
              <w:t xml:space="preserve">keeping students actively engaged and on site throughout the College day, as exemplified by Talent Lab; </w:t>
            </w:r>
            <w:r w:rsidRPr="00AA5F73">
              <w:rPr>
                <w:rFonts w:ascii="Verdana" w:hAnsi="Verdana"/>
              </w:rPr>
              <w:t>and</w:t>
            </w:r>
          </w:p>
          <w:p w14:paraId="44CD58E2" w14:textId="14D7B0C5" w:rsidR="009E1EE9" w:rsidRPr="00AA5F73" w:rsidRDefault="009E1EE9" w:rsidP="008413F0">
            <w:pPr>
              <w:pStyle w:val="NoSpacing"/>
              <w:rPr>
                <w:rFonts w:ascii="Verdana" w:hAnsi="Verdana"/>
                <w:i/>
                <w:iCs/>
              </w:rPr>
            </w:pPr>
          </w:p>
          <w:p w14:paraId="31A520CD" w14:textId="57F5F227" w:rsidR="009E1EE9" w:rsidRPr="00AA5F73" w:rsidRDefault="009E1EE9" w:rsidP="008413F0">
            <w:pPr>
              <w:pStyle w:val="NoSpacing"/>
              <w:rPr>
                <w:rFonts w:ascii="Verdana" w:hAnsi="Verdana"/>
                <w:i/>
                <w:iCs/>
              </w:rPr>
            </w:pPr>
            <w:r w:rsidRPr="00AA5F73">
              <w:rPr>
                <w:rFonts w:ascii="Verdana" w:hAnsi="Verdana"/>
                <w:i/>
                <w:iCs/>
              </w:rPr>
              <w:t>the orderly, disciplined nature of the College with its cons</w:t>
            </w:r>
            <w:r w:rsidR="00AA5F73" w:rsidRPr="00AA5F73">
              <w:rPr>
                <w:rFonts w:ascii="Verdana" w:hAnsi="Verdana"/>
                <w:i/>
                <w:iCs/>
              </w:rPr>
              <w:t>i</w:t>
            </w:r>
            <w:r w:rsidRPr="00AA5F73">
              <w:rPr>
                <w:rFonts w:ascii="Verdana" w:hAnsi="Verdana"/>
                <w:i/>
                <w:iCs/>
              </w:rPr>
              <w:t>stent r</w:t>
            </w:r>
            <w:r w:rsidR="00AA5F73" w:rsidRPr="00AA5F73">
              <w:rPr>
                <w:rFonts w:ascii="Verdana" w:hAnsi="Verdana"/>
                <w:i/>
                <w:iCs/>
              </w:rPr>
              <w:t>o</w:t>
            </w:r>
            <w:r w:rsidRPr="00AA5F73">
              <w:rPr>
                <w:rFonts w:ascii="Verdana" w:hAnsi="Verdana"/>
                <w:i/>
                <w:iCs/>
              </w:rPr>
              <w:t>utines</w:t>
            </w:r>
            <w:r w:rsidR="00AA5F73" w:rsidRPr="00AA5F73">
              <w:rPr>
                <w:rFonts w:ascii="Verdana" w:hAnsi="Verdana"/>
                <w:i/>
                <w:iCs/>
              </w:rPr>
              <w:t xml:space="preserve"> (e.g. entry periods) intended to foster a controlled and supportive space for learning.</w:t>
            </w:r>
          </w:p>
          <w:p w14:paraId="6D4FF91F" w14:textId="77777777" w:rsidR="00BC7DA3" w:rsidRDefault="00BC7DA3" w:rsidP="00085599">
            <w:pPr>
              <w:pStyle w:val="NoSpacing"/>
              <w:rPr>
                <w:rFonts w:ascii="Verdana" w:hAnsi="Verdana"/>
              </w:rPr>
            </w:pPr>
          </w:p>
          <w:p w14:paraId="529968FB" w14:textId="14E0F787" w:rsidR="00AA5F73" w:rsidRDefault="00AA5F73" w:rsidP="00085599">
            <w:pPr>
              <w:pStyle w:val="NoSpacing"/>
              <w:rPr>
                <w:rFonts w:ascii="Verdana" w:hAnsi="Verdana"/>
              </w:rPr>
            </w:pPr>
            <w:r>
              <w:rPr>
                <w:rFonts w:ascii="Verdana" w:hAnsi="Verdana"/>
              </w:rPr>
              <w:t xml:space="preserve">It was finally noted that, following inspection, a new plan </w:t>
            </w:r>
            <w:r w:rsidR="00965413">
              <w:rPr>
                <w:rFonts w:ascii="Verdana" w:hAnsi="Verdana"/>
              </w:rPr>
              <w:t xml:space="preserve">is to </w:t>
            </w:r>
            <w:r>
              <w:rPr>
                <w:rFonts w:ascii="Verdana" w:hAnsi="Verdana"/>
              </w:rPr>
              <w:t>be developed, based on the Ofsted findings, to support the College’s future development.</w:t>
            </w:r>
          </w:p>
          <w:p w14:paraId="2E256D12" w14:textId="6CDB35C2" w:rsidR="009A3852" w:rsidRPr="003A63E3" w:rsidRDefault="009A3852" w:rsidP="00085599">
            <w:pPr>
              <w:pStyle w:val="NoSpacing"/>
              <w:rPr>
                <w:rFonts w:ascii="Verdana" w:hAnsi="Verdana"/>
              </w:rPr>
            </w:pPr>
          </w:p>
        </w:tc>
      </w:tr>
      <w:tr w:rsidR="009A3852" w:rsidRPr="0054381C" w14:paraId="6CC038A3" w14:textId="77777777" w:rsidTr="007B6893">
        <w:tc>
          <w:tcPr>
            <w:tcW w:w="534" w:type="dxa"/>
          </w:tcPr>
          <w:p w14:paraId="7E5EE2D0" w14:textId="16BF391B" w:rsidR="009A3852" w:rsidRPr="008E515B" w:rsidRDefault="009A3852" w:rsidP="009A3852">
            <w:pPr>
              <w:rPr>
                <w:rFonts w:ascii="Verdana" w:hAnsi="Verdana"/>
                <w:b/>
              </w:rPr>
            </w:pPr>
            <w:r>
              <w:rPr>
                <w:rFonts w:ascii="Verdana" w:hAnsi="Verdana"/>
                <w:b/>
              </w:rPr>
              <w:lastRenderedPageBreak/>
              <w:t>8</w:t>
            </w:r>
          </w:p>
        </w:tc>
        <w:tc>
          <w:tcPr>
            <w:tcW w:w="9213" w:type="dxa"/>
          </w:tcPr>
          <w:p w14:paraId="40FE8DC3" w14:textId="77777777" w:rsidR="009A3852" w:rsidRDefault="009A3852" w:rsidP="009A3852">
            <w:pPr>
              <w:rPr>
                <w:rFonts w:ascii="Verdana" w:hAnsi="Verdana"/>
                <w:b/>
              </w:rPr>
            </w:pPr>
            <w:r>
              <w:rPr>
                <w:rFonts w:ascii="Verdana" w:hAnsi="Verdana"/>
                <w:b/>
              </w:rPr>
              <w:t>Dates and Times of Remaining Meetings: 2021-22</w:t>
            </w:r>
          </w:p>
          <w:p w14:paraId="00913A3A" w14:textId="77777777" w:rsidR="009A3852" w:rsidRDefault="009A3852" w:rsidP="009A3852">
            <w:pPr>
              <w:rPr>
                <w:rFonts w:ascii="Verdana" w:hAnsi="Verdana"/>
                <w:b/>
              </w:rPr>
            </w:pPr>
          </w:p>
          <w:p w14:paraId="5E736204" w14:textId="77777777" w:rsidR="009A3852" w:rsidRDefault="009A3852" w:rsidP="009A3852">
            <w:pPr>
              <w:rPr>
                <w:rFonts w:ascii="Verdana" w:hAnsi="Verdana"/>
              </w:rPr>
            </w:pPr>
            <w:r>
              <w:rPr>
                <w:rFonts w:ascii="Verdana" w:hAnsi="Verdana"/>
              </w:rPr>
              <w:t xml:space="preserve">The following approved dates and times were noted: </w:t>
            </w:r>
          </w:p>
          <w:p w14:paraId="0B840DF9" w14:textId="77777777" w:rsidR="009A3852" w:rsidRDefault="009A3852" w:rsidP="009A3852">
            <w:pPr>
              <w:rPr>
                <w:rFonts w:ascii="Verdana" w:hAnsi="Verdana"/>
                <w:b/>
                <w:i/>
              </w:rPr>
            </w:pPr>
          </w:p>
          <w:p w14:paraId="6418B237" w14:textId="77777777" w:rsidR="009A3852" w:rsidRPr="001616AC" w:rsidRDefault="009A3852" w:rsidP="009A3852">
            <w:pPr>
              <w:pStyle w:val="NoSpacing"/>
              <w:rPr>
                <w:rFonts w:ascii="Verdana" w:hAnsi="Verdana"/>
                <w:b/>
                <w:bCs/>
                <w:i/>
                <w:iCs/>
              </w:rPr>
            </w:pPr>
            <w:r w:rsidRPr="001616AC">
              <w:rPr>
                <w:rFonts w:ascii="Verdana" w:hAnsi="Verdana"/>
                <w:b/>
                <w:bCs/>
                <w:i/>
                <w:iCs/>
              </w:rPr>
              <w:t>Tuesday 30 November 2021 (6.30pm)</w:t>
            </w:r>
          </w:p>
          <w:p w14:paraId="2279E0FE" w14:textId="77777777" w:rsidR="009A3852" w:rsidRPr="001616AC" w:rsidRDefault="009A3852" w:rsidP="009A3852">
            <w:pPr>
              <w:pStyle w:val="NoSpacing"/>
              <w:rPr>
                <w:rFonts w:ascii="Verdana" w:hAnsi="Verdana"/>
                <w:b/>
                <w:bCs/>
                <w:i/>
                <w:iCs/>
              </w:rPr>
            </w:pPr>
            <w:r w:rsidRPr="001616AC">
              <w:rPr>
                <w:rFonts w:ascii="Verdana" w:hAnsi="Verdana"/>
                <w:b/>
                <w:bCs/>
                <w:i/>
                <w:iCs/>
              </w:rPr>
              <w:t>Tuesday 8 February 2022 (6.30pm)</w:t>
            </w:r>
          </w:p>
          <w:p w14:paraId="38B9312A" w14:textId="77777777" w:rsidR="009A3852" w:rsidRPr="001616AC" w:rsidRDefault="009A3852" w:rsidP="009A3852">
            <w:pPr>
              <w:pStyle w:val="NoSpacing"/>
              <w:rPr>
                <w:rFonts w:ascii="Verdana" w:hAnsi="Verdana"/>
                <w:b/>
                <w:bCs/>
                <w:i/>
                <w:iCs/>
              </w:rPr>
            </w:pPr>
            <w:r w:rsidRPr="001616AC">
              <w:rPr>
                <w:rFonts w:ascii="Verdana" w:hAnsi="Verdana"/>
                <w:b/>
                <w:bCs/>
                <w:i/>
                <w:iCs/>
              </w:rPr>
              <w:t>Tuesday 7 June 2022 (6.30pm)</w:t>
            </w:r>
          </w:p>
          <w:p w14:paraId="339FD746" w14:textId="77777777" w:rsidR="009A3852" w:rsidRDefault="009A3852" w:rsidP="009A3852">
            <w:pPr>
              <w:rPr>
                <w:rFonts w:ascii="Verdana" w:hAnsi="Verdana"/>
              </w:rPr>
            </w:pPr>
          </w:p>
          <w:p w14:paraId="1612690E" w14:textId="77777777" w:rsidR="009A3852" w:rsidRPr="001616AC" w:rsidRDefault="009A3852" w:rsidP="009A3852">
            <w:pPr>
              <w:rPr>
                <w:rFonts w:ascii="Verdana" w:hAnsi="Verdana"/>
              </w:rPr>
            </w:pPr>
            <w:r>
              <w:rPr>
                <w:rFonts w:ascii="Verdana" w:hAnsi="Verdana"/>
              </w:rPr>
              <w:t>In accordance with the decision of the Corporation at the meeting held on 11 May 2021</w:t>
            </w:r>
            <w:r w:rsidRPr="001616AC">
              <w:rPr>
                <w:rFonts w:ascii="Verdana" w:hAnsi="Verdana"/>
              </w:rPr>
              <w:t>, the format and location of meetings will be determined by each Committee Chair in consultation with members of the Committee, but such meetings will be either face-to-face at a location to be agreed (with the right of any member, including staff in attendance, to attend virtually without restriction), or will be entirely virtual.</w:t>
            </w:r>
          </w:p>
          <w:p w14:paraId="0D6CD422" w14:textId="77777777" w:rsidR="00266DE6" w:rsidRDefault="00266DE6" w:rsidP="009A3852">
            <w:pPr>
              <w:rPr>
                <w:rFonts w:ascii="Verdana" w:hAnsi="Verdana"/>
              </w:rPr>
            </w:pPr>
          </w:p>
          <w:p w14:paraId="256DE1AA" w14:textId="77777777" w:rsidR="005214B4" w:rsidRDefault="005214B4" w:rsidP="009A3852">
            <w:pPr>
              <w:rPr>
                <w:rFonts w:ascii="Verdana" w:hAnsi="Verdana"/>
              </w:rPr>
            </w:pPr>
          </w:p>
          <w:p w14:paraId="19304B2A" w14:textId="2312DB25" w:rsidR="005214B4" w:rsidRPr="0054381C" w:rsidRDefault="005214B4" w:rsidP="009A3852">
            <w:pPr>
              <w:rPr>
                <w:rFonts w:ascii="Verdana" w:hAnsi="Verdana"/>
              </w:rPr>
            </w:pPr>
          </w:p>
        </w:tc>
      </w:tr>
      <w:tr w:rsidR="009A3852" w:rsidRPr="0054381C" w14:paraId="35E206E5" w14:textId="77777777" w:rsidTr="007B6893">
        <w:tc>
          <w:tcPr>
            <w:tcW w:w="534" w:type="dxa"/>
          </w:tcPr>
          <w:p w14:paraId="77DDC239" w14:textId="38A6ED5A" w:rsidR="009A3852" w:rsidRPr="008E515B" w:rsidRDefault="009A3852" w:rsidP="009A3852">
            <w:pPr>
              <w:rPr>
                <w:rFonts w:ascii="Verdana" w:hAnsi="Verdana"/>
                <w:b/>
              </w:rPr>
            </w:pPr>
            <w:r>
              <w:rPr>
                <w:rFonts w:ascii="Verdana" w:hAnsi="Verdana"/>
                <w:b/>
              </w:rPr>
              <w:lastRenderedPageBreak/>
              <w:t>9</w:t>
            </w:r>
          </w:p>
        </w:tc>
        <w:tc>
          <w:tcPr>
            <w:tcW w:w="9213" w:type="dxa"/>
          </w:tcPr>
          <w:p w14:paraId="76EC7A52" w14:textId="77777777" w:rsidR="009A3852" w:rsidRDefault="009A3852" w:rsidP="009A3852">
            <w:pPr>
              <w:rPr>
                <w:rFonts w:ascii="Verdana" w:hAnsi="Verdana"/>
                <w:b/>
              </w:rPr>
            </w:pPr>
            <w:r w:rsidRPr="0049013F">
              <w:rPr>
                <w:rFonts w:ascii="Verdana" w:hAnsi="Verdana"/>
                <w:b/>
              </w:rPr>
              <w:t>Any Other Competent Business</w:t>
            </w:r>
          </w:p>
          <w:p w14:paraId="691D99D1" w14:textId="77777777" w:rsidR="009A3852" w:rsidRPr="0049013F" w:rsidRDefault="009A3852" w:rsidP="009A3852">
            <w:pPr>
              <w:rPr>
                <w:rFonts w:ascii="Verdana" w:hAnsi="Verdana"/>
                <w:b/>
              </w:rPr>
            </w:pPr>
          </w:p>
          <w:p w14:paraId="1170F7E0" w14:textId="2FA2D4D9" w:rsidR="009A3852" w:rsidRPr="0054381C" w:rsidRDefault="009A3852" w:rsidP="009A3852">
            <w:pPr>
              <w:rPr>
                <w:rFonts w:ascii="Verdana" w:hAnsi="Verdana"/>
              </w:rPr>
            </w:pPr>
            <w:r w:rsidRPr="00144E96">
              <w:rPr>
                <w:rFonts w:ascii="Verdana" w:hAnsi="Verdana"/>
                <w:bCs/>
              </w:rPr>
              <w:t>None.</w:t>
            </w:r>
          </w:p>
        </w:tc>
      </w:tr>
    </w:tbl>
    <w:p w14:paraId="5DC8682C" w14:textId="76B10CF9" w:rsidR="005D0A52" w:rsidRDefault="005D0A52" w:rsidP="00402468"/>
    <w:p w14:paraId="014B9DE7" w14:textId="4CF55AB1" w:rsidR="00262779" w:rsidRDefault="00262779" w:rsidP="00402468"/>
    <w:p w14:paraId="44A03C57" w14:textId="6AADDE77" w:rsidR="00532D30" w:rsidRPr="00920F1A" w:rsidRDefault="00920F1A" w:rsidP="00211852">
      <w:pPr>
        <w:pStyle w:val="NoSpacing"/>
        <w:rPr>
          <w:rFonts w:ascii="Verdana" w:hAnsi="Verdana"/>
        </w:rPr>
      </w:pPr>
      <w:r w:rsidRPr="00920F1A">
        <w:rPr>
          <w:rFonts w:ascii="Verdana" w:hAnsi="Verdana"/>
        </w:rPr>
        <w:t>There were no actions arising from this meeting.</w:t>
      </w:r>
    </w:p>
    <w:p w14:paraId="27D6D61F" w14:textId="77777777" w:rsidR="000919DD" w:rsidRDefault="000919DD" w:rsidP="00402468"/>
    <w:p w14:paraId="77E13E72" w14:textId="77777777" w:rsidR="000919DD" w:rsidRDefault="000919DD" w:rsidP="00402468"/>
    <w:p w14:paraId="17259DCB" w14:textId="77777777" w:rsidR="000919DD" w:rsidRDefault="000919DD" w:rsidP="00402468"/>
    <w:p w14:paraId="19232A53" w14:textId="77777777" w:rsidR="000919DD" w:rsidRDefault="000919DD" w:rsidP="00402468"/>
    <w:sectPr w:rsidR="000919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86AA0" w14:textId="77777777" w:rsidR="00085599" w:rsidRDefault="00085599" w:rsidP="00877089">
      <w:r>
        <w:separator/>
      </w:r>
    </w:p>
  </w:endnote>
  <w:endnote w:type="continuationSeparator" w:id="0">
    <w:p w14:paraId="68DD0AAC" w14:textId="77777777" w:rsidR="00085599" w:rsidRDefault="00085599" w:rsidP="0087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6006" w14:textId="77777777" w:rsidR="00085599" w:rsidRDefault="00085599" w:rsidP="00877089">
      <w:r>
        <w:separator/>
      </w:r>
    </w:p>
  </w:footnote>
  <w:footnote w:type="continuationSeparator" w:id="0">
    <w:p w14:paraId="25B098A9" w14:textId="77777777" w:rsidR="00085599" w:rsidRDefault="00085599" w:rsidP="00877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248"/>
    <w:multiLevelType w:val="hybridMultilevel"/>
    <w:tmpl w:val="1A2C8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2549C1"/>
    <w:multiLevelType w:val="multilevel"/>
    <w:tmpl w:val="DE867F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2A040338"/>
    <w:multiLevelType w:val="hybridMultilevel"/>
    <w:tmpl w:val="361E7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4641D6"/>
    <w:multiLevelType w:val="hybridMultilevel"/>
    <w:tmpl w:val="BD3E82F2"/>
    <w:lvl w:ilvl="0" w:tplc="E1C6E460">
      <w:start w:val="4"/>
      <w:numFmt w:val="decimal"/>
      <w:lvlText w:val="%1."/>
      <w:lvlJc w:val="left"/>
      <w:pPr>
        <w:ind w:left="794" w:hanging="562"/>
      </w:pPr>
      <w:rPr>
        <w:rFonts w:ascii="Arial" w:eastAsia="Arial" w:hAnsi="Arial" w:hint="default"/>
        <w:w w:val="99"/>
        <w:sz w:val="22"/>
        <w:szCs w:val="22"/>
      </w:rPr>
    </w:lvl>
    <w:lvl w:ilvl="1" w:tplc="EB6C2114">
      <w:start w:val="1"/>
      <w:numFmt w:val="bullet"/>
      <w:lvlText w:val="•"/>
      <w:lvlJc w:val="left"/>
      <w:pPr>
        <w:ind w:left="2284" w:hanging="562"/>
      </w:pPr>
      <w:rPr>
        <w:rFonts w:hint="default"/>
      </w:rPr>
    </w:lvl>
    <w:lvl w:ilvl="2" w:tplc="6F2C6A56">
      <w:start w:val="1"/>
      <w:numFmt w:val="bullet"/>
      <w:lvlText w:val="•"/>
      <w:lvlJc w:val="left"/>
      <w:pPr>
        <w:ind w:left="3768" w:hanging="562"/>
      </w:pPr>
      <w:rPr>
        <w:rFonts w:hint="default"/>
      </w:rPr>
    </w:lvl>
    <w:lvl w:ilvl="3" w:tplc="EB64DE86">
      <w:start w:val="1"/>
      <w:numFmt w:val="bullet"/>
      <w:lvlText w:val="•"/>
      <w:lvlJc w:val="left"/>
      <w:pPr>
        <w:ind w:left="5252" w:hanging="562"/>
      </w:pPr>
      <w:rPr>
        <w:rFonts w:hint="default"/>
      </w:rPr>
    </w:lvl>
    <w:lvl w:ilvl="4" w:tplc="6A081BFC">
      <w:start w:val="1"/>
      <w:numFmt w:val="bullet"/>
      <w:lvlText w:val="•"/>
      <w:lvlJc w:val="left"/>
      <w:pPr>
        <w:ind w:left="6736" w:hanging="562"/>
      </w:pPr>
      <w:rPr>
        <w:rFonts w:hint="default"/>
      </w:rPr>
    </w:lvl>
    <w:lvl w:ilvl="5" w:tplc="1A46732A">
      <w:start w:val="1"/>
      <w:numFmt w:val="bullet"/>
      <w:lvlText w:val="•"/>
      <w:lvlJc w:val="left"/>
      <w:pPr>
        <w:ind w:left="8220" w:hanging="562"/>
      </w:pPr>
      <w:rPr>
        <w:rFonts w:hint="default"/>
      </w:rPr>
    </w:lvl>
    <w:lvl w:ilvl="6" w:tplc="85244E60">
      <w:start w:val="1"/>
      <w:numFmt w:val="bullet"/>
      <w:lvlText w:val="•"/>
      <w:lvlJc w:val="left"/>
      <w:pPr>
        <w:ind w:left="9704" w:hanging="562"/>
      </w:pPr>
      <w:rPr>
        <w:rFonts w:hint="default"/>
      </w:rPr>
    </w:lvl>
    <w:lvl w:ilvl="7" w:tplc="3E6641D8">
      <w:start w:val="1"/>
      <w:numFmt w:val="bullet"/>
      <w:lvlText w:val="•"/>
      <w:lvlJc w:val="left"/>
      <w:pPr>
        <w:ind w:left="11188" w:hanging="562"/>
      </w:pPr>
      <w:rPr>
        <w:rFonts w:hint="default"/>
      </w:rPr>
    </w:lvl>
    <w:lvl w:ilvl="8" w:tplc="5094CAD4">
      <w:start w:val="1"/>
      <w:numFmt w:val="bullet"/>
      <w:lvlText w:val="•"/>
      <w:lvlJc w:val="left"/>
      <w:pPr>
        <w:ind w:left="12672" w:hanging="562"/>
      </w:pPr>
      <w:rPr>
        <w:rFonts w:hint="default"/>
      </w:rPr>
    </w:lvl>
  </w:abstractNum>
  <w:abstractNum w:abstractNumId="4" w15:restartNumberingAfterBreak="0">
    <w:nsid w:val="3A1452F2"/>
    <w:multiLevelType w:val="hybridMultilevel"/>
    <w:tmpl w:val="8D06AEB6"/>
    <w:lvl w:ilvl="0" w:tplc="029437B2">
      <w:start w:val="1"/>
      <w:numFmt w:val="decimal"/>
      <w:lvlText w:val="%1."/>
      <w:lvlJc w:val="left"/>
      <w:pPr>
        <w:ind w:left="777" w:hanging="539"/>
      </w:pPr>
      <w:rPr>
        <w:rFonts w:ascii="Arial" w:eastAsia="Arial" w:hAnsi="Arial" w:hint="default"/>
        <w:w w:val="99"/>
        <w:sz w:val="22"/>
        <w:szCs w:val="22"/>
      </w:rPr>
    </w:lvl>
    <w:lvl w:ilvl="1" w:tplc="2FC611FE">
      <w:start w:val="1"/>
      <w:numFmt w:val="bullet"/>
      <w:lvlText w:val="•"/>
      <w:lvlJc w:val="left"/>
      <w:pPr>
        <w:ind w:left="2266" w:hanging="539"/>
      </w:pPr>
      <w:rPr>
        <w:rFonts w:hint="default"/>
      </w:rPr>
    </w:lvl>
    <w:lvl w:ilvl="2" w:tplc="A20C31AC">
      <w:start w:val="1"/>
      <w:numFmt w:val="bullet"/>
      <w:lvlText w:val="•"/>
      <w:lvlJc w:val="left"/>
      <w:pPr>
        <w:ind w:left="3752" w:hanging="539"/>
      </w:pPr>
      <w:rPr>
        <w:rFonts w:hint="default"/>
      </w:rPr>
    </w:lvl>
    <w:lvl w:ilvl="3" w:tplc="05FE5B52">
      <w:start w:val="1"/>
      <w:numFmt w:val="bullet"/>
      <w:lvlText w:val="•"/>
      <w:lvlJc w:val="left"/>
      <w:pPr>
        <w:ind w:left="5238" w:hanging="539"/>
      </w:pPr>
      <w:rPr>
        <w:rFonts w:hint="default"/>
      </w:rPr>
    </w:lvl>
    <w:lvl w:ilvl="4" w:tplc="BA1EC646">
      <w:start w:val="1"/>
      <w:numFmt w:val="bullet"/>
      <w:lvlText w:val="•"/>
      <w:lvlJc w:val="left"/>
      <w:pPr>
        <w:ind w:left="6724" w:hanging="539"/>
      </w:pPr>
      <w:rPr>
        <w:rFonts w:hint="default"/>
      </w:rPr>
    </w:lvl>
    <w:lvl w:ilvl="5" w:tplc="171A824E">
      <w:start w:val="1"/>
      <w:numFmt w:val="bullet"/>
      <w:lvlText w:val="•"/>
      <w:lvlJc w:val="left"/>
      <w:pPr>
        <w:ind w:left="8210" w:hanging="539"/>
      </w:pPr>
      <w:rPr>
        <w:rFonts w:hint="default"/>
      </w:rPr>
    </w:lvl>
    <w:lvl w:ilvl="6" w:tplc="879A91F8">
      <w:start w:val="1"/>
      <w:numFmt w:val="bullet"/>
      <w:lvlText w:val="•"/>
      <w:lvlJc w:val="left"/>
      <w:pPr>
        <w:ind w:left="9696" w:hanging="539"/>
      </w:pPr>
      <w:rPr>
        <w:rFonts w:hint="default"/>
      </w:rPr>
    </w:lvl>
    <w:lvl w:ilvl="7" w:tplc="44C0F6EE">
      <w:start w:val="1"/>
      <w:numFmt w:val="bullet"/>
      <w:lvlText w:val="•"/>
      <w:lvlJc w:val="left"/>
      <w:pPr>
        <w:ind w:left="11182" w:hanging="539"/>
      </w:pPr>
      <w:rPr>
        <w:rFonts w:hint="default"/>
      </w:rPr>
    </w:lvl>
    <w:lvl w:ilvl="8" w:tplc="AEA6C7FC">
      <w:start w:val="1"/>
      <w:numFmt w:val="bullet"/>
      <w:lvlText w:val="•"/>
      <w:lvlJc w:val="left"/>
      <w:pPr>
        <w:ind w:left="12668" w:hanging="539"/>
      </w:pPr>
      <w:rPr>
        <w:rFonts w:hint="default"/>
      </w:rPr>
    </w:lvl>
  </w:abstractNum>
  <w:abstractNum w:abstractNumId="5" w15:restartNumberingAfterBreak="0">
    <w:nsid w:val="3A4D69BA"/>
    <w:multiLevelType w:val="multilevel"/>
    <w:tmpl w:val="A2DC4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0512650"/>
    <w:multiLevelType w:val="hybridMultilevel"/>
    <w:tmpl w:val="EF3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30EF6"/>
    <w:multiLevelType w:val="hybridMultilevel"/>
    <w:tmpl w:val="5F12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30734F"/>
    <w:multiLevelType w:val="hybridMultilevel"/>
    <w:tmpl w:val="F09AC45C"/>
    <w:lvl w:ilvl="0" w:tplc="A492DD34">
      <w:start w:val="2"/>
      <w:numFmt w:val="upperLetter"/>
      <w:lvlText w:val="%1."/>
      <w:lvlJc w:val="left"/>
      <w:pPr>
        <w:ind w:left="779" w:hanging="660"/>
      </w:pPr>
      <w:rPr>
        <w:rFonts w:ascii="Arial" w:eastAsia="Arial" w:hAnsi="Arial" w:hint="default"/>
        <w:spacing w:val="-1"/>
        <w:w w:val="100"/>
        <w:sz w:val="24"/>
        <w:szCs w:val="24"/>
      </w:rPr>
    </w:lvl>
    <w:lvl w:ilvl="1" w:tplc="9D2E6BCE">
      <w:start w:val="1"/>
      <w:numFmt w:val="bullet"/>
      <w:lvlText w:val=""/>
      <w:lvlJc w:val="left"/>
      <w:pPr>
        <w:ind w:left="800" w:hanging="427"/>
      </w:pPr>
      <w:rPr>
        <w:rFonts w:ascii="Symbol" w:eastAsia="Symbol" w:hAnsi="Symbol" w:hint="default"/>
        <w:w w:val="99"/>
        <w:sz w:val="22"/>
        <w:szCs w:val="22"/>
      </w:rPr>
    </w:lvl>
    <w:lvl w:ilvl="2" w:tplc="47FAABBC">
      <w:start w:val="1"/>
      <w:numFmt w:val="bullet"/>
      <w:lvlText w:val=""/>
      <w:lvlJc w:val="left"/>
      <w:pPr>
        <w:ind w:left="952" w:hanging="361"/>
      </w:pPr>
      <w:rPr>
        <w:rFonts w:ascii="Symbol" w:eastAsia="Symbol" w:hAnsi="Symbol" w:hint="default"/>
        <w:w w:val="99"/>
        <w:sz w:val="22"/>
        <w:szCs w:val="22"/>
      </w:rPr>
    </w:lvl>
    <w:lvl w:ilvl="3" w:tplc="F794B0E0">
      <w:start w:val="1"/>
      <w:numFmt w:val="bullet"/>
      <w:lvlText w:val="•"/>
      <w:lvlJc w:val="left"/>
      <w:pPr>
        <w:ind w:left="2792" w:hanging="361"/>
      </w:pPr>
      <w:rPr>
        <w:rFonts w:hint="default"/>
      </w:rPr>
    </w:lvl>
    <w:lvl w:ilvl="4" w:tplc="30160714">
      <w:start w:val="1"/>
      <w:numFmt w:val="bullet"/>
      <w:lvlText w:val="•"/>
      <w:lvlJc w:val="left"/>
      <w:pPr>
        <w:ind w:left="4625" w:hanging="361"/>
      </w:pPr>
      <w:rPr>
        <w:rFonts w:hint="default"/>
      </w:rPr>
    </w:lvl>
    <w:lvl w:ilvl="5" w:tplc="D1A2A950">
      <w:start w:val="1"/>
      <w:numFmt w:val="bullet"/>
      <w:lvlText w:val="•"/>
      <w:lvlJc w:val="left"/>
      <w:pPr>
        <w:ind w:left="6457" w:hanging="361"/>
      </w:pPr>
      <w:rPr>
        <w:rFonts w:hint="default"/>
      </w:rPr>
    </w:lvl>
    <w:lvl w:ilvl="6" w:tplc="0A4EB652">
      <w:start w:val="1"/>
      <w:numFmt w:val="bullet"/>
      <w:lvlText w:val="•"/>
      <w:lvlJc w:val="left"/>
      <w:pPr>
        <w:ind w:left="8290" w:hanging="361"/>
      </w:pPr>
      <w:rPr>
        <w:rFonts w:hint="default"/>
      </w:rPr>
    </w:lvl>
    <w:lvl w:ilvl="7" w:tplc="00C867BC">
      <w:start w:val="1"/>
      <w:numFmt w:val="bullet"/>
      <w:lvlText w:val="•"/>
      <w:lvlJc w:val="left"/>
      <w:pPr>
        <w:ind w:left="10122" w:hanging="361"/>
      </w:pPr>
      <w:rPr>
        <w:rFonts w:hint="default"/>
      </w:rPr>
    </w:lvl>
    <w:lvl w:ilvl="8" w:tplc="14EE3382">
      <w:start w:val="1"/>
      <w:numFmt w:val="bullet"/>
      <w:lvlText w:val="•"/>
      <w:lvlJc w:val="left"/>
      <w:pPr>
        <w:ind w:left="11955" w:hanging="361"/>
      </w:pPr>
      <w:rPr>
        <w:rFonts w:hint="default"/>
      </w:rPr>
    </w:lvl>
  </w:abstractNum>
  <w:abstractNum w:abstractNumId="9" w15:restartNumberingAfterBreak="0">
    <w:nsid w:val="4F2C1018"/>
    <w:multiLevelType w:val="hybridMultilevel"/>
    <w:tmpl w:val="5FEAF1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B160FF"/>
    <w:multiLevelType w:val="hybridMultilevel"/>
    <w:tmpl w:val="E5F0A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16C5A82"/>
    <w:multiLevelType w:val="hybridMultilevel"/>
    <w:tmpl w:val="DDB06B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A372FB3"/>
    <w:multiLevelType w:val="hybridMultilevel"/>
    <w:tmpl w:val="F55C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B1CC6"/>
    <w:multiLevelType w:val="hybridMultilevel"/>
    <w:tmpl w:val="99A4C3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20F3194"/>
    <w:multiLevelType w:val="hybridMultilevel"/>
    <w:tmpl w:val="4CDAD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9E461E"/>
    <w:multiLevelType w:val="hybridMultilevel"/>
    <w:tmpl w:val="492CA9F4"/>
    <w:lvl w:ilvl="0" w:tplc="7960EFBE">
      <w:start w:val="1"/>
      <w:numFmt w:val="decimal"/>
      <w:lvlText w:val="%1."/>
      <w:lvlJc w:val="left"/>
      <w:pPr>
        <w:ind w:left="800" w:hanging="565"/>
      </w:pPr>
      <w:rPr>
        <w:rFonts w:ascii="Arial" w:eastAsia="Arial" w:hAnsi="Arial" w:hint="default"/>
        <w:w w:val="99"/>
        <w:sz w:val="22"/>
        <w:szCs w:val="22"/>
      </w:rPr>
    </w:lvl>
    <w:lvl w:ilvl="1" w:tplc="FACCFD62">
      <w:start w:val="1"/>
      <w:numFmt w:val="bullet"/>
      <w:lvlText w:val="•"/>
      <w:lvlJc w:val="left"/>
      <w:pPr>
        <w:ind w:left="2282" w:hanging="565"/>
      </w:pPr>
      <w:rPr>
        <w:rFonts w:hint="default"/>
      </w:rPr>
    </w:lvl>
    <w:lvl w:ilvl="2" w:tplc="578C0584">
      <w:start w:val="1"/>
      <w:numFmt w:val="bullet"/>
      <w:lvlText w:val="•"/>
      <w:lvlJc w:val="left"/>
      <w:pPr>
        <w:ind w:left="3764" w:hanging="565"/>
      </w:pPr>
      <w:rPr>
        <w:rFonts w:hint="default"/>
      </w:rPr>
    </w:lvl>
    <w:lvl w:ilvl="3" w:tplc="E4DED248">
      <w:start w:val="1"/>
      <w:numFmt w:val="bullet"/>
      <w:lvlText w:val="•"/>
      <w:lvlJc w:val="left"/>
      <w:pPr>
        <w:ind w:left="5246" w:hanging="565"/>
      </w:pPr>
      <w:rPr>
        <w:rFonts w:hint="default"/>
      </w:rPr>
    </w:lvl>
    <w:lvl w:ilvl="4" w:tplc="ADFC3A60">
      <w:start w:val="1"/>
      <w:numFmt w:val="bullet"/>
      <w:lvlText w:val="•"/>
      <w:lvlJc w:val="left"/>
      <w:pPr>
        <w:ind w:left="6728" w:hanging="565"/>
      </w:pPr>
      <w:rPr>
        <w:rFonts w:hint="default"/>
      </w:rPr>
    </w:lvl>
    <w:lvl w:ilvl="5" w:tplc="F3CA3A2A">
      <w:start w:val="1"/>
      <w:numFmt w:val="bullet"/>
      <w:lvlText w:val="•"/>
      <w:lvlJc w:val="left"/>
      <w:pPr>
        <w:ind w:left="8210" w:hanging="565"/>
      </w:pPr>
      <w:rPr>
        <w:rFonts w:hint="default"/>
      </w:rPr>
    </w:lvl>
    <w:lvl w:ilvl="6" w:tplc="B19AD348">
      <w:start w:val="1"/>
      <w:numFmt w:val="bullet"/>
      <w:lvlText w:val="•"/>
      <w:lvlJc w:val="left"/>
      <w:pPr>
        <w:ind w:left="9692" w:hanging="565"/>
      </w:pPr>
      <w:rPr>
        <w:rFonts w:hint="default"/>
      </w:rPr>
    </w:lvl>
    <w:lvl w:ilvl="7" w:tplc="14F44BAA">
      <w:start w:val="1"/>
      <w:numFmt w:val="bullet"/>
      <w:lvlText w:val="•"/>
      <w:lvlJc w:val="left"/>
      <w:pPr>
        <w:ind w:left="11174" w:hanging="565"/>
      </w:pPr>
      <w:rPr>
        <w:rFonts w:hint="default"/>
      </w:rPr>
    </w:lvl>
    <w:lvl w:ilvl="8" w:tplc="24BA3D3C">
      <w:start w:val="1"/>
      <w:numFmt w:val="bullet"/>
      <w:lvlText w:val="•"/>
      <w:lvlJc w:val="left"/>
      <w:pPr>
        <w:ind w:left="12656" w:hanging="565"/>
      </w:pPr>
      <w:rPr>
        <w:rFonts w:hint="default"/>
      </w:rPr>
    </w:lvl>
  </w:abstractNum>
  <w:abstractNum w:abstractNumId="16" w15:restartNumberingAfterBreak="0">
    <w:nsid w:val="672833FF"/>
    <w:multiLevelType w:val="hybridMultilevel"/>
    <w:tmpl w:val="19BEF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2A5FE2"/>
    <w:multiLevelType w:val="hybridMultilevel"/>
    <w:tmpl w:val="9FE45F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EDC335C"/>
    <w:multiLevelType w:val="hybridMultilevel"/>
    <w:tmpl w:val="34FAA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00042"/>
    <w:multiLevelType w:val="hybridMultilevel"/>
    <w:tmpl w:val="94589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5"/>
  </w:num>
  <w:num w:numId="3">
    <w:abstractNumId w:val="4"/>
  </w:num>
  <w:num w:numId="4">
    <w:abstractNumId w:val="3"/>
  </w:num>
  <w:num w:numId="5">
    <w:abstractNumId w:val="6"/>
  </w:num>
  <w:num w:numId="6">
    <w:abstractNumId w:val="9"/>
  </w:num>
  <w:num w:numId="7">
    <w:abstractNumId w:val="5"/>
  </w:num>
  <w:num w:numId="8">
    <w:abstractNumId w:val="16"/>
  </w:num>
  <w:num w:numId="9">
    <w:abstractNumId w:val="14"/>
  </w:num>
  <w:num w:numId="10">
    <w:abstractNumId w:val="0"/>
  </w:num>
  <w:num w:numId="11">
    <w:abstractNumId w:val="18"/>
  </w:num>
  <w:num w:numId="12">
    <w:abstractNumId w:val="7"/>
  </w:num>
  <w:num w:numId="13">
    <w:abstractNumId w:val="2"/>
  </w:num>
  <w:num w:numId="14">
    <w:abstractNumId w:val="10"/>
  </w:num>
  <w:num w:numId="15">
    <w:abstractNumId w:val="1"/>
  </w:num>
  <w:num w:numId="16">
    <w:abstractNumId w:val="17"/>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0E"/>
    <w:rsid w:val="0000016E"/>
    <w:rsid w:val="00003274"/>
    <w:rsid w:val="00003627"/>
    <w:rsid w:val="00007BE9"/>
    <w:rsid w:val="00012C20"/>
    <w:rsid w:val="000169B2"/>
    <w:rsid w:val="00026533"/>
    <w:rsid w:val="000310D1"/>
    <w:rsid w:val="00031364"/>
    <w:rsid w:val="00033115"/>
    <w:rsid w:val="00035AA0"/>
    <w:rsid w:val="00037AEC"/>
    <w:rsid w:val="00042F51"/>
    <w:rsid w:val="00044233"/>
    <w:rsid w:val="00044EF9"/>
    <w:rsid w:val="000463E9"/>
    <w:rsid w:val="000504F8"/>
    <w:rsid w:val="000534D5"/>
    <w:rsid w:val="00056BF4"/>
    <w:rsid w:val="0005771B"/>
    <w:rsid w:val="00061246"/>
    <w:rsid w:val="0006325D"/>
    <w:rsid w:val="000675F0"/>
    <w:rsid w:val="00067AF5"/>
    <w:rsid w:val="00071269"/>
    <w:rsid w:val="00076C59"/>
    <w:rsid w:val="00077003"/>
    <w:rsid w:val="00077032"/>
    <w:rsid w:val="000824BD"/>
    <w:rsid w:val="00083798"/>
    <w:rsid w:val="00083974"/>
    <w:rsid w:val="00085599"/>
    <w:rsid w:val="000919DD"/>
    <w:rsid w:val="0009495A"/>
    <w:rsid w:val="000A4669"/>
    <w:rsid w:val="000A5624"/>
    <w:rsid w:val="000A6202"/>
    <w:rsid w:val="000B1C93"/>
    <w:rsid w:val="000B2F77"/>
    <w:rsid w:val="000B36AD"/>
    <w:rsid w:val="000B4217"/>
    <w:rsid w:val="000B4EE5"/>
    <w:rsid w:val="000C1429"/>
    <w:rsid w:val="000C294A"/>
    <w:rsid w:val="000C64D0"/>
    <w:rsid w:val="000C7D48"/>
    <w:rsid w:val="000C7D50"/>
    <w:rsid w:val="000D0204"/>
    <w:rsid w:val="000D6493"/>
    <w:rsid w:val="000E1FBF"/>
    <w:rsid w:val="000E5877"/>
    <w:rsid w:val="000E6449"/>
    <w:rsid w:val="000E6D01"/>
    <w:rsid w:val="000F105F"/>
    <w:rsid w:val="000F1A19"/>
    <w:rsid w:val="000F24D7"/>
    <w:rsid w:val="000F346F"/>
    <w:rsid w:val="000F7075"/>
    <w:rsid w:val="00103330"/>
    <w:rsid w:val="001067F7"/>
    <w:rsid w:val="00106F99"/>
    <w:rsid w:val="00111EC2"/>
    <w:rsid w:val="001142DA"/>
    <w:rsid w:val="00116A63"/>
    <w:rsid w:val="00117CDB"/>
    <w:rsid w:val="00120617"/>
    <w:rsid w:val="00122193"/>
    <w:rsid w:val="001248E9"/>
    <w:rsid w:val="00124F17"/>
    <w:rsid w:val="00130FE9"/>
    <w:rsid w:val="00131381"/>
    <w:rsid w:val="00131691"/>
    <w:rsid w:val="00132457"/>
    <w:rsid w:val="00132675"/>
    <w:rsid w:val="00135F9F"/>
    <w:rsid w:val="00136A5C"/>
    <w:rsid w:val="00137876"/>
    <w:rsid w:val="00137A87"/>
    <w:rsid w:val="001403D5"/>
    <w:rsid w:val="00140BF9"/>
    <w:rsid w:val="00143E78"/>
    <w:rsid w:val="00144E96"/>
    <w:rsid w:val="001451D7"/>
    <w:rsid w:val="001478A4"/>
    <w:rsid w:val="00147D27"/>
    <w:rsid w:val="0015125C"/>
    <w:rsid w:val="00152753"/>
    <w:rsid w:val="00156091"/>
    <w:rsid w:val="00157884"/>
    <w:rsid w:val="001607A6"/>
    <w:rsid w:val="00160C97"/>
    <w:rsid w:val="001616AC"/>
    <w:rsid w:val="0016247C"/>
    <w:rsid w:val="0016461B"/>
    <w:rsid w:val="00164633"/>
    <w:rsid w:val="00165BD4"/>
    <w:rsid w:val="00171685"/>
    <w:rsid w:val="001726B0"/>
    <w:rsid w:val="001745E0"/>
    <w:rsid w:val="00180F08"/>
    <w:rsid w:val="00183723"/>
    <w:rsid w:val="00184901"/>
    <w:rsid w:val="00185EAC"/>
    <w:rsid w:val="001912A8"/>
    <w:rsid w:val="00193FAB"/>
    <w:rsid w:val="00196A3D"/>
    <w:rsid w:val="001A0984"/>
    <w:rsid w:val="001A2F8C"/>
    <w:rsid w:val="001A37AD"/>
    <w:rsid w:val="001A73E4"/>
    <w:rsid w:val="001A763B"/>
    <w:rsid w:val="001B061C"/>
    <w:rsid w:val="001B3C08"/>
    <w:rsid w:val="001B54C1"/>
    <w:rsid w:val="001C2828"/>
    <w:rsid w:val="001C6B99"/>
    <w:rsid w:val="001C6BFA"/>
    <w:rsid w:val="001C746E"/>
    <w:rsid w:val="001C78F4"/>
    <w:rsid w:val="001D267E"/>
    <w:rsid w:val="001D470D"/>
    <w:rsid w:val="001D6953"/>
    <w:rsid w:val="001D7974"/>
    <w:rsid w:val="001E0EB0"/>
    <w:rsid w:val="001E5489"/>
    <w:rsid w:val="001E678F"/>
    <w:rsid w:val="001E7190"/>
    <w:rsid w:val="001F258A"/>
    <w:rsid w:val="001F3B9F"/>
    <w:rsid w:val="001F487D"/>
    <w:rsid w:val="001F77A7"/>
    <w:rsid w:val="002019ED"/>
    <w:rsid w:val="00204921"/>
    <w:rsid w:val="002052B1"/>
    <w:rsid w:val="00205776"/>
    <w:rsid w:val="00206D43"/>
    <w:rsid w:val="00207896"/>
    <w:rsid w:val="00211852"/>
    <w:rsid w:val="002126E8"/>
    <w:rsid w:val="00213A88"/>
    <w:rsid w:val="00213CB3"/>
    <w:rsid w:val="002176C6"/>
    <w:rsid w:val="00217F9D"/>
    <w:rsid w:val="00220845"/>
    <w:rsid w:val="0022305B"/>
    <w:rsid w:val="002240BA"/>
    <w:rsid w:val="00225659"/>
    <w:rsid w:val="0023308E"/>
    <w:rsid w:val="00236D00"/>
    <w:rsid w:val="00241E6A"/>
    <w:rsid w:val="002430A0"/>
    <w:rsid w:val="00245D73"/>
    <w:rsid w:val="002460FD"/>
    <w:rsid w:val="00247E16"/>
    <w:rsid w:val="00250429"/>
    <w:rsid w:val="00250896"/>
    <w:rsid w:val="00251E82"/>
    <w:rsid w:val="00254CF7"/>
    <w:rsid w:val="00256FEE"/>
    <w:rsid w:val="00257AC8"/>
    <w:rsid w:val="00260CD3"/>
    <w:rsid w:val="00262779"/>
    <w:rsid w:val="00263045"/>
    <w:rsid w:val="002647CE"/>
    <w:rsid w:val="00266897"/>
    <w:rsid w:val="00266DE6"/>
    <w:rsid w:val="002728C5"/>
    <w:rsid w:val="002744D4"/>
    <w:rsid w:val="00274C24"/>
    <w:rsid w:val="0027571E"/>
    <w:rsid w:val="002763A4"/>
    <w:rsid w:val="00276A34"/>
    <w:rsid w:val="00277260"/>
    <w:rsid w:val="002803F7"/>
    <w:rsid w:val="00282BC9"/>
    <w:rsid w:val="00282C8B"/>
    <w:rsid w:val="002841F4"/>
    <w:rsid w:val="0028504D"/>
    <w:rsid w:val="00285A13"/>
    <w:rsid w:val="00287EB5"/>
    <w:rsid w:val="00294FFE"/>
    <w:rsid w:val="002954BA"/>
    <w:rsid w:val="002958AA"/>
    <w:rsid w:val="00297477"/>
    <w:rsid w:val="00297648"/>
    <w:rsid w:val="002A1B58"/>
    <w:rsid w:val="002A29FF"/>
    <w:rsid w:val="002A61E1"/>
    <w:rsid w:val="002B083D"/>
    <w:rsid w:val="002B0F71"/>
    <w:rsid w:val="002C3254"/>
    <w:rsid w:val="002C36D0"/>
    <w:rsid w:val="002C4528"/>
    <w:rsid w:val="002C4949"/>
    <w:rsid w:val="002D0B56"/>
    <w:rsid w:val="002D44A5"/>
    <w:rsid w:val="002D6D2E"/>
    <w:rsid w:val="002E14B5"/>
    <w:rsid w:val="002E169F"/>
    <w:rsid w:val="002E41C7"/>
    <w:rsid w:val="002E4295"/>
    <w:rsid w:val="002E564C"/>
    <w:rsid w:val="002E5895"/>
    <w:rsid w:val="002F010B"/>
    <w:rsid w:val="002F11BB"/>
    <w:rsid w:val="002F2C65"/>
    <w:rsid w:val="002F6490"/>
    <w:rsid w:val="002F6772"/>
    <w:rsid w:val="002F6E7A"/>
    <w:rsid w:val="00302284"/>
    <w:rsid w:val="00307167"/>
    <w:rsid w:val="0030778D"/>
    <w:rsid w:val="00310C78"/>
    <w:rsid w:val="003111CA"/>
    <w:rsid w:val="003175EA"/>
    <w:rsid w:val="00320E87"/>
    <w:rsid w:val="00323705"/>
    <w:rsid w:val="00330C13"/>
    <w:rsid w:val="0033199E"/>
    <w:rsid w:val="00332474"/>
    <w:rsid w:val="00332AF0"/>
    <w:rsid w:val="00332C00"/>
    <w:rsid w:val="00333A7F"/>
    <w:rsid w:val="00334031"/>
    <w:rsid w:val="003435B0"/>
    <w:rsid w:val="0035116D"/>
    <w:rsid w:val="003545EB"/>
    <w:rsid w:val="00355589"/>
    <w:rsid w:val="00357040"/>
    <w:rsid w:val="00357916"/>
    <w:rsid w:val="00360F75"/>
    <w:rsid w:val="00364E1E"/>
    <w:rsid w:val="00366CFA"/>
    <w:rsid w:val="00371AF0"/>
    <w:rsid w:val="00372D3F"/>
    <w:rsid w:val="00375687"/>
    <w:rsid w:val="00376B7D"/>
    <w:rsid w:val="0038053F"/>
    <w:rsid w:val="003807F9"/>
    <w:rsid w:val="00380983"/>
    <w:rsid w:val="003836F5"/>
    <w:rsid w:val="00384B27"/>
    <w:rsid w:val="00386C15"/>
    <w:rsid w:val="00390544"/>
    <w:rsid w:val="0039626E"/>
    <w:rsid w:val="0039734A"/>
    <w:rsid w:val="003A252E"/>
    <w:rsid w:val="003A63E3"/>
    <w:rsid w:val="003A6A2B"/>
    <w:rsid w:val="003A7BE2"/>
    <w:rsid w:val="003A7EFE"/>
    <w:rsid w:val="003B20BD"/>
    <w:rsid w:val="003B6BBE"/>
    <w:rsid w:val="003C0545"/>
    <w:rsid w:val="003C0C77"/>
    <w:rsid w:val="003C12CB"/>
    <w:rsid w:val="003C3050"/>
    <w:rsid w:val="003C56B5"/>
    <w:rsid w:val="003C5F10"/>
    <w:rsid w:val="003C67B9"/>
    <w:rsid w:val="003D2B35"/>
    <w:rsid w:val="003D2D49"/>
    <w:rsid w:val="003D3466"/>
    <w:rsid w:val="003D509F"/>
    <w:rsid w:val="003D51A7"/>
    <w:rsid w:val="003D5798"/>
    <w:rsid w:val="003D7BFA"/>
    <w:rsid w:val="003D7F5D"/>
    <w:rsid w:val="003E05B2"/>
    <w:rsid w:val="003E1381"/>
    <w:rsid w:val="003E3025"/>
    <w:rsid w:val="003E53CD"/>
    <w:rsid w:val="003E7FFA"/>
    <w:rsid w:val="003F0148"/>
    <w:rsid w:val="003F091D"/>
    <w:rsid w:val="003F1D9A"/>
    <w:rsid w:val="003F2875"/>
    <w:rsid w:val="003F5197"/>
    <w:rsid w:val="003F7AC9"/>
    <w:rsid w:val="003F7AE4"/>
    <w:rsid w:val="00401EF6"/>
    <w:rsid w:val="00402468"/>
    <w:rsid w:val="0041356C"/>
    <w:rsid w:val="00420810"/>
    <w:rsid w:val="00421141"/>
    <w:rsid w:val="00421F98"/>
    <w:rsid w:val="00424F2E"/>
    <w:rsid w:val="00425DF5"/>
    <w:rsid w:val="004302CD"/>
    <w:rsid w:val="0043772B"/>
    <w:rsid w:val="00441EF1"/>
    <w:rsid w:val="00443EF8"/>
    <w:rsid w:val="0044650B"/>
    <w:rsid w:val="00453C21"/>
    <w:rsid w:val="00455797"/>
    <w:rsid w:val="00461D08"/>
    <w:rsid w:val="00462901"/>
    <w:rsid w:val="004650F2"/>
    <w:rsid w:val="004651BB"/>
    <w:rsid w:val="004663EF"/>
    <w:rsid w:val="004670C3"/>
    <w:rsid w:val="004676BD"/>
    <w:rsid w:val="00470D22"/>
    <w:rsid w:val="004822D4"/>
    <w:rsid w:val="004856E0"/>
    <w:rsid w:val="004975FD"/>
    <w:rsid w:val="004A0291"/>
    <w:rsid w:val="004A08B7"/>
    <w:rsid w:val="004A18DA"/>
    <w:rsid w:val="004A51B4"/>
    <w:rsid w:val="004A5786"/>
    <w:rsid w:val="004B2881"/>
    <w:rsid w:val="004B2A5B"/>
    <w:rsid w:val="004B5E2C"/>
    <w:rsid w:val="004B7EBD"/>
    <w:rsid w:val="004C0D44"/>
    <w:rsid w:val="004C1F2C"/>
    <w:rsid w:val="004C3121"/>
    <w:rsid w:val="004C3AEA"/>
    <w:rsid w:val="004C5268"/>
    <w:rsid w:val="004C66DF"/>
    <w:rsid w:val="004D0B40"/>
    <w:rsid w:val="004D0FB0"/>
    <w:rsid w:val="004D1346"/>
    <w:rsid w:val="004D201D"/>
    <w:rsid w:val="004D5E44"/>
    <w:rsid w:val="004D6690"/>
    <w:rsid w:val="004D6E0C"/>
    <w:rsid w:val="004E0E52"/>
    <w:rsid w:val="004E6265"/>
    <w:rsid w:val="004F2686"/>
    <w:rsid w:val="004F3740"/>
    <w:rsid w:val="004F44BE"/>
    <w:rsid w:val="004F7A39"/>
    <w:rsid w:val="005038BB"/>
    <w:rsid w:val="00505D01"/>
    <w:rsid w:val="005073F7"/>
    <w:rsid w:val="005103E3"/>
    <w:rsid w:val="00510B6A"/>
    <w:rsid w:val="00513CEF"/>
    <w:rsid w:val="005141B3"/>
    <w:rsid w:val="00515F06"/>
    <w:rsid w:val="00520C4C"/>
    <w:rsid w:val="00521167"/>
    <w:rsid w:val="005214B4"/>
    <w:rsid w:val="00521B34"/>
    <w:rsid w:val="00523418"/>
    <w:rsid w:val="00525CA4"/>
    <w:rsid w:val="00525EAA"/>
    <w:rsid w:val="005301B0"/>
    <w:rsid w:val="0053175D"/>
    <w:rsid w:val="005322C4"/>
    <w:rsid w:val="00532D30"/>
    <w:rsid w:val="00534421"/>
    <w:rsid w:val="00540D2D"/>
    <w:rsid w:val="00541F2A"/>
    <w:rsid w:val="0054381C"/>
    <w:rsid w:val="00543EDE"/>
    <w:rsid w:val="00543F04"/>
    <w:rsid w:val="00545BC2"/>
    <w:rsid w:val="00546181"/>
    <w:rsid w:val="005527E6"/>
    <w:rsid w:val="005566FC"/>
    <w:rsid w:val="00560787"/>
    <w:rsid w:val="0056088C"/>
    <w:rsid w:val="005619CD"/>
    <w:rsid w:val="0056601A"/>
    <w:rsid w:val="005734BA"/>
    <w:rsid w:val="00573632"/>
    <w:rsid w:val="005821DE"/>
    <w:rsid w:val="00585695"/>
    <w:rsid w:val="0058790B"/>
    <w:rsid w:val="005900B0"/>
    <w:rsid w:val="0059331F"/>
    <w:rsid w:val="00594140"/>
    <w:rsid w:val="00595A98"/>
    <w:rsid w:val="00595F78"/>
    <w:rsid w:val="005A1B5F"/>
    <w:rsid w:val="005A669C"/>
    <w:rsid w:val="005B0532"/>
    <w:rsid w:val="005B3ED2"/>
    <w:rsid w:val="005B4CB8"/>
    <w:rsid w:val="005B524F"/>
    <w:rsid w:val="005B5B36"/>
    <w:rsid w:val="005B6494"/>
    <w:rsid w:val="005C2371"/>
    <w:rsid w:val="005C2719"/>
    <w:rsid w:val="005C6000"/>
    <w:rsid w:val="005C6817"/>
    <w:rsid w:val="005C74CB"/>
    <w:rsid w:val="005D0A52"/>
    <w:rsid w:val="005D4B0C"/>
    <w:rsid w:val="005D7872"/>
    <w:rsid w:val="005E02A8"/>
    <w:rsid w:val="005E49FE"/>
    <w:rsid w:val="005E7B2F"/>
    <w:rsid w:val="005F1C91"/>
    <w:rsid w:val="005F4045"/>
    <w:rsid w:val="005F4781"/>
    <w:rsid w:val="005F47B6"/>
    <w:rsid w:val="005F58F6"/>
    <w:rsid w:val="005F628F"/>
    <w:rsid w:val="005F7A98"/>
    <w:rsid w:val="00603CDA"/>
    <w:rsid w:val="006055C1"/>
    <w:rsid w:val="006063D3"/>
    <w:rsid w:val="0060682B"/>
    <w:rsid w:val="00606F17"/>
    <w:rsid w:val="00610A47"/>
    <w:rsid w:val="00615B32"/>
    <w:rsid w:val="0061630A"/>
    <w:rsid w:val="006236B0"/>
    <w:rsid w:val="00624978"/>
    <w:rsid w:val="00625310"/>
    <w:rsid w:val="0062605F"/>
    <w:rsid w:val="00630C1C"/>
    <w:rsid w:val="00633189"/>
    <w:rsid w:val="00635D69"/>
    <w:rsid w:val="00635F77"/>
    <w:rsid w:val="006371BF"/>
    <w:rsid w:val="006427E0"/>
    <w:rsid w:val="006431F5"/>
    <w:rsid w:val="0064399F"/>
    <w:rsid w:val="006447A7"/>
    <w:rsid w:val="00646115"/>
    <w:rsid w:val="006529F5"/>
    <w:rsid w:val="00652C29"/>
    <w:rsid w:val="006551EF"/>
    <w:rsid w:val="00671315"/>
    <w:rsid w:val="00671C7D"/>
    <w:rsid w:val="0067224F"/>
    <w:rsid w:val="00672971"/>
    <w:rsid w:val="006731E3"/>
    <w:rsid w:val="00673452"/>
    <w:rsid w:val="006739C9"/>
    <w:rsid w:val="00674F6F"/>
    <w:rsid w:val="00677C47"/>
    <w:rsid w:val="006861C0"/>
    <w:rsid w:val="00687BB7"/>
    <w:rsid w:val="006905A1"/>
    <w:rsid w:val="00690A8F"/>
    <w:rsid w:val="006921B3"/>
    <w:rsid w:val="00693C28"/>
    <w:rsid w:val="00695696"/>
    <w:rsid w:val="006968E2"/>
    <w:rsid w:val="006A0DE5"/>
    <w:rsid w:val="006A13A4"/>
    <w:rsid w:val="006A1869"/>
    <w:rsid w:val="006A301F"/>
    <w:rsid w:val="006A38D0"/>
    <w:rsid w:val="006A795C"/>
    <w:rsid w:val="006B20B8"/>
    <w:rsid w:val="006B6756"/>
    <w:rsid w:val="006B6EBC"/>
    <w:rsid w:val="006C343D"/>
    <w:rsid w:val="006C4F34"/>
    <w:rsid w:val="006C5421"/>
    <w:rsid w:val="006C5BB1"/>
    <w:rsid w:val="006D1214"/>
    <w:rsid w:val="006E2EA8"/>
    <w:rsid w:val="006F28B9"/>
    <w:rsid w:val="006F2CD6"/>
    <w:rsid w:val="006F373B"/>
    <w:rsid w:val="006F4AD2"/>
    <w:rsid w:val="006F5400"/>
    <w:rsid w:val="006F6370"/>
    <w:rsid w:val="00700A05"/>
    <w:rsid w:val="00703835"/>
    <w:rsid w:val="0070615E"/>
    <w:rsid w:val="0071680D"/>
    <w:rsid w:val="00720A91"/>
    <w:rsid w:val="00722324"/>
    <w:rsid w:val="00723447"/>
    <w:rsid w:val="007246CD"/>
    <w:rsid w:val="00724E90"/>
    <w:rsid w:val="00725D3F"/>
    <w:rsid w:val="00731D71"/>
    <w:rsid w:val="007322FA"/>
    <w:rsid w:val="007448E2"/>
    <w:rsid w:val="00745AA7"/>
    <w:rsid w:val="0074734E"/>
    <w:rsid w:val="00747AF6"/>
    <w:rsid w:val="007523DD"/>
    <w:rsid w:val="007535DD"/>
    <w:rsid w:val="007560D6"/>
    <w:rsid w:val="00760786"/>
    <w:rsid w:val="00761EFE"/>
    <w:rsid w:val="007644BF"/>
    <w:rsid w:val="007656A7"/>
    <w:rsid w:val="007662CD"/>
    <w:rsid w:val="00772EEB"/>
    <w:rsid w:val="00773A1E"/>
    <w:rsid w:val="00775D12"/>
    <w:rsid w:val="00783D30"/>
    <w:rsid w:val="0079201B"/>
    <w:rsid w:val="007934E8"/>
    <w:rsid w:val="0079461E"/>
    <w:rsid w:val="007961BE"/>
    <w:rsid w:val="007A002E"/>
    <w:rsid w:val="007A2AC9"/>
    <w:rsid w:val="007A42EB"/>
    <w:rsid w:val="007A5209"/>
    <w:rsid w:val="007A52EA"/>
    <w:rsid w:val="007B01B6"/>
    <w:rsid w:val="007B13D7"/>
    <w:rsid w:val="007B1895"/>
    <w:rsid w:val="007B3CDA"/>
    <w:rsid w:val="007B6893"/>
    <w:rsid w:val="007B7ABC"/>
    <w:rsid w:val="007C0A22"/>
    <w:rsid w:val="007C3FB3"/>
    <w:rsid w:val="007C4842"/>
    <w:rsid w:val="007C58ED"/>
    <w:rsid w:val="007C59D3"/>
    <w:rsid w:val="007D23CD"/>
    <w:rsid w:val="007D4634"/>
    <w:rsid w:val="007D52AA"/>
    <w:rsid w:val="007D5C59"/>
    <w:rsid w:val="007E2075"/>
    <w:rsid w:val="007E23BA"/>
    <w:rsid w:val="007E532B"/>
    <w:rsid w:val="007E6565"/>
    <w:rsid w:val="007F07EE"/>
    <w:rsid w:val="007F0ABA"/>
    <w:rsid w:val="007F1EF3"/>
    <w:rsid w:val="007F21C3"/>
    <w:rsid w:val="007F3A4F"/>
    <w:rsid w:val="007F459A"/>
    <w:rsid w:val="007F7B01"/>
    <w:rsid w:val="007F7D61"/>
    <w:rsid w:val="0080077F"/>
    <w:rsid w:val="00802F08"/>
    <w:rsid w:val="00803D34"/>
    <w:rsid w:val="0080510E"/>
    <w:rsid w:val="0080583D"/>
    <w:rsid w:val="008059AC"/>
    <w:rsid w:val="0081045E"/>
    <w:rsid w:val="008130D4"/>
    <w:rsid w:val="008176B1"/>
    <w:rsid w:val="008203FE"/>
    <w:rsid w:val="00820D7A"/>
    <w:rsid w:val="00823EE4"/>
    <w:rsid w:val="008264E9"/>
    <w:rsid w:val="00827ADA"/>
    <w:rsid w:val="00830A3C"/>
    <w:rsid w:val="0083168D"/>
    <w:rsid w:val="0083298A"/>
    <w:rsid w:val="00833A20"/>
    <w:rsid w:val="00837E13"/>
    <w:rsid w:val="008401CA"/>
    <w:rsid w:val="0084029C"/>
    <w:rsid w:val="008404F1"/>
    <w:rsid w:val="008413F0"/>
    <w:rsid w:val="0084221A"/>
    <w:rsid w:val="0084389B"/>
    <w:rsid w:val="008453B1"/>
    <w:rsid w:val="00846B2E"/>
    <w:rsid w:val="0085002A"/>
    <w:rsid w:val="008518E0"/>
    <w:rsid w:val="0085337B"/>
    <w:rsid w:val="00853903"/>
    <w:rsid w:val="00853EAE"/>
    <w:rsid w:val="008572CA"/>
    <w:rsid w:val="0085765B"/>
    <w:rsid w:val="008578A5"/>
    <w:rsid w:val="008602AC"/>
    <w:rsid w:val="00861892"/>
    <w:rsid w:val="00862BCD"/>
    <w:rsid w:val="008700EC"/>
    <w:rsid w:val="00873047"/>
    <w:rsid w:val="00873C6F"/>
    <w:rsid w:val="00875685"/>
    <w:rsid w:val="00877089"/>
    <w:rsid w:val="00883E3D"/>
    <w:rsid w:val="00886175"/>
    <w:rsid w:val="008910D6"/>
    <w:rsid w:val="00896BAE"/>
    <w:rsid w:val="008974F5"/>
    <w:rsid w:val="008A1688"/>
    <w:rsid w:val="008A3948"/>
    <w:rsid w:val="008A6E93"/>
    <w:rsid w:val="008A7355"/>
    <w:rsid w:val="008A7E0C"/>
    <w:rsid w:val="008B19F6"/>
    <w:rsid w:val="008B3264"/>
    <w:rsid w:val="008B32DD"/>
    <w:rsid w:val="008B36B1"/>
    <w:rsid w:val="008C1098"/>
    <w:rsid w:val="008C294D"/>
    <w:rsid w:val="008D49E2"/>
    <w:rsid w:val="008E3F17"/>
    <w:rsid w:val="008E515B"/>
    <w:rsid w:val="008E60C9"/>
    <w:rsid w:val="008E74DC"/>
    <w:rsid w:val="008F3585"/>
    <w:rsid w:val="008F5135"/>
    <w:rsid w:val="00900794"/>
    <w:rsid w:val="00901410"/>
    <w:rsid w:val="00905ACF"/>
    <w:rsid w:val="00906953"/>
    <w:rsid w:val="00907324"/>
    <w:rsid w:val="009153BD"/>
    <w:rsid w:val="00915FDB"/>
    <w:rsid w:val="0092013A"/>
    <w:rsid w:val="00920F1A"/>
    <w:rsid w:val="00921C11"/>
    <w:rsid w:val="00922C7C"/>
    <w:rsid w:val="00923330"/>
    <w:rsid w:val="009246C1"/>
    <w:rsid w:val="00930236"/>
    <w:rsid w:val="00933B63"/>
    <w:rsid w:val="009411F4"/>
    <w:rsid w:val="0094183C"/>
    <w:rsid w:val="0094212E"/>
    <w:rsid w:val="00942CB1"/>
    <w:rsid w:val="009449DE"/>
    <w:rsid w:val="00945146"/>
    <w:rsid w:val="0094567F"/>
    <w:rsid w:val="00946055"/>
    <w:rsid w:val="00953C03"/>
    <w:rsid w:val="00954852"/>
    <w:rsid w:val="00961001"/>
    <w:rsid w:val="00962588"/>
    <w:rsid w:val="009627CB"/>
    <w:rsid w:val="00962A2E"/>
    <w:rsid w:val="00965413"/>
    <w:rsid w:val="009805B8"/>
    <w:rsid w:val="00982ED6"/>
    <w:rsid w:val="009851FC"/>
    <w:rsid w:val="009932AE"/>
    <w:rsid w:val="009936BD"/>
    <w:rsid w:val="009939CF"/>
    <w:rsid w:val="00994F55"/>
    <w:rsid w:val="00995162"/>
    <w:rsid w:val="00996386"/>
    <w:rsid w:val="009967F8"/>
    <w:rsid w:val="00997BFB"/>
    <w:rsid w:val="009A0072"/>
    <w:rsid w:val="009A0580"/>
    <w:rsid w:val="009A3852"/>
    <w:rsid w:val="009A7437"/>
    <w:rsid w:val="009B52F5"/>
    <w:rsid w:val="009B5D48"/>
    <w:rsid w:val="009C29BB"/>
    <w:rsid w:val="009C2B69"/>
    <w:rsid w:val="009C3E50"/>
    <w:rsid w:val="009C3F5E"/>
    <w:rsid w:val="009C7148"/>
    <w:rsid w:val="009D1328"/>
    <w:rsid w:val="009D4719"/>
    <w:rsid w:val="009D626E"/>
    <w:rsid w:val="009D7760"/>
    <w:rsid w:val="009D77A2"/>
    <w:rsid w:val="009E0B7E"/>
    <w:rsid w:val="009E18D3"/>
    <w:rsid w:val="009E1EE9"/>
    <w:rsid w:val="009E3421"/>
    <w:rsid w:val="009E5206"/>
    <w:rsid w:val="009E5C1E"/>
    <w:rsid w:val="009F2410"/>
    <w:rsid w:val="009F2B72"/>
    <w:rsid w:val="009F302A"/>
    <w:rsid w:val="009F5EBE"/>
    <w:rsid w:val="009F612A"/>
    <w:rsid w:val="009F7BA2"/>
    <w:rsid w:val="00A007DE"/>
    <w:rsid w:val="00A015C2"/>
    <w:rsid w:val="00A03638"/>
    <w:rsid w:val="00A03E5B"/>
    <w:rsid w:val="00A0673F"/>
    <w:rsid w:val="00A06E54"/>
    <w:rsid w:val="00A071D2"/>
    <w:rsid w:val="00A15FCD"/>
    <w:rsid w:val="00A16BE5"/>
    <w:rsid w:val="00A1740E"/>
    <w:rsid w:val="00A24A18"/>
    <w:rsid w:val="00A253BD"/>
    <w:rsid w:val="00A259B1"/>
    <w:rsid w:val="00A26B0B"/>
    <w:rsid w:val="00A35F38"/>
    <w:rsid w:val="00A42120"/>
    <w:rsid w:val="00A424C2"/>
    <w:rsid w:val="00A43309"/>
    <w:rsid w:val="00A506B4"/>
    <w:rsid w:val="00A52745"/>
    <w:rsid w:val="00A57C94"/>
    <w:rsid w:val="00A605FC"/>
    <w:rsid w:val="00A61A5C"/>
    <w:rsid w:val="00A628D7"/>
    <w:rsid w:val="00A679D9"/>
    <w:rsid w:val="00A708D4"/>
    <w:rsid w:val="00A721C7"/>
    <w:rsid w:val="00A7571C"/>
    <w:rsid w:val="00A77D0C"/>
    <w:rsid w:val="00A81A9C"/>
    <w:rsid w:val="00A81AEB"/>
    <w:rsid w:val="00A86108"/>
    <w:rsid w:val="00A90C37"/>
    <w:rsid w:val="00A942D3"/>
    <w:rsid w:val="00A9432E"/>
    <w:rsid w:val="00AA5150"/>
    <w:rsid w:val="00AA5323"/>
    <w:rsid w:val="00AA5F73"/>
    <w:rsid w:val="00AC0CF3"/>
    <w:rsid w:val="00AC10FF"/>
    <w:rsid w:val="00AC2A24"/>
    <w:rsid w:val="00AC2B1F"/>
    <w:rsid w:val="00AC6718"/>
    <w:rsid w:val="00AD70FA"/>
    <w:rsid w:val="00AD7F72"/>
    <w:rsid w:val="00AE3367"/>
    <w:rsid w:val="00AE409C"/>
    <w:rsid w:val="00AE4C39"/>
    <w:rsid w:val="00AE6AB5"/>
    <w:rsid w:val="00AE6ED5"/>
    <w:rsid w:val="00AE7169"/>
    <w:rsid w:val="00AF1B2C"/>
    <w:rsid w:val="00AF246B"/>
    <w:rsid w:val="00AF2767"/>
    <w:rsid w:val="00AF6EBD"/>
    <w:rsid w:val="00B0236C"/>
    <w:rsid w:val="00B03F2D"/>
    <w:rsid w:val="00B05077"/>
    <w:rsid w:val="00B0598A"/>
    <w:rsid w:val="00B115DF"/>
    <w:rsid w:val="00B1175B"/>
    <w:rsid w:val="00B16738"/>
    <w:rsid w:val="00B17BAF"/>
    <w:rsid w:val="00B22684"/>
    <w:rsid w:val="00B22FDC"/>
    <w:rsid w:val="00B244F3"/>
    <w:rsid w:val="00B2672F"/>
    <w:rsid w:val="00B32615"/>
    <w:rsid w:val="00B347CE"/>
    <w:rsid w:val="00B35630"/>
    <w:rsid w:val="00B35CB7"/>
    <w:rsid w:val="00B3764E"/>
    <w:rsid w:val="00B3787E"/>
    <w:rsid w:val="00B40991"/>
    <w:rsid w:val="00B45829"/>
    <w:rsid w:val="00B50AD3"/>
    <w:rsid w:val="00B522B0"/>
    <w:rsid w:val="00B52394"/>
    <w:rsid w:val="00B5494F"/>
    <w:rsid w:val="00B631EB"/>
    <w:rsid w:val="00B65DC0"/>
    <w:rsid w:val="00B72BB9"/>
    <w:rsid w:val="00B72CE4"/>
    <w:rsid w:val="00B76C81"/>
    <w:rsid w:val="00B81EAC"/>
    <w:rsid w:val="00B87881"/>
    <w:rsid w:val="00B91C5A"/>
    <w:rsid w:val="00B92D8F"/>
    <w:rsid w:val="00B9465D"/>
    <w:rsid w:val="00B9576A"/>
    <w:rsid w:val="00BA28EC"/>
    <w:rsid w:val="00BA461A"/>
    <w:rsid w:val="00BA4DDB"/>
    <w:rsid w:val="00BA59D0"/>
    <w:rsid w:val="00BA7D3E"/>
    <w:rsid w:val="00BA7EAA"/>
    <w:rsid w:val="00BB1E15"/>
    <w:rsid w:val="00BB2994"/>
    <w:rsid w:val="00BB4A62"/>
    <w:rsid w:val="00BB7651"/>
    <w:rsid w:val="00BC2578"/>
    <w:rsid w:val="00BC3CE6"/>
    <w:rsid w:val="00BC7DA3"/>
    <w:rsid w:val="00BD1B91"/>
    <w:rsid w:val="00BD2A2E"/>
    <w:rsid w:val="00BD67D8"/>
    <w:rsid w:val="00BE07FF"/>
    <w:rsid w:val="00BE6D30"/>
    <w:rsid w:val="00BF069E"/>
    <w:rsid w:val="00BF209C"/>
    <w:rsid w:val="00BF2B6D"/>
    <w:rsid w:val="00BF35EE"/>
    <w:rsid w:val="00BF4D36"/>
    <w:rsid w:val="00BF5A5E"/>
    <w:rsid w:val="00BF6B6D"/>
    <w:rsid w:val="00BF76BC"/>
    <w:rsid w:val="00C01ECC"/>
    <w:rsid w:val="00C02F50"/>
    <w:rsid w:val="00C044DA"/>
    <w:rsid w:val="00C10994"/>
    <w:rsid w:val="00C12344"/>
    <w:rsid w:val="00C12F96"/>
    <w:rsid w:val="00C1414A"/>
    <w:rsid w:val="00C17C2B"/>
    <w:rsid w:val="00C21D26"/>
    <w:rsid w:val="00C238FC"/>
    <w:rsid w:val="00C27608"/>
    <w:rsid w:val="00C311DF"/>
    <w:rsid w:val="00C322A9"/>
    <w:rsid w:val="00C32B95"/>
    <w:rsid w:val="00C34710"/>
    <w:rsid w:val="00C3715F"/>
    <w:rsid w:val="00C40EDE"/>
    <w:rsid w:val="00C41E14"/>
    <w:rsid w:val="00C4247B"/>
    <w:rsid w:val="00C42BD2"/>
    <w:rsid w:val="00C463F0"/>
    <w:rsid w:val="00C51375"/>
    <w:rsid w:val="00C551B3"/>
    <w:rsid w:val="00C61924"/>
    <w:rsid w:val="00C623DA"/>
    <w:rsid w:val="00C624AF"/>
    <w:rsid w:val="00C63636"/>
    <w:rsid w:val="00C6500A"/>
    <w:rsid w:val="00C666FA"/>
    <w:rsid w:val="00C674B3"/>
    <w:rsid w:val="00C67796"/>
    <w:rsid w:val="00C701A4"/>
    <w:rsid w:val="00C74862"/>
    <w:rsid w:val="00C80B1B"/>
    <w:rsid w:val="00C82C88"/>
    <w:rsid w:val="00C85643"/>
    <w:rsid w:val="00C90075"/>
    <w:rsid w:val="00C90134"/>
    <w:rsid w:val="00C911A3"/>
    <w:rsid w:val="00C914E5"/>
    <w:rsid w:val="00C94ECD"/>
    <w:rsid w:val="00CA0A7B"/>
    <w:rsid w:val="00CA1239"/>
    <w:rsid w:val="00CA1765"/>
    <w:rsid w:val="00CA3C16"/>
    <w:rsid w:val="00CA4D79"/>
    <w:rsid w:val="00CA61E3"/>
    <w:rsid w:val="00CA6AEE"/>
    <w:rsid w:val="00CB1BA3"/>
    <w:rsid w:val="00CB2797"/>
    <w:rsid w:val="00CB5CE7"/>
    <w:rsid w:val="00CB7FF7"/>
    <w:rsid w:val="00CC1A9E"/>
    <w:rsid w:val="00CC1F2E"/>
    <w:rsid w:val="00CC5AB8"/>
    <w:rsid w:val="00CC6D73"/>
    <w:rsid w:val="00CD5053"/>
    <w:rsid w:val="00CE1D1A"/>
    <w:rsid w:val="00CE4A27"/>
    <w:rsid w:val="00CE584A"/>
    <w:rsid w:val="00CE71D3"/>
    <w:rsid w:val="00CE7975"/>
    <w:rsid w:val="00CE7A5B"/>
    <w:rsid w:val="00CF1F60"/>
    <w:rsid w:val="00CF22FC"/>
    <w:rsid w:val="00CF2D63"/>
    <w:rsid w:val="00CF5C88"/>
    <w:rsid w:val="00CF6DCF"/>
    <w:rsid w:val="00D00A94"/>
    <w:rsid w:val="00D0151C"/>
    <w:rsid w:val="00D05379"/>
    <w:rsid w:val="00D05B5D"/>
    <w:rsid w:val="00D06FF2"/>
    <w:rsid w:val="00D11ED4"/>
    <w:rsid w:val="00D1730F"/>
    <w:rsid w:val="00D248BE"/>
    <w:rsid w:val="00D24ADD"/>
    <w:rsid w:val="00D2584F"/>
    <w:rsid w:val="00D26385"/>
    <w:rsid w:val="00D3016C"/>
    <w:rsid w:val="00D336DB"/>
    <w:rsid w:val="00D34044"/>
    <w:rsid w:val="00D40392"/>
    <w:rsid w:val="00D41BDD"/>
    <w:rsid w:val="00D42332"/>
    <w:rsid w:val="00D447D8"/>
    <w:rsid w:val="00D47350"/>
    <w:rsid w:val="00D47DE5"/>
    <w:rsid w:val="00D54609"/>
    <w:rsid w:val="00D54A4A"/>
    <w:rsid w:val="00D5507E"/>
    <w:rsid w:val="00D5696A"/>
    <w:rsid w:val="00D60BA4"/>
    <w:rsid w:val="00D63CD2"/>
    <w:rsid w:val="00D64333"/>
    <w:rsid w:val="00D644A4"/>
    <w:rsid w:val="00D7249E"/>
    <w:rsid w:val="00D73DAD"/>
    <w:rsid w:val="00D753CE"/>
    <w:rsid w:val="00D7796B"/>
    <w:rsid w:val="00D77984"/>
    <w:rsid w:val="00D90755"/>
    <w:rsid w:val="00D91F00"/>
    <w:rsid w:val="00D92189"/>
    <w:rsid w:val="00D94FF6"/>
    <w:rsid w:val="00D9746B"/>
    <w:rsid w:val="00DA0226"/>
    <w:rsid w:val="00DA32A3"/>
    <w:rsid w:val="00DA65B8"/>
    <w:rsid w:val="00DB297F"/>
    <w:rsid w:val="00DC2436"/>
    <w:rsid w:val="00DC2CC6"/>
    <w:rsid w:val="00DC383D"/>
    <w:rsid w:val="00DD556F"/>
    <w:rsid w:val="00DD5B8E"/>
    <w:rsid w:val="00DD7DA6"/>
    <w:rsid w:val="00DE03F3"/>
    <w:rsid w:val="00DE451C"/>
    <w:rsid w:val="00DE54F1"/>
    <w:rsid w:val="00DF013B"/>
    <w:rsid w:val="00DF1186"/>
    <w:rsid w:val="00DF1E33"/>
    <w:rsid w:val="00DF2C70"/>
    <w:rsid w:val="00DF4467"/>
    <w:rsid w:val="00DF5EFA"/>
    <w:rsid w:val="00E04011"/>
    <w:rsid w:val="00E068BB"/>
    <w:rsid w:val="00E100D5"/>
    <w:rsid w:val="00E11261"/>
    <w:rsid w:val="00E13676"/>
    <w:rsid w:val="00E13959"/>
    <w:rsid w:val="00E1714C"/>
    <w:rsid w:val="00E171FF"/>
    <w:rsid w:val="00E17DAE"/>
    <w:rsid w:val="00E22313"/>
    <w:rsid w:val="00E22D19"/>
    <w:rsid w:val="00E23CE6"/>
    <w:rsid w:val="00E25501"/>
    <w:rsid w:val="00E356C4"/>
    <w:rsid w:val="00E37684"/>
    <w:rsid w:val="00E37B47"/>
    <w:rsid w:val="00E41EA6"/>
    <w:rsid w:val="00E422B6"/>
    <w:rsid w:val="00E425CF"/>
    <w:rsid w:val="00E42A78"/>
    <w:rsid w:val="00E43076"/>
    <w:rsid w:val="00E43622"/>
    <w:rsid w:val="00E45DAE"/>
    <w:rsid w:val="00E50CF4"/>
    <w:rsid w:val="00E51A6F"/>
    <w:rsid w:val="00E51FD3"/>
    <w:rsid w:val="00E53882"/>
    <w:rsid w:val="00E53C77"/>
    <w:rsid w:val="00E5723C"/>
    <w:rsid w:val="00E574EB"/>
    <w:rsid w:val="00E575CF"/>
    <w:rsid w:val="00E61E58"/>
    <w:rsid w:val="00E6433A"/>
    <w:rsid w:val="00E64882"/>
    <w:rsid w:val="00E6651B"/>
    <w:rsid w:val="00E6683B"/>
    <w:rsid w:val="00E703FE"/>
    <w:rsid w:val="00E70922"/>
    <w:rsid w:val="00E73391"/>
    <w:rsid w:val="00E74397"/>
    <w:rsid w:val="00E76362"/>
    <w:rsid w:val="00E800D6"/>
    <w:rsid w:val="00E82FDF"/>
    <w:rsid w:val="00E84008"/>
    <w:rsid w:val="00E907C4"/>
    <w:rsid w:val="00E94579"/>
    <w:rsid w:val="00E95856"/>
    <w:rsid w:val="00E9679C"/>
    <w:rsid w:val="00E96A25"/>
    <w:rsid w:val="00E96E62"/>
    <w:rsid w:val="00EA0751"/>
    <w:rsid w:val="00EA2D49"/>
    <w:rsid w:val="00EB1FCB"/>
    <w:rsid w:val="00EB2072"/>
    <w:rsid w:val="00EB62FC"/>
    <w:rsid w:val="00EB772B"/>
    <w:rsid w:val="00EC1B9C"/>
    <w:rsid w:val="00EC7FE6"/>
    <w:rsid w:val="00ED1C23"/>
    <w:rsid w:val="00ED1FD5"/>
    <w:rsid w:val="00ED23E8"/>
    <w:rsid w:val="00ED70BF"/>
    <w:rsid w:val="00EE44B2"/>
    <w:rsid w:val="00EE6A43"/>
    <w:rsid w:val="00EF2E0E"/>
    <w:rsid w:val="00EF3827"/>
    <w:rsid w:val="00F001A2"/>
    <w:rsid w:val="00F02E95"/>
    <w:rsid w:val="00F03178"/>
    <w:rsid w:val="00F0475C"/>
    <w:rsid w:val="00F06A04"/>
    <w:rsid w:val="00F11029"/>
    <w:rsid w:val="00F17EE7"/>
    <w:rsid w:val="00F20849"/>
    <w:rsid w:val="00F26AB4"/>
    <w:rsid w:val="00F323FD"/>
    <w:rsid w:val="00F35F2F"/>
    <w:rsid w:val="00F40A0C"/>
    <w:rsid w:val="00F41AB4"/>
    <w:rsid w:val="00F4263C"/>
    <w:rsid w:val="00F4580C"/>
    <w:rsid w:val="00F45A41"/>
    <w:rsid w:val="00F552EB"/>
    <w:rsid w:val="00F64CF5"/>
    <w:rsid w:val="00F66F64"/>
    <w:rsid w:val="00F71F3C"/>
    <w:rsid w:val="00F71F64"/>
    <w:rsid w:val="00F723B9"/>
    <w:rsid w:val="00F73885"/>
    <w:rsid w:val="00F74246"/>
    <w:rsid w:val="00F82411"/>
    <w:rsid w:val="00F84566"/>
    <w:rsid w:val="00F9110C"/>
    <w:rsid w:val="00F9477F"/>
    <w:rsid w:val="00F970F0"/>
    <w:rsid w:val="00F97837"/>
    <w:rsid w:val="00FA2352"/>
    <w:rsid w:val="00FA25C5"/>
    <w:rsid w:val="00FA73ED"/>
    <w:rsid w:val="00FB0480"/>
    <w:rsid w:val="00FB2020"/>
    <w:rsid w:val="00FB341D"/>
    <w:rsid w:val="00FB587D"/>
    <w:rsid w:val="00FB75BB"/>
    <w:rsid w:val="00FC064B"/>
    <w:rsid w:val="00FC12A2"/>
    <w:rsid w:val="00FC225A"/>
    <w:rsid w:val="00FD1B75"/>
    <w:rsid w:val="00FD24BB"/>
    <w:rsid w:val="00FE0E10"/>
    <w:rsid w:val="00FE2425"/>
    <w:rsid w:val="00FF0749"/>
    <w:rsid w:val="00FF07C8"/>
    <w:rsid w:val="00FF136F"/>
    <w:rsid w:val="00FF1F06"/>
    <w:rsid w:val="00FF2A0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B76F"/>
  <w15:docId w15:val="{CE5429F4-2DE7-4B54-BE2D-1E7E3844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10E"/>
    <w:pPr>
      <w:spacing w:after="0" w:line="240"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32675"/>
    <w:pPr>
      <w:keepNext/>
      <w:keepLines/>
      <w:spacing w:before="40" w:line="276" w:lineRule="auto"/>
      <w:outlineLvl w:val="1"/>
    </w:pPr>
    <w:rPr>
      <w:rFonts w:ascii="Cambria" w:eastAsia="SimSun"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C08"/>
    <w:pPr>
      <w:spacing w:after="0" w:line="240" w:lineRule="auto"/>
    </w:pPr>
  </w:style>
  <w:style w:type="table" w:styleId="TableGrid">
    <w:name w:val="Table Grid"/>
    <w:basedOn w:val="TableNormal"/>
    <w:uiPriority w:val="59"/>
    <w:rsid w:val="001B3C08"/>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849"/>
    <w:pPr>
      <w:widowControl w:val="0"/>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DA65B8"/>
    <w:rPr>
      <w:rFonts w:ascii="Tahoma" w:hAnsi="Tahoma" w:cs="Tahoma"/>
      <w:sz w:val="16"/>
      <w:szCs w:val="16"/>
    </w:rPr>
  </w:style>
  <w:style w:type="character" w:customStyle="1" w:styleId="BalloonTextChar">
    <w:name w:val="Balloon Text Char"/>
    <w:basedOn w:val="DefaultParagraphFont"/>
    <w:link w:val="BalloonText"/>
    <w:uiPriority w:val="99"/>
    <w:semiHidden/>
    <w:rsid w:val="00DA65B8"/>
    <w:rPr>
      <w:rFonts w:ascii="Tahoma" w:eastAsia="Calibri" w:hAnsi="Tahoma" w:cs="Tahoma"/>
      <w:sz w:val="16"/>
      <w:szCs w:val="16"/>
    </w:rPr>
  </w:style>
  <w:style w:type="paragraph" w:customStyle="1" w:styleId="Default">
    <w:name w:val="Default"/>
    <w:rsid w:val="007A42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919DD"/>
    <w:rPr>
      <w:rFonts w:ascii="Times New Roman" w:eastAsiaTheme="minorHAnsi" w:hAnsi="Times New Roman"/>
      <w:sz w:val="24"/>
      <w:szCs w:val="24"/>
      <w:lang w:eastAsia="en-GB"/>
    </w:rPr>
  </w:style>
  <w:style w:type="paragraph" w:styleId="FootnoteText">
    <w:name w:val="footnote text"/>
    <w:basedOn w:val="Normal"/>
    <w:link w:val="FootnoteTextChar"/>
    <w:uiPriority w:val="99"/>
    <w:semiHidden/>
    <w:unhideWhenUsed/>
    <w:rsid w:val="0087708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7089"/>
    <w:rPr>
      <w:sz w:val="20"/>
      <w:szCs w:val="20"/>
    </w:rPr>
  </w:style>
  <w:style w:type="character" w:styleId="FootnoteReference">
    <w:name w:val="footnote reference"/>
    <w:basedOn w:val="DefaultParagraphFont"/>
    <w:uiPriority w:val="99"/>
    <w:semiHidden/>
    <w:unhideWhenUsed/>
    <w:rsid w:val="00877089"/>
    <w:rPr>
      <w:vertAlign w:val="superscript"/>
    </w:rPr>
  </w:style>
  <w:style w:type="paragraph" w:styleId="CommentText">
    <w:name w:val="annotation text"/>
    <w:basedOn w:val="Normal"/>
    <w:link w:val="CommentTextChar"/>
    <w:uiPriority w:val="99"/>
    <w:unhideWhenUsed/>
    <w:rsid w:val="00861892"/>
    <w:rPr>
      <w:sz w:val="20"/>
      <w:szCs w:val="20"/>
    </w:rPr>
  </w:style>
  <w:style w:type="character" w:customStyle="1" w:styleId="CommentTextChar">
    <w:name w:val="Comment Text Char"/>
    <w:basedOn w:val="DefaultParagraphFont"/>
    <w:link w:val="CommentText"/>
    <w:uiPriority w:val="99"/>
    <w:rsid w:val="00861892"/>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B0598A"/>
    <w:rPr>
      <w:sz w:val="16"/>
      <w:szCs w:val="16"/>
    </w:rPr>
  </w:style>
  <w:style w:type="character" w:styleId="Hyperlink">
    <w:name w:val="Hyperlink"/>
    <w:basedOn w:val="DefaultParagraphFont"/>
    <w:uiPriority w:val="99"/>
    <w:semiHidden/>
    <w:unhideWhenUsed/>
    <w:rsid w:val="009805B8"/>
    <w:rPr>
      <w:rFonts w:cs="Times New Roman"/>
      <w:color w:val="0000FF"/>
      <w:u w:val="single"/>
    </w:rPr>
  </w:style>
  <w:style w:type="character" w:customStyle="1" w:styleId="Heading2Char">
    <w:name w:val="Heading 2 Char"/>
    <w:basedOn w:val="DefaultParagraphFont"/>
    <w:link w:val="Heading2"/>
    <w:uiPriority w:val="9"/>
    <w:rsid w:val="00132675"/>
    <w:rPr>
      <w:rFonts w:ascii="Cambria" w:eastAsia="SimSun" w:hAnsi="Cambria" w:cs="Times New Roma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91066">
      <w:bodyDiv w:val="1"/>
      <w:marLeft w:val="0"/>
      <w:marRight w:val="0"/>
      <w:marTop w:val="0"/>
      <w:marBottom w:val="0"/>
      <w:divBdr>
        <w:top w:val="none" w:sz="0" w:space="0" w:color="auto"/>
        <w:left w:val="none" w:sz="0" w:space="0" w:color="auto"/>
        <w:bottom w:val="none" w:sz="0" w:space="0" w:color="auto"/>
        <w:right w:val="none" w:sz="0" w:space="0" w:color="auto"/>
      </w:divBdr>
    </w:div>
    <w:div w:id="331106934">
      <w:bodyDiv w:val="1"/>
      <w:marLeft w:val="0"/>
      <w:marRight w:val="0"/>
      <w:marTop w:val="0"/>
      <w:marBottom w:val="0"/>
      <w:divBdr>
        <w:top w:val="none" w:sz="0" w:space="0" w:color="auto"/>
        <w:left w:val="none" w:sz="0" w:space="0" w:color="auto"/>
        <w:bottom w:val="none" w:sz="0" w:space="0" w:color="auto"/>
        <w:right w:val="none" w:sz="0" w:space="0" w:color="auto"/>
      </w:divBdr>
    </w:div>
    <w:div w:id="660738395">
      <w:bodyDiv w:val="1"/>
      <w:marLeft w:val="0"/>
      <w:marRight w:val="0"/>
      <w:marTop w:val="0"/>
      <w:marBottom w:val="0"/>
      <w:divBdr>
        <w:top w:val="none" w:sz="0" w:space="0" w:color="auto"/>
        <w:left w:val="none" w:sz="0" w:space="0" w:color="auto"/>
        <w:bottom w:val="none" w:sz="0" w:space="0" w:color="auto"/>
        <w:right w:val="none" w:sz="0" w:space="0" w:color="auto"/>
      </w:divBdr>
    </w:div>
    <w:div w:id="950018708">
      <w:bodyDiv w:val="1"/>
      <w:marLeft w:val="0"/>
      <w:marRight w:val="0"/>
      <w:marTop w:val="0"/>
      <w:marBottom w:val="0"/>
      <w:divBdr>
        <w:top w:val="none" w:sz="0" w:space="0" w:color="auto"/>
        <w:left w:val="none" w:sz="0" w:space="0" w:color="auto"/>
        <w:bottom w:val="none" w:sz="0" w:space="0" w:color="auto"/>
        <w:right w:val="none" w:sz="0" w:space="0" w:color="auto"/>
      </w:divBdr>
    </w:div>
    <w:div w:id="970019462">
      <w:bodyDiv w:val="1"/>
      <w:marLeft w:val="0"/>
      <w:marRight w:val="0"/>
      <w:marTop w:val="0"/>
      <w:marBottom w:val="0"/>
      <w:divBdr>
        <w:top w:val="none" w:sz="0" w:space="0" w:color="auto"/>
        <w:left w:val="none" w:sz="0" w:space="0" w:color="auto"/>
        <w:bottom w:val="none" w:sz="0" w:space="0" w:color="auto"/>
        <w:right w:val="none" w:sz="0" w:space="0" w:color="auto"/>
      </w:divBdr>
    </w:div>
    <w:div w:id="1041128656">
      <w:bodyDiv w:val="1"/>
      <w:marLeft w:val="0"/>
      <w:marRight w:val="0"/>
      <w:marTop w:val="0"/>
      <w:marBottom w:val="0"/>
      <w:divBdr>
        <w:top w:val="none" w:sz="0" w:space="0" w:color="auto"/>
        <w:left w:val="none" w:sz="0" w:space="0" w:color="auto"/>
        <w:bottom w:val="none" w:sz="0" w:space="0" w:color="auto"/>
        <w:right w:val="none" w:sz="0" w:space="0" w:color="auto"/>
      </w:divBdr>
    </w:div>
    <w:div w:id="1233194793">
      <w:bodyDiv w:val="1"/>
      <w:marLeft w:val="0"/>
      <w:marRight w:val="0"/>
      <w:marTop w:val="0"/>
      <w:marBottom w:val="0"/>
      <w:divBdr>
        <w:top w:val="none" w:sz="0" w:space="0" w:color="auto"/>
        <w:left w:val="none" w:sz="0" w:space="0" w:color="auto"/>
        <w:bottom w:val="none" w:sz="0" w:space="0" w:color="auto"/>
        <w:right w:val="none" w:sz="0" w:space="0" w:color="auto"/>
      </w:divBdr>
    </w:div>
    <w:div w:id="1268662300">
      <w:bodyDiv w:val="1"/>
      <w:marLeft w:val="0"/>
      <w:marRight w:val="0"/>
      <w:marTop w:val="0"/>
      <w:marBottom w:val="0"/>
      <w:divBdr>
        <w:top w:val="none" w:sz="0" w:space="0" w:color="auto"/>
        <w:left w:val="none" w:sz="0" w:space="0" w:color="auto"/>
        <w:bottom w:val="none" w:sz="0" w:space="0" w:color="auto"/>
        <w:right w:val="none" w:sz="0" w:space="0" w:color="auto"/>
      </w:divBdr>
    </w:div>
    <w:div w:id="1303928966">
      <w:bodyDiv w:val="1"/>
      <w:marLeft w:val="0"/>
      <w:marRight w:val="0"/>
      <w:marTop w:val="0"/>
      <w:marBottom w:val="0"/>
      <w:divBdr>
        <w:top w:val="none" w:sz="0" w:space="0" w:color="auto"/>
        <w:left w:val="none" w:sz="0" w:space="0" w:color="auto"/>
        <w:bottom w:val="none" w:sz="0" w:space="0" w:color="auto"/>
        <w:right w:val="none" w:sz="0" w:space="0" w:color="auto"/>
      </w:divBdr>
    </w:div>
    <w:div w:id="149522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5150D-6891-4D1D-81FC-049027640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4403</TotalTime>
  <Pages>6</Pages>
  <Words>1827</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Robert</cp:lastModifiedBy>
  <cp:revision>409</cp:revision>
  <cp:lastPrinted>2017-09-26T10:51:00Z</cp:lastPrinted>
  <dcterms:created xsi:type="dcterms:W3CDTF">2016-06-27T16:41:00Z</dcterms:created>
  <dcterms:modified xsi:type="dcterms:W3CDTF">2021-10-03T15:29:00Z</dcterms:modified>
</cp:coreProperties>
</file>