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5D29" w14:textId="17A01F2A" w:rsidR="004F4C55" w:rsidRPr="00AE293C" w:rsidRDefault="004F4C55" w:rsidP="00AE293C">
      <w:pPr>
        <w:jc w:val="center"/>
        <w:rPr>
          <w:rFonts w:ascii="Verdana" w:hAnsi="Verdana"/>
        </w:rPr>
      </w:pPr>
      <w:r>
        <w:rPr>
          <w:rFonts w:ascii="Verdana" w:hAnsi="Verdana"/>
          <w:b/>
        </w:rPr>
        <w:t xml:space="preserve">CORPORATION OF </w:t>
      </w:r>
      <w:r w:rsidRPr="00F97EF9">
        <w:rPr>
          <w:rFonts w:ascii="Verdana" w:hAnsi="Verdana"/>
          <w:b/>
        </w:rPr>
        <w:t>SIR GEORGE MONOUX COLLEGE</w:t>
      </w:r>
    </w:p>
    <w:p w14:paraId="38715D2A" w14:textId="77777777" w:rsidR="004F4C55" w:rsidRPr="00F97EF9" w:rsidRDefault="004F4C55" w:rsidP="004F4C55">
      <w:pPr>
        <w:jc w:val="center"/>
        <w:rPr>
          <w:rFonts w:ascii="Verdana" w:hAnsi="Verdana"/>
          <w:b/>
        </w:rPr>
      </w:pPr>
    </w:p>
    <w:p w14:paraId="38715D2B" w14:textId="0208A338" w:rsidR="004F4C55" w:rsidRDefault="004F4C55" w:rsidP="000D4683">
      <w:pPr>
        <w:jc w:val="center"/>
        <w:rPr>
          <w:rFonts w:ascii="Verdana" w:hAnsi="Verdana"/>
          <w:b/>
        </w:rPr>
      </w:pPr>
      <w:r w:rsidRPr="003475F7">
        <w:rPr>
          <w:rFonts w:ascii="Verdana" w:hAnsi="Verdana"/>
          <w:b/>
        </w:rPr>
        <w:t xml:space="preserve">Minutes of </w:t>
      </w:r>
      <w:r w:rsidR="000D4683">
        <w:rPr>
          <w:rFonts w:ascii="Verdana" w:hAnsi="Verdana"/>
          <w:b/>
        </w:rPr>
        <w:t xml:space="preserve">Ordinary Business at </w:t>
      </w:r>
      <w:r w:rsidRPr="003475F7">
        <w:rPr>
          <w:rFonts w:ascii="Verdana" w:hAnsi="Verdana"/>
          <w:b/>
        </w:rPr>
        <w:t xml:space="preserve">the Meeting of the </w:t>
      </w:r>
      <w:r>
        <w:rPr>
          <w:rFonts w:ascii="Verdana" w:hAnsi="Verdana"/>
          <w:b/>
        </w:rPr>
        <w:t>Resources</w:t>
      </w:r>
      <w:r w:rsidRPr="003475F7">
        <w:rPr>
          <w:rFonts w:ascii="Verdana" w:hAnsi="Verdana"/>
          <w:b/>
        </w:rPr>
        <w:t xml:space="preserve"> Committee held on </w:t>
      </w:r>
      <w:r w:rsidR="00991D59">
        <w:rPr>
          <w:rFonts w:ascii="Verdana" w:hAnsi="Verdana"/>
          <w:b/>
        </w:rPr>
        <w:t>16 March 2021</w:t>
      </w:r>
    </w:p>
    <w:p w14:paraId="38715D2C" w14:textId="77777777" w:rsidR="0022757D" w:rsidRDefault="0022757D" w:rsidP="004F4C55">
      <w:pPr>
        <w:jc w:val="center"/>
        <w:rPr>
          <w:rFonts w:ascii="Verdana" w:hAnsi="Verdana"/>
          <w:b/>
        </w:rPr>
      </w:pPr>
    </w:p>
    <w:tbl>
      <w:tblPr>
        <w:tblW w:w="9322" w:type="dxa"/>
        <w:tblLook w:val="04A0" w:firstRow="1" w:lastRow="0" w:firstColumn="1" w:lastColumn="0" w:noHBand="0" w:noVBand="1"/>
      </w:tblPr>
      <w:tblGrid>
        <w:gridCol w:w="2376"/>
        <w:gridCol w:w="6946"/>
      </w:tblGrid>
      <w:tr w:rsidR="004F4C55" w:rsidRPr="003D3002" w14:paraId="38715D31" w14:textId="77777777" w:rsidTr="00FF4453">
        <w:tc>
          <w:tcPr>
            <w:tcW w:w="2376" w:type="dxa"/>
          </w:tcPr>
          <w:p w14:paraId="38715D2D" w14:textId="77777777" w:rsidR="004F4C55" w:rsidRPr="00485D81" w:rsidRDefault="004F4C55" w:rsidP="00721161">
            <w:pPr>
              <w:rPr>
                <w:rFonts w:ascii="Verdana" w:hAnsi="Verdana"/>
                <w:b/>
              </w:rPr>
            </w:pPr>
            <w:r w:rsidRPr="00485D81">
              <w:rPr>
                <w:rFonts w:ascii="Verdana" w:hAnsi="Verdana"/>
                <w:b/>
              </w:rPr>
              <w:t>Present</w:t>
            </w:r>
          </w:p>
          <w:p w14:paraId="38715D2E" w14:textId="77777777" w:rsidR="004F4C55" w:rsidRPr="00485D81" w:rsidRDefault="004F4C55" w:rsidP="00721161">
            <w:pPr>
              <w:rPr>
                <w:rFonts w:ascii="Verdana" w:hAnsi="Verdana"/>
                <w:b/>
              </w:rPr>
            </w:pPr>
          </w:p>
        </w:tc>
        <w:tc>
          <w:tcPr>
            <w:tcW w:w="6946" w:type="dxa"/>
          </w:tcPr>
          <w:p w14:paraId="5F9E1FA0" w14:textId="6DECE829" w:rsidR="004F4C55" w:rsidRDefault="00991D59" w:rsidP="00260D64">
            <w:pPr>
              <w:rPr>
                <w:rFonts w:ascii="Verdana" w:hAnsi="Verdana"/>
              </w:rPr>
            </w:pPr>
            <w:r>
              <w:rPr>
                <w:rFonts w:ascii="Verdana" w:hAnsi="Verdana"/>
              </w:rPr>
              <w:t xml:space="preserve">Jonathan Bush (Chair), </w:t>
            </w:r>
            <w:r w:rsidR="00485D81" w:rsidRPr="00485D81">
              <w:rPr>
                <w:rFonts w:ascii="Verdana" w:hAnsi="Verdana"/>
              </w:rPr>
              <w:t>Jagdev Kenth,</w:t>
            </w:r>
            <w:r w:rsidR="00D32D25">
              <w:rPr>
                <w:rFonts w:ascii="Verdana" w:hAnsi="Verdana"/>
              </w:rPr>
              <w:t xml:space="preserve"> </w:t>
            </w:r>
            <w:r>
              <w:rPr>
                <w:rFonts w:ascii="Verdana" w:hAnsi="Verdana"/>
              </w:rPr>
              <w:t xml:space="preserve">Nazia Shah, </w:t>
            </w:r>
            <w:r w:rsidR="00D32D25">
              <w:rPr>
                <w:rFonts w:ascii="Verdana" w:hAnsi="Verdana"/>
              </w:rPr>
              <w:t xml:space="preserve">David </w:t>
            </w:r>
            <w:proofErr w:type="spellStart"/>
            <w:r w:rsidR="00D32D25">
              <w:rPr>
                <w:rFonts w:ascii="Verdana" w:hAnsi="Verdana"/>
              </w:rPr>
              <w:t>Vasse</w:t>
            </w:r>
            <w:proofErr w:type="spellEnd"/>
            <w:r w:rsidR="00D32D25">
              <w:rPr>
                <w:rFonts w:ascii="Verdana" w:hAnsi="Verdana"/>
              </w:rPr>
              <w:t>,</w:t>
            </w:r>
            <w:r w:rsidR="00485D81" w:rsidRPr="00485D81">
              <w:rPr>
                <w:rFonts w:ascii="Verdana" w:hAnsi="Verdana"/>
              </w:rPr>
              <w:t xml:space="preserve"> Sara Whittaker</w:t>
            </w:r>
            <w:r w:rsidR="00D32D25">
              <w:rPr>
                <w:rFonts w:ascii="Verdana" w:hAnsi="Verdana"/>
              </w:rPr>
              <w:t xml:space="preserve">, Jay </w:t>
            </w:r>
            <w:proofErr w:type="spellStart"/>
            <w:r w:rsidR="00D32D25">
              <w:rPr>
                <w:rFonts w:ascii="Verdana" w:hAnsi="Verdana"/>
              </w:rPr>
              <w:t>Wint</w:t>
            </w:r>
            <w:proofErr w:type="spellEnd"/>
            <w:r w:rsidR="00D32D25">
              <w:rPr>
                <w:rFonts w:ascii="Verdana" w:hAnsi="Verdana"/>
              </w:rPr>
              <w:t>.</w:t>
            </w:r>
          </w:p>
          <w:p w14:paraId="38715D30" w14:textId="681DF071" w:rsidR="00D32D25" w:rsidRPr="00485D81" w:rsidRDefault="00D32D25" w:rsidP="00260D64">
            <w:pPr>
              <w:rPr>
                <w:rFonts w:ascii="Verdana" w:hAnsi="Verdana"/>
              </w:rPr>
            </w:pPr>
          </w:p>
        </w:tc>
      </w:tr>
      <w:tr w:rsidR="004F4C55" w:rsidRPr="003D3002" w14:paraId="38715D38" w14:textId="77777777" w:rsidTr="00FF4453">
        <w:tc>
          <w:tcPr>
            <w:tcW w:w="2376" w:type="dxa"/>
          </w:tcPr>
          <w:p w14:paraId="38715D36" w14:textId="3B025867" w:rsidR="004F4C55" w:rsidRPr="003D3002" w:rsidRDefault="00585941" w:rsidP="00721161">
            <w:pPr>
              <w:rPr>
                <w:rFonts w:ascii="Verdana" w:hAnsi="Verdana"/>
                <w:b/>
              </w:rPr>
            </w:pPr>
            <w:r>
              <w:rPr>
                <w:rFonts w:ascii="Verdana" w:hAnsi="Verdana"/>
                <w:b/>
              </w:rPr>
              <w:t>In Attendance</w:t>
            </w:r>
          </w:p>
        </w:tc>
        <w:tc>
          <w:tcPr>
            <w:tcW w:w="6946" w:type="dxa"/>
          </w:tcPr>
          <w:p w14:paraId="38715D37" w14:textId="42785778" w:rsidR="004F4C55" w:rsidRPr="003D3002" w:rsidRDefault="002E019A" w:rsidP="00E95EA4">
            <w:pPr>
              <w:rPr>
                <w:rFonts w:ascii="Verdana" w:hAnsi="Verdana"/>
              </w:rPr>
            </w:pPr>
            <w:r>
              <w:rPr>
                <w:rFonts w:ascii="Verdana" w:hAnsi="Verdana"/>
              </w:rPr>
              <w:t xml:space="preserve">David Ball (Vice Principal: Corporate Services), </w:t>
            </w:r>
            <w:r w:rsidR="00585941" w:rsidRPr="003D3002">
              <w:rPr>
                <w:rFonts w:ascii="Verdana" w:hAnsi="Verdana"/>
              </w:rPr>
              <w:t>Robert Smith (Clerk to the Corporation</w:t>
            </w:r>
            <w:r w:rsidR="00162278">
              <w:rPr>
                <w:rFonts w:ascii="Verdana" w:hAnsi="Verdana"/>
              </w:rPr>
              <w:t>)</w:t>
            </w:r>
            <w:r w:rsidR="00991D59">
              <w:rPr>
                <w:rFonts w:ascii="Verdana" w:hAnsi="Verdana"/>
              </w:rPr>
              <w:t>.</w:t>
            </w:r>
          </w:p>
        </w:tc>
      </w:tr>
    </w:tbl>
    <w:p w14:paraId="38715D39" w14:textId="77777777" w:rsidR="004F4C55" w:rsidRPr="00F97EF9" w:rsidRDefault="004F4C55" w:rsidP="004F4C55">
      <w:pPr>
        <w:rPr>
          <w:rFonts w:ascii="Verdana" w:hAnsi="Verdana"/>
          <w:b/>
        </w:rPr>
      </w:pPr>
    </w:p>
    <w:tbl>
      <w:tblPr>
        <w:tblW w:w="9322" w:type="dxa"/>
        <w:tblLook w:val="04A0" w:firstRow="1" w:lastRow="0" w:firstColumn="1" w:lastColumn="0" w:noHBand="0" w:noVBand="1"/>
      </w:tblPr>
      <w:tblGrid>
        <w:gridCol w:w="534"/>
        <w:gridCol w:w="8788"/>
      </w:tblGrid>
      <w:tr w:rsidR="004F4C55" w:rsidRPr="00F97EF9" w14:paraId="38715D41" w14:textId="77777777" w:rsidTr="00FF4453">
        <w:tc>
          <w:tcPr>
            <w:tcW w:w="534" w:type="dxa"/>
          </w:tcPr>
          <w:p w14:paraId="38715D3A" w14:textId="77777777" w:rsidR="004F4C55" w:rsidRPr="00580B68" w:rsidRDefault="004F4C55" w:rsidP="00721161">
            <w:pPr>
              <w:rPr>
                <w:rFonts w:ascii="Verdana" w:hAnsi="Verdana"/>
                <w:b/>
              </w:rPr>
            </w:pPr>
            <w:r w:rsidRPr="00580B68">
              <w:rPr>
                <w:rFonts w:ascii="Verdana" w:hAnsi="Verdana"/>
                <w:b/>
              </w:rPr>
              <w:t>1</w:t>
            </w:r>
          </w:p>
        </w:tc>
        <w:tc>
          <w:tcPr>
            <w:tcW w:w="8788" w:type="dxa"/>
          </w:tcPr>
          <w:p w14:paraId="38715D3B" w14:textId="554C33B1" w:rsidR="004F4C55" w:rsidRDefault="004F4C55" w:rsidP="00721161">
            <w:pPr>
              <w:rPr>
                <w:rFonts w:ascii="Verdana" w:hAnsi="Verdana"/>
                <w:b/>
              </w:rPr>
            </w:pPr>
            <w:r w:rsidRPr="00F97EF9">
              <w:rPr>
                <w:rFonts w:ascii="Verdana" w:hAnsi="Verdana"/>
                <w:b/>
              </w:rPr>
              <w:t>Apologies for Absence</w:t>
            </w:r>
            <w:r>
              <w:rPr>
                <w:rFonts w:ascii="Verdana" w:hAnsi="Verdana"/>
                <w:b/>
              </w:rPr>
              <w:t xml:space="preserve"> and Quoracy</w:t>
            </w:r>
          </w:p>
          <w:p w14:paraId="38715D3C" w14:textId="77777777" w:rsidR="004F4C55" w:rsidRDefault="004F4C55" w:rsidP="00721161">
            <w:pPr>
              <w:rPr>
                <w:rFonts w:ascii="Verdana" w:hAnsi="Verdana"/>
                <w:b/>
              </w:rPr>
            </w:pPr>
          </w:p>
          <w:p w14:paraId="52C9FB58" w14:textId="6A582B9C" w:rsidR="002D189E" w:rsidRDefault="00EE5EC5" w:rsidP="004F4C55">
            <w:pPr>
              <w:rPr>
                <w:rFonts w:ascii="Verdana" w:hAnsi="Verdana"/>
              </w:rPr>
            </w:pPr>
            <w:r>
              <w:rPr>
                <w:rFonts w:ascii="Verdana" w:hAnsi="Verdana"/>
              </w:rPr>
              <w:t>All members were present.</w:t>
            </w:r>
          </w:p>
          <w:p w14:paraId="38715D40" w14:textId="0D43803B" w:rsidR="004F4C55" w:rsidRPr="00F97EF9" w:rsidRDefault="004F4C55" w:rsidP="00162278">
            <w:pPr>
              <w:rPr>
                <w:rFonts w:ascii="Verdana" w:hAnsi="Verdana"/>
              </w:rPr>
            </w:pPr>
          </w:p>
        </w:tc>
      </w:tr>
      <w:tr w:rsidR="004F4C55" w:rsidRPr="00F97EF9" w14:paraId="38715D47" w14:textId="77777777" w:rsidTr="00FF4453">
        <w:tc>
          <w:tcPr>
            <w:tcW w:w="534" w:type="dxa"/>
          </w:tcPr>
          <w:p w14:paraId="38715D42" w14:textId="77777777" w:rsidR="004F4C55" w:rsidRPr="00580B68" w:rsidRDefault="004F4C55" w:rsidP="00721161">
            <w:pPr>
              <w:rPr>
                <w:rFonts w:ascii="Verdana" w:hAnsi="Verdana"/>
                <w:b/>
              </w:rPr>
            </w:pPr>
            <w:r w:rsidRPr="00580B68">
              <w:rPr>
                <w:rFonts w:ascii="Verdana" w:hAnsi="Verdana"/>
                <w:b/>
              </w:rPr>
              <w:t>2</w:t>
            </w:r>
          </w:p>
        </w:tc>
        <w:tc>
          <w:tcPr>
            <w:tcW w:w="8788" w:type="dxa"/>
          </w:tcPr>
          <w:p w14:paraId="38715D43" w14:textId="77777777" w:rsidR="004F4C55" w:rsidRPr="00F97EF9" w:rsidRDefault="004F4C55" w:rsidP="00721161">
            <w:pPr>
              <w:rPr>
                <w:rFonts w:ascii="Verdana" w:hAnsi="Verdana"/>
                <w:b/>
              </w:rPr>
            </w:pPr>
            <w:r w:rsidRPr="00F97EF9">
              <w:rPr>
                <w:rFonts w:ascii="Verdana" w:hAnsi="Verdana"/>
                <w:b/>
              </w:rPr>
              <w:t>Declarations of Interest</w:t>
            </w:r>
          </w:p>
          <w:p w14:paraId="38715D44" w14:textId="77777777" w:rsidR="004F4C55" w:rsidRPr="00F97EF9" w:rsidRDefault="004F4C55" w:rsidP="00721161">
            <w:pPr>
              <w:rPr>
                <w:rFonts w:ascii="Verdana" w:hAnsi="Verdana"/>
              </w:rPr>
            </w:pPr>
          </w:p>
          <w:p w14:paraId="38715D45" w14:textId="77777777" w:rsidR="004F4C55" w:rsidRPr="00580B68" w:rsidRDefault="004F4C55" w:rsidP="00721161">
            <w:pPr>
              <w:rPr>
                <w:rFonts w:ascii="Verdana" w:hAnsi="Verdana"/>
              </w:rPr>
            </w:pPr>
            <w:r>
              <w:rPr>
                <w:rFonts w:ascii="Verdana" w:hAnsi="Verdana"/>
              </w:rPr>
              <w:t>None.</w:t>
            </w:r>
          </w:p>
          <w:p w14:paraId="38715D46" w14:textId="77777777" w:rsidR="004F4C55" w:rsidRPr="00F97EF9" w:rsidRDefault="004F4C55" w:rsidP="00721161">
            <w:pPr>
              <w:rPr>
                <w:rFonts w:ascii="Verdana" w:hAnsi="Verdana"/>
              </w:rPr>
            </w:pPr>
          </w:p>
        </w:tc>
      </w:tr>
      <w:tr w:rsidR="004F4C55" w:rsidRPr="00F97EF9" w14:paraId="38715D4D" w14:textId="77777777" w:rsidTr="00FF4453">
        <w:tc>
          <w:tcPr>
            <w:tcW w:w="534" w:type="dxa"/>
          </w:tcPr>
          <w:p w14:paraId="38715D48" w14:textId="77777777" w:rsidR="004F4C55" w:rsidRPr="00580B68" w:rsidRDefault="004F4C55" w:rsidP="00721161">
            <w:pPr>
              <w:rPr>
                <w:rFonts w:ascii="Verdana" w:hAnsi="Verdana"/>
                <w:b/>
              </w:rPr>
            </w:pPr>
            <w:r>
              <w:rPr>
                <w:rFonts w:ascii="Verdana" w:hAnsi="Verdana"/>
                <w:b/>
              </w:rPr>
              <w:t>3</w:t>
            </w:r>
          </w:p>
        </w:tc>
        <w:tc>
          <w:tcPr>
            <w:tcW w:w="8788" w:type="dxa"/>
          </w:tcPr>
          <w:p w14:paraId="38715D49" w14:textId="21E8CA4F" w:rsidR="004F4C55" w:rsidRPr="00F97EF9" w:rsidRDefault="004F4C55" w:rsidP="00721161">
            <w:pPr>
              <w:rPr>
                <w:rFonts w:ascii="Verdana" w:hAnsi="Verdana"/>
                <w:b/>
              </w:rPr>
            </w:pPr>
            <w:r w:rsidRPr="00F97EF9">
              <w:rPr>
                <w:rFonts w:ascii="Verdana" w:hAnsi="Verdana"/>
                <w:b/>
              </w:rPr>
              <w:t>Minutes of the Previous Meeting</w:t>
            </w:r>
            <w:r w:rsidR="00991D59">
              <w:rPr>
                <w:rFonts w:ascii="Verdana" w:hAnsi="Verdana"/>
                <w:b/>
              </w:rPr>
              <w:t>: 30 November</w:t>
            </w:r>
            <w:r w:rsidR="00A870EC">
              <w:rPr>
                <w:rFonts w:ascii="Verdana" w:hAnsi="Verdana"/>
                <w:b/>
              </w:rPr>
              <w:t xml:space="preserve"> 2020</w:t>
            </w:r>
          </w:p>
          <w:p w14:paraId="38715D4A" w14:textId="77777777" w:rsidR="004F4C55" w:rsidRDefault="004F4C55" w:rsidP="00721161">
            <w:pPr>
              <w:rPr>
                <w:rFonts w:ascii="Verdana" w:hAnsi="Verdana"/>
              </w:rPr>
            </w:pPr>
          </w:p>
          <w:p w14:paraId="57A72569" w14:textId="6B37E096" w:rsidR="00B75056" w:rsidRPr="00CA1B35" w:rsidRDefault="00B75056" w:rsidP="00B75056">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w:t>
            </w:r>
            <w:r w:rsidR="00162278">
              <w:rPr>
                <w:rFonts w:ascii="Verdana" w:hAnsi="Verdana"/>
              </w:rPr>
              <w:t xml:space="preserve">Acting </w:t>
            </w:r>
            <w:r w:rsidRPr="00CA1B35">
              <w:rPr>
                <w:rFonts w:ascii="Verdana" w:hAnsi="Verdana"/>
              </w:rPr>
              <w:t>Chair of the Co</w:t>
            </w:r>
            <w:r>
              <w:rPr>
                <w:rFonts w:ascii="Verdana" w:hAnsi="Verdana"/>
              </w:rPr>
              <w:t>mmittee</w:t>
            </w:r>
            <w:r w:rsidRPr="00CA1B35">
              <w:rPr>
                <w:rFonts w:ascii="Verdana" w:hAnsi="Verdana"/>
              </w:rPr>
              <w:t xml:space="preserve"> for circulation.</w:t>
            </w:r>
          </w:p>
          <w:p w14:paraId="42531140" w14:textId="77777777" w:rsidR="00B75056" w:rsidRDefault="00B75056" w:rsidP="00B75056">
            <w:pPr>
              <w:pStyle w:val="NoSpacing"/>
              <w:rPr>
                <w:rFonts w:ascii="Verdana" w:hAnsi="Verdana"/>
              </w:rPr>
            </w:pPr>
          </w:p>
          <w:p w14:paraId="07C99181" w14:textId="439D547A" w:rsidR="00B75056" w:rsidRDefault="008B5829" w:rsidP="00B75056">
            <w:pPr>
              <w:pStyle w:val="NoSpacing"/>
              <w:rPr>
                <w:rFonts w:ascii="Verdana" w:hAnsi="Verdana"/>
              </w:rPr>
            </w:pPr>
            <w:r>
              <w:rPr>
                <w:rFonts w:ascii="Verdana" w:hAnsi="Verdana"/>
              </w:rPr>
              <w:t>Subj</w:t>
            </w:r>
            <w:r w:rsidR="00DE31A5">
              <w:rPr>
                <w:rFonts w:ascii="Verdana" w:hAnsi="Verdana"/>
              </w:rPr>
              <w:t>ec</w:t>
            </w:r>
            <w:r>
              <w:rPr>
                <w:rFonts w:ascii="Verdana" w:hAnsi="Verdana"/>
              </w:rPr>
              <w:t>t to minor am</w:t>
            </w:r>
            <w:r w:rsidR="00DE31A5">
              <w:rPr>
                <w:rFonts w:ascii="Verdana" w:hAnsi="Verdana"/>
              </w:rPr>
              <w:t>endments to the title lines of Minutes 8 and 9, t</w:t>
            </w:r>
            <w:r w:rsidR="00B75056" w:rsidRPr="008D40C1">
              <w:rPr>
                <w:rFonts w:ascii="Verdana" w:hAnsi="Verdana"/>
              </w:rPr>
              <w:t xml:space="preserve">he minutes were approved as a correct record of the business transacted, and </w:t>
            </w:r>
            <w:r w:rsidR="00B75056" w:rsidRPr="00B152B1">
              <w:rPr>
                <w:rFonts w:ascii="Verdana" w:hAnsi="Verdana"/>
                <w:i/>
              </w:rPr>
              <w:t>prima facie</w:t>
            </w:r>
            <w:r w:rsidR="00B75056" w:rsidRPr="008D40C1">
              <w:rPr>
                <w:rFonts w:ascii="Verdana" w:hAnsi="Verdana"/>
              </w:rPr>
              <w:t xml:space="preserve"> evidence of the proceedings to which they relate.</w:t>
            </w:r>
          </w:p>
          <w:p w14:paraId="38715D4C" w14:textId="77777777" w:rsidR="004F4C55" w:rsidRPr="00F97EF9" w:rsidRDefault="004F4C55" w:rsidP="00721161">
            <w:pPr>
              <w:rPr>
                <w:rFonts w:ascii="Verdana" w:hAnsi="Verdana"/>
              </w:rPr>
            </w:pPr>
          </w:p>
        </w:tc>
      </w:tr>
      <w:tr w:rsidR="004F4C55" w:rsidRPr="00F97EF9" w14:paraId="38715D52" w14:textId="77777777" w:rsidTr="00FF4453">
        <w:tc>
          <w:tcPr>
            <w:tcW w:w="534" w:type="dxa"/>
          </w:tcPr>
          <w:p w14:paraId="38715D4E" w14:textId="77777777" w:rsidR="004F4C55" w:rsidRPr="00580B68" w:rsidRDefault="004F4C55" w:rsidP="00721161">
            <w:pPr>
              <w:rPr>
                <w:rFonts w:ascii="Verdana" w:hAnsi="Verdana"/>
                <w:b/>
              </w:rPr>
            </w:pPr>
            <w:r>
              <w:rPr>
                <w:rFonts w:ascii="Verdana" w:hAnsi="Verdana"/>
                <w:b/>
              </w:rPr>
              <w:t>4</w:t>
            </w:r>
          </w:p>
        </w:tc>
        <w:tc>
          <w:tcPr>
            <w:tcW w:w="8788" w:type="dxa"/>
          </w:tcPr>
          <w:p w14:paraId="38715D4F" w14:textId="1A271E79" w:rsidR="004F4C55" w:rsidRPr="00F97EF9" w:rsidRDefault="004F4C55" w:rsidP="00721161">
            <w:pPr>
              <w:rPr>
                <w:rFonts w:ascii="Verdana" w:hAnsi="Verdana"/>
                <w:b/>
              </w:rPr>
            </w:pPr>
            <w:r w:rsidRPr="00F97EF9">
              <w:rPr>
                <w:rFonts w:ascii="Verdana" w:hAnsi="Verdana"/>
                <w:b/>
              </w:rPr>
              <w:t>Matters Arising from the Minutes</w:t>
            </w:r>
            <w:r w:rsidR="00991D59">
              <w:rPr>
                <w:rFonts w:ascii="Verdana" w:hAnsi="Verdana"/>
                <w:b/>
              </w:rPr>
              <w:t>: 30 November 2020</w:t>
            </w:r>
          </w:p>
          <w:p w14:paraId="38715D50" w14:textId="77777777" w:rsidR="004F4C55" w:rsidRPr="00F97EF9" w:rsidRDefault="004F4C55" w:rsidP="00721161">
            <w:pPr>
              <w:rPr>
                <w:rFonts w:ascii="Verdana" w:hAnsi="Verdana"/>
              </w:rPr>
            </w:pPr>
          </w:p>
          <w:p w14:paraId="7C6D06D1" w14:textId="79637071" w:rsidR="00734ABA" w:rsidRDefault="00DE31A5" w:rsidP="00DE31A5">
            <w:pPr>
              <w:rPr>
                <w:rFonts w:ascii="Verdana" w:hAnsi="Verdana"/>
              </w:rPr>
            </w:pPr>
            <w:r>
              <w:rPr>
                <w:rFonts w:ascii="Verdana" w:hAnsi="Verdana"/>
              </w:rPr>
              <w:t>Minute 10:  it was reported that to show staff costs divided between teaching, direct student support and other support staf</w:t>
            </w:r>
            <w:r w:rsidR="0076515C">
              <w:rPr>
                <w:rFonts w:ascii="Verdana" w:hAnsi="Verdana"/>
              </w:rPr>
              <w:t>f</w:t>
            </w:r>
            <w:r>
              <w:rPr>
                <w:rFonts w:ascii="Verdana" w:hAnsi="Verdana"/>
              </w:rPr>
              <w:t xml:space="preserve"> will require a substantial amendment to report generation which will be implemented from the start of the 2021-22 year.  In the meantime, a relevant note will be provided to iterations of the management accounts.</w:t>
            </w:r>
          </w:p>
          <w:p w14:paraId="38C3B3B3" w14:textId="77777777" w:rsidR="00DE31A5" w:rsidRDefault="00DE31A5" w:rsidP="00DE31A5">
            <w:pPr>
              <w:rPr>
                <w:rFonts w:ascii="Verdana" w:hAnsi="Verdana"/>
              </w:rPr>
            </w:pPr>
          </w:p>
          <w:p w14:paraId="621E8955" w14:textId="48877604" w:rsidR="00DE31A5" w:rsidRDefault="00DE31A5" w:rsidP="00DE31A5">
            <w:pPr>
              <w:rPr>
                <w:rFonts w:ascii="Verdana" w:hAnsi="Verdana"/>
              </w:rPr>
            </w:pPr>
            <w:r>
              <w:rPr>
                <w:rFonts w:ascii="Verdana" w:hAnsi="Verdana"/>
              </w:rPr>
              <w:t>Other matters were either dealt with elsewhere on the agenda, or form business for future agendas.</w:t>
            </w:r>
          </w:p>
          <w:p w14:paraId="38715D51" w14:textId="0F87A701" w:rsidR="00DE31A5" w:rsidRPr="00F97EF9" w:rsidRDefault="00DE31A5" w:rsidP="00DE31A5">
            <w:pPr>
              <w:rPr>
                <w:rFonts w:ascii="Verdana" w:hAnsi="Verdana"/>
              </w:rPr>
            </w:pPr>
          </w:p>
        </w:tc>
      </w:tr>
      <w:tr w:rsidR="00485D81" w:rsidRPr="00F97EF9" w14:paraId="2E5DB226" w14:textId="77777777" w:rsidTr="00FF4453">
        <w:tc>
          <w:tcPr>
            <w:tcW w:w="534" w:type="dxa"/>
          </w:tcPr>
          <w:p w14:paraId="684B0AB6" w14:textId="1DDFDAB0" w:rsidR="00485D81" w:rsidRDefault="00880795" w:rsidP="00734ABA">
            <w:pPr>
              <w:rPr>
                <w:rFonts w:ascii="Verdana" w:hAnsi="Verdana"/>
                <w:b/>
              </w:rPr>
            </w:pPr>
            <w:r>
              <w:rPr>
                <w:rFonts w:ascii="Verdana" w:hAnsi="Verdana"/>
                <w:b/>
              </w:rPr>
              <w:t>5</w:t>
            </w:r>
          </w:p>
        </w:tc>
        <w:tc>
          <w:tcPr>
            <w:tcW w:w="8788" w:type="dxa"/>
          </w:tcPr>
          <w:p w14:paraId="01A96789" w14:textId="77777777" w:rsidR="00485D81" w:rsidRPr="00AE02AD" w:rsidRDefault="00485D81" w:rsidP="00485D81">
            <w:pPr>
              <w:rPr>
                <w:rFonts w:ascii="Verdana" w:hAnsi="Verdana"/>
                <w:b/>
              </w:rPr>
            </w:pPr>
            <w:r w:rsidRPr="00AE02AD">
              <w:rPr>
                <w:rFonts w:ascii="Verdana" w:hAnsi="Verdana"/>
                <w:b/>
              </w:rPr>
              <w:t>Risk Management Report</w:t>
            </w:r>
          </w:p>
          <w:p w14:paraId="19F81318" w14:textId="77777777" w:rsidR="00485D81" w:rsidRPr="00AE02AD" w:rsidRDefault="00485D81" w:rsidP="00F1530F">
            <w:pPr>
              <w:pStyle w:val="NoSpacing"/>
              <w:rPr>
                <w:rFonts w:ascii="Verdana" w:hAnsi="Verdana"/>
                <w:b/>
              </w:rPr>
            </w:pPr>
          </w:p>
          <w:p w14:paraId="313F5A57" w14:textId="5832128C" w:rsidR="00485D81" w:rsidRPr="00AE02AD" w:rsidRDefault="00485D81" w:rsidP="00485D81">
            <w:pPr>
              <w:rPr>
                <w:rFonts w:ascii="Verdana" w:hAnsi="Verdana"/>
                <w:bCs/>
              </w:rPr>
            </w:pPr>
            <w:r w:rsidRPr="00AE02AD">
              <w:rPr>
                <w:rFonts w:ascii="Verdana" w:hAnsi="Verdana"/>
                <w:bCs/>
              </w:rPr>
              <w:t>It was noted that the Board level risk falling within the remit of the Committee is considered under Agend</w:t>
            </w:r>
            <w:r w:rsidR="00AE02AD">
              <w:rPr>
                <w:rFonts w:ascii="Verdana" w:hAnsi="Verdana"/>
                <w:bCs/>
              </w:rPr>
              <w:t>a</w:t>
            </w:r>
            <w:r w:rsidR="00E34190" w:rsidRPr="00AE02AD">
              <w:rPr>
                <w:rFonts w:ascii="Verdana" w:hAnsi="Verdana"/>
                <w:bCs/>
              </w:rPr>
              <w:t xml:space="preserve"> </w:t>
            </w:r>
            <w:r w:rsidR="00880795">
              <w:rPr>
                <w:rFonts w:ascii="Verdana" w:hAnsi="Verdana"/>
                <w:bCs/>
              </w:rPr>
              <w:t>6</w:t>
            </w:r>
            <w:r w:rsidR="00AE02AD">
              <w:rPr>
                <w:rFonts w:ascii="Verdana" w:hAnsi="Verdana"/>
                <w:bCs/>
              </w:rPr>
              <w:t xml:space="preserve"> and </w:t>
            </w:r>
            <w:r w:rsidR="00880795">
              <w:rPr>
                <w:rFonts w:ascii="Verdana" w:hAnsi="Verdana"/>
                <w:bCs/>
              </w:rPr>
              <w:t>7</w:t>
            </w:r>
            <w:r w:rsidRPr="00AE02AD">
              <w:rPr>
                <w:rFonts w:ascii="Verdana" w:hAnsi="Verdana"/>
                <w:bCs/>
              </w:rPr>
              <w:t xml:space="preserve"> below.</w:t>
            </w:r>
          </w:p>
          <w:p w14:paraId="667993A5" w14:textId="77777777" w:rsidR="00485D81" w:rsidRPr="00AE02AD" w:rsidRDefault="00485D81" w:rsidP="00485D81">
            <w:pPr>
              <w:rPr>
                <w:rFonts w:ascii="Verdana" w:hAnsi="Verdana"/>
                <w:bCs/>
              </w:rPr>
            </w:pPr>
          </w:p>
          <w:p w14:paraId="574985EF" w14:textId="77777777" w:rsidR="00485D81" w:rsidRPr="00AE02AD" w:rsidRDefault="00AA02CF" w:rsidP="00AA02CF">
            <w:pPr>
              <w:rPr>
                <w:rFonts w:ascii="Verdana" w:hAnsi="Verdana"/>
                <w:bCs/>
              </w:rPr>
            </w:pPr>
            <w:r w:rsidRPr="00AE02AD">
              <w:rPr>
                <w:rFonts w:ascii="Verdana" w:hAnsi="Verdana"/>
                <w:bCs/>
              </w:rPr>
              <w:t>No</w:t>
            </w:r>
            <w:r w:rsidR="00485D81" w:rsidRPr="00AE02AD">
              <w:rPr>
                <w:rFonts w:ascii="Verdana" w:hAnsi="Verdana"/>
                <w:bCs/>
              </w:rPr>
              <w:t xml:space="preserve"> other risks requiring the Audit Committee’s attention </w:t>
            </w:r>
            <w:r w:rsidRPr="00AE02AD">
              <w:rPr>
                <w:rFonts w:ascii="Verdana" w:hAnsi="Verdana"/>
                <w:bCs/>
              </w:rPr>
              <w:t>were</w:t>
            </w:r>
            <w:r w:rsidR="00485D81" w:rsidRPr="00AE02AD">
              <w:rPr>
                <w:rFonts w:ascii="Verdana" w:hAnsi="Verdana"/>
                <w:bCs/>
              </w:rPr>
              <w:t xml:space="preserve"> identified in the course of the meeting</w:t>
            </w:r>
            <w:r w:rsidRPr="00AE02AD">
              <w:rPr>
                <w:rFonts w:ascii="Verdana" w:hAnsi="Verdana"/>
                <w:bCs/>
              </w:rPr>
              <w:t>.</w:t>
            </w:r>
          </w:p>
          <w:p w14:paraId="0BBABCA7" w14:textId="77777777" w:rsidR="00FF4453" w:rsidRDefault="00FF4453" w:rsidP="00AA02CF">
            <w:pPr>
              <w:rPr>
                <w:rFonts w:ascii="Verdana" w:hAnsi="Verdana"/>
                <w:b/>
              </w:rPr>
            </w:pPr>
          </w:p>
          <w:p w14:paraId="66AFF7EA" w14:textId="77777777" w:rsidR="00FF4453" w:rsidRDefault="00FF4453" w:rsidP="00AA02CF">
            <w:pPr>
              <w:rPr>
                <w:rFonts w:ascii="Verdana" w:hAnsi="Verdana"/>
                <w:b/>
              </w:rPr>
            </w:pPr>
          </w:p>
          <w:p w14:paraId="6E6A3E3F" w14:textId="77777777" w:rsidR="00FF4453" w:rsidRDefault="00FF4453" w:rsidP="00AA02CF">
            <w:pPr>
              <w:rPr>
                <w:rFonts w:ascii="Verdana" w:hAnsi="Verdana"/>
                <w:b/>
              </w:rPr>
            </w:pPr>
          </w:p>
          <w:p w14:paraId="2892F186" w14:textId="77777777" w:rsidR="00FF4453" w:rsidRDefault="00FF4453" w:rsidP="00AA02CF">
            <w:pPr>
              <w:rPr>
                <w:rFonts w:ascii="Verdana" w:hAnsi="Verdana"/>
                <w:b/>
              </w:rPr>
            </w:pPr>
          </w:p>
          <w:p w14:paraId="7BFD19EC" w14:textId="77777777" w:rsidR="00FF4453" w:rsidRDefault="00FF4453" w:rsidP="00AA02CF">
            <w:pPr>
              <w:rPr>
                <w:rFonts w:ascii="Verdana" w:hAnsi="Verdana"/>
                <w:b/>
              </w:rPr>
            </w:pPr>
          </w:p>
          <w:p w14:paraId="21E6CD46" w14:textId="284862A5" w:rsidR="00FF4453" w:rsidRPr="00AE02AD" w:rsidRDefault="00FF4453" w:rsidP="00AA02CF">
            <w:pPr>
              <w:rPr>
                <w:rFonts w:ascii="Verdana" w:hAnsi="Verdana"/>
                <w:b/>
              </w:rPr>
            </w:pPr>
          </w:p>
        </w:tc>
      </w:tr>
      <w:tr w:rsidR="00162278" w:rsidRPr="00F97EF9" w14:paraId="4AA77E85" w14:textId="77777777" w:rsidTr="00FF4453">
        <w:tc>
          <w:tcPr>
            <w:tcW w:w="534" w:type="dxa"/>
          </w:tcPr>
          <w:p w14:paraId="719E8A36" w14:textId="297FBFFE" w:rsidR="00162278" w:rsidRDefault="00162278" w:rsidP="00162278">
            <w:pPr>
              <w:rPr>
                <w:rFonts w:ascii="Verdana" w:hAnsi="Verdana"/>
                <w:b/>
              </w:rPr>
            </w:pPr>
            <w:r w:rsidRPr="00EB07EA">
              <w:rPr>
                <w:rFonts w:ascii="Verdana" w:hAnsi="Verdana"/>
                <w:b/>
              </w:rPr>
              <w:lastRenderedPageBreak/>
              <w:t>6</w:t>
            </w:r>
          </w:p>
        </w:tc>
        <w:tc>
          <w:tcPr>
            <w:tcW w:w="8788" w:type="dxa"/>
          </w:tcPr>
          <w:p w14:paraId="24F52960" w14:textId="77777777" w:rsidR="00162278" w:rsidRPr="00EB07EA" w:rsidRDefault="00162278" w:rsidP="00162278">
            <w:pPr>
              <w:pStyle w:val="NoSpacing"/>
              <w:rPr>
                <w:rFonts w:ascii="Verdana" w:hAnsi="Verdana"/>
                <w:b/>
              </w:rPr>
            </w:pPr>
            <w:r w:rsidRPr="00EB07EA">
              <w:rPr>
                <w:rFonts w:ascii="Verdana" w:hAnsi="Verdana"/>
                <w:b/>
              </w:rPr>
              <w:t>Management Accounts 2020-21 to Period 6: 31 October 2021</w:t>
            </w:r>
          </w:p>
          <w:p w14:paraId="6C4100E5" w14:textId="77777777" w:rsidR="00162278" w:rsidRPr="00EB07EA" w:rsidRDefault="00162278" w:rsidP="00162278">
            <w:pPr>
              <w:contextualSpacing/>
              <w:rPr>
                <w:rFonts w:ascii="Verdana" w:hAnsi="Verdana" w:cs="Arial"/>
              </w:rPr>
            </w:pPr>
          </w:p>
          <w:p w14:paraId="14CC33CD" w14:textId="77777777" w:rsidR="00162278" w:rsidRPr="00EB07EA" w:rsidRDefault="00162278" w:rsidP="00162278">
            <w:pPr>
              <w:pStyle w:val="NoSpacing"/>
              <w:rPr>
                <w:rFonts w:ascii="Verdana" w:hAnsi="Verdana"/>
              </w:rPr>
            </w:pPr>
            <w:r w:rsidRPr="00EB07EA">
              <w:rPr>
                <w:rFonts w:ascii="Verdana" w:hAnsi="Verdana"/>
              </w:rPr>
              <w:t>A report prepared by the Vice Principal: Corporate Services and the Finance Manager was received and considered.</w:t>
            </w:r>
          </w:p>
          <w:p w14:paraId="78EBF472" w14:textId="77777777" w:rsidR="00162278" w:rsidRPr="00EB07EA" w:rsidRDefault="00162278" w:rsidP="00162278">
            <w:pPr>
              <w:pStyle w:val="NoSpacing"/>
              <w:rPr>
                <w:rFonts w:ascii="Verdana" w:hAnsi="Verdana"/>
              </w:rPr>
            </w:pPr>
          </w:p>
          <w:p w14:paraId="0F0DA35E" w14:textId="3D2F5AB0" w:rsidR="00162278" w:rsidRPr="00EB07EA" w:rsidRDefault="00162278" w:rsidP="00162278">
            <w:pPr>
              <w:pStyle w:val="NoSpacing"/>
              <w:rPr>
                <w:rFonts w:ascii="Verdana" w:hAnsi="Verdana"/>
              </w:rPr>
            </w:pPr>
            <w:r w:rsidRPr="00EB07EA">
              <w:rPr>
                <w:rFonts w:ascii="Verdana" w:hAnsi="Verdana"/>
              </w:rPr>
              <w:t xml:space="preserve">Factors </w:t>
            </w:r>
            <w:r>
              <w:rPr>
                <w:rFonts w:ascii="Verdana" w:hAnsi="Verdana"/>
              </w:rPr>
              <w:t xml:space="preserve">attending </w:t>
            </w:r>
            <w:r w:rsidRPr="00EB07EA">
              <w:rPr>
                <w:rFonts w:ascii="Verdana" w:hAnsi="Verdana"/>
              </w:rPr>
              <w:t>the public health emergency’s impact on College finances were reported and noted.</w:t>
            </w:r>
          </w:p>
          <w:p w14:paraId="1940FAA2" w14:textId="77777777" w:rsidR="00162278" w:rsidRPr="00EB07EA" w:rsidRDefault="00162278" w:rsidP="00162278">
            <w:pPr>
              <w:pStyle w:val="NoSpacing"/>
              <w:rPr>
                <w:rFonts w:ascii="Verdana" w:hAnsi="Verdana"/>
              </w:rPr>
            </w:pPr>
          </w:p>
          <w:p w14:paraId="6CDBD624" w14:textId="42DB402C" w:rsidR="00162278" w:rsidRPr="00EB07EA" w:rsidRDefault="00162278" w:rsidP="00162278">
            <w:pPr>
              <w:contextualSpacing/>
              <w:rPr>
                <w:rFonts w:ascii="Verdana" w:hAnsi="Verdana"/>
              </w:rPr>
            </w:pPr>
            <w:r w:rsidRPr="00EB07EA">
              <w:rPr>
                <w:rFonts w:ascii="Verdana" w:hAnsi="Verdana"/>
              </w:rPr>
              <w:t xml:space="preserve">It was confirmed that the number of enrolled students at the census date was 1,790 (target: 1,820), and that 2021-22 core funding will be based on this figure.  In the course of the year, actual numbers may vary reflecting the effect of suspensions and reinstatements, and </w:t>
            </w:r>
            <w:r w:rsidR="00D77A9B">
              <w:rPr>
                <w:rFonts w:ascii="Verdana" w:hAnsi="Verdana"/>
              </w:rPr>
              <w:t xml:space="preserve">will </w:t>
            </w:r>
            <w:r w:rsidRPr="00EB07EA">
              <w:rPr>
                <w:rFonts w:ascii="Verdana" w:hAnsi="Verdana"/>
              </w:rPr>
              <w:t xml:space="preserve">reduce </w:t>
            </w:r>
            <w:r w:rsidR="00D77A9B">
              <w:rPr>
                <w:rFonts w:ascii="Verdana" w:hAnsi="Verdana"/>
              </w:rPr>
              <w:t>when</w:t>
            </w:r>
            <w:r w:rsidRPr="00EB07EA">
              <w:rPr>
                <w:rFonts w:ascii="Verdana" w:hAnsi="Verdana"/>
              </w:rPr>
              <w:t xml:space="preserve"> students are permanently excluded or otherwise leave the College.</w:t>
            </w:r>
          </w:p>
          <w:p w14:paraId="48B3133F" w14:textId="77777777" w:rsidR="00162278" w:rsidRPr="00EB07EA" w:rsidRDefault="00162278" w:rsidP="00162278">
            <w:pPr>
              <w:contextualSpacing/>
              <w:rPr>
                <w:rFonts w:ascii="Verdana" w:hAnsi="Verdana"/>
              </w:rPr>
            </w:pPr>
          </w:p>
          <w:p w14:paraId="18F62E95" w14:textId="04B8DE66" w:rsidR="00162278" w:rsidRPr="00EB07EA" w:rsidRDefault="00162278" w:rsidP="00162278">
            <w:pPr>
              <w:contextualSpacing/>
              <w:rPr>
                <w:rFonts w:ascii="Verdana" w:hAnsi="Verdana"/>
              </w:rPr>
            </w:pPr>
            <w:r w:rsidRPr="00EB07EA">
              <w:rPr>
                <w:rFonts w:ascii="Verdana" w:hAnsi="Verdana"/>
              </w:rPr>
              <w:t xml:space="preserve">The Accelerated Learning Pathway (ALP) staff had transferred to the College on 1 August 2020.  </w:t>
            </w:r>
            <w:r w:rsidR="00076AF1">
              <w:rPr>
                <w:rFonts w:ascii="Verdana" w:hAnsi="Verdana"/>
              </w:rPr>
              <w:t xml:space="preserve"> </w:t>
            </w:r>
            <w:r w:rsidRPr="00EB07EA">
              <w:rPr>
                <w:rFonts w:ascii="Verdana" w:hAnsi="Verdana"/>
              </w:rPr>
              <w:t xml:space="preserve">Current forecasts indicate that the Pathway </w:t>
            </w:r>
            <w:r w:rsidR="00076AF1">
              <w:rPr>
                <w:rFonts w:ascii="Verdana" w:hAnsi="Verdana"/>
              </w:rPr>
              <w:t xml:space="preserve">to </w:t>
            </w:r>
            <w:r w:rsidRPr="00EB07EA">
              <w:rPr>
                <w:rFonts w:ascii="Verdana" w:hAnsi="Verdana"/>
              </w:rPr>
              <w:t>be a net contributor to College overheads.  Funding is guaranteed at £400,000 per annum, irrespective of student numbers.</w:t>
            </w:r>
          </w:p>
          <w:p w14:paraId="3765C3AD" w14:textId="77777777" w:rsidR="00162278" w:rsidRPr="00EB07EA" w:rsidRDefault="00162278" w:rsidP="00162278">
            <w:pPr>
              <w:contextualSpacing/>
              <w:rPr>
                <w:rFonts w:ascii="Verdana" w:hAnsi="Verdana"/>
              </w:rPr>
            </w:pPr>
          </w:p>
          <w:p w14:paraId="56108A81" w14:textId="1FAFFE3E" w:rsidR="00162278" w:rsidRPr="00EB07EA" w:rsidRDefault="00162278" w:rsidP="00162278">
            <w:pPr>
              <w:contextualSpacing/>
              <w:rPr>
                <w:rFonts w:ascii="Verdana" w:hAnsi="Verdana"/>
              </w:rPr>
            </w:pPr>
            <w:r w:rsidRPr="00EB07EA">
              <w:rPr>
                <w:rFonts w:ascii="Verdana" w:hAnsi="Verdana"/>
              </w:rPr>
              <w:t xml:space="preserve">A restructuring of the ALP is almost complete which will </w:t>
            </w:r>
            <w:r w:rsidR="00076AF1">
              <w:rPr>
                <w:rFonts w:ascii="Verdana" w:hAnsi="Verdana"/>
              </w:rPr>
              <w:t>reduce</w:t>
            </w:r>
            <w:r w:rsidRPr="00EB07EA">
              <w:rPr>
                <w:rFonts w:ascii="Verdana" w:hAnsi="Verdana"/>
              </w:rPr>
              <w:t xml:space="preserve"> pay costs to </w:t>
            </w:r>
            <w:r w:rsidR="00076AF1">
              <w:rPr>
                <w:rFonts w:ascii="Verdana" w:hAnsi="Verdana"/>
              </w:rPr>
              <w:t>yield</w:t>
            </w:r>
            <w:r w:rsidRPr="00EB07EA">
              <w:rPr>
                <w:rFonts w:ascii="Verdana" w:hAnsi="Verdana"/>
              </w:rPr>
              <w:t xml:space="preserve"> a contribution level of around 25%.  The redundancy costs of up to four staff will be covered by the </w:t>
            </w:r>
            <w:r w:rsidR="00076AF1">
              <w:rPr>
                <w:rFonts w:ascii="Verdana" w:hAnsi="Verdana"/>
              </w:rPr>
              <w:t>L</w:t>
            </w:r>
            <w:r w:rsidRPr="00EB07EA">
              <w:rPr>
                <w:rFonts w:ascii="Verdana" w:hAnsi="Verdana"/>
              </w:rPr>
              <w:t>ocal Authority under the contract (the number of redundancies will not exceed four).  The Local Authority will also reimburse salaries for the period the redundant staff worked at the College (up to nine months).</w:t>
            </w:r>
          </w:p>
          <w:p w14:paraId="539E5BB7" w14:textId="77777777" w:rsidR="00162278" w:rsidRPr="00EB07EA" w:rsidRDefault="00162278" w:rsidP="00162278">
            <w:pPr>
              <w:contextualSpacing/>
              <w:rPr>
                <w:rFonts w:ascii="Verdana" w:hAnsi="Verdana"/>
              </w:rPr>
            </w:pPr>
          </w:p>
          <w:p w14:paraId="7D31680C" w14:textId="13E69487" w:rsidR="00162278" w:rsidRPr="00EB07EA" w:rsidRDefault="00162278" w:rsidP="00162278">
            <w:pPr>
              <w:rPr>
                <w:rFonts w:ascii="Verdana" w:hAnsi="Verdana"/>
              </w:rPr>
            </w:pPr>
            <w:r w:rsidRPr="00EB07EA">
              <w:rPr>
                <w:rFonts w:ascii="Verdana" w:hAnsi="Verdana"/>
              </w:rPr>
              <w:t>A 2.5% pay rise, already agreed with support staff, had been budgeted from 1 January 2021, at a cost of 1.4% across the year.  The offer to teachers for 2020</w:t>
            </w:r>
            <w:r w:rsidR="00076AF1">
              <w:rPr>
                <w:rFonts w:ascii="Verdana" w:hAnsi="Verdana"/>
              </w:rPr>
              <w:t>-</w:t>
            </w:r>
            <w:r w:rsidRPr="00EB07EA">
              <w:rPr>
                <w:rFonts w:ascii="Verdana" w:hAnsi="Verdana"/>
              </w:rPr>
              <w:t xml:space="preserve">21 will cost 2.42% in the whole year, and it is expected that the support staff offer will be upgraded to match it.  The additional cost </w:t>
            </w:r>
            <w:r w:rsidR="00076AF1">
              <w:rPr>
                <w:rFonts w:ascii="Verdana" w:hAnsi="Verdana"/>
              </w:rPr>
              <w:t>(in excess of</w:t>
            </w:r>
            <w:r w:rsidRPr="00EB07EA">
              <w:rPr>
                <w:rFonts w:ascii="Verdana" w:hAnsi="Verdana"/>
              </w:rPr>
              <w:t xml:space="preserve"> £78,000</w:t>
            </w:r>
            <w:r w:rsidR="00076AF1">
              <w:rPr>
                <w:rFonts w:ascii="Verdana" w:hAnsi="Verdana"/>
              </w:rPr>
              <w:t>)</w:t>
            </w:r>
            <w:r w:rsidRPr="00EB07EA">
              <w:rPr>
                <w:rFonts w:ascii="Verdana" w:hAnsi="Verdana"/>
              </w:rPr>
              <w:t xml:space="preserve"> is included in the current projected out-turn (deficit: £122,000, budget deficit: £129,000).  To absorb these additional pay costs</w:t>
            </w:r>
            <w:r w:rsidR="00076AF1">
              <w:rPr>
                <w:rFonts w:ascii="Verdana" w:hAnsi="Verdana"/>
              </w:rPr>
              <w:t>,</w:t>
            </w:r>
            <w:r w:rsidRPr="00EB07EA">
              <w:rPr>
                <w:rFonts w:ascii="Verdana" w:hAnsi="Verdana"/>
              </w:rPr>
              <w:t xml:space="preserve"> economies have been made in </w:t>
            </w:r>
            <w:r w:rsidR="00076AF1">
              <w:rPr>
                <w:rFonts w:ascii="Verdana" w:hAnsi="Verdana"/>
              </w:rPr>
              <w:t xml:space="preserve">other </w:t>
            </w:r>
            <w:r w:rsidRPr="00EB07EA">
              <w:rPr>
                <w:rFonts w:ascii="Verdana" w:hAnsi="Verdana"/>
              </w:rPr>
              <w:t xml:space="preserve">spending plans as well as </w:t>
            </w:r>
            <w:r w:rsidR="00D77A9B">
              <w:rPr>
                <w:rFonts w:ascii="Verdana" w:hAnsi="Verdana"/>
              </w:rPr>
              <w:t>through</w:t>
            </w:r>
            <w:r w:rsidRPr="00EB07EA">
              <w:rPr>
                <w:rFonts w:ascii="Verdana" w:hAnsi="Verdana"/>
              </w:rPr>
              <w:t xml:space="preserve"> savings already made.</w:t>
            </w:r>
          </w:p>
          <w:p w14:paraId="6B719C21" w14:textId="77777777" w:rsidR="00162278" w:rsidRPr="00EB07EA" w:rsidRDefault="00162278" w:rsidP="00162278">
            <w:pPr>
              <w:rPr>
                <w:rFonts w:ascii="Verdana" w:hAnsi="Verdana"/>
              </w:rPr>
            </w:pPr>
          </w:p>
          <w:p w14:paraId="007F7CED" w14:textId="0794591C" w:rsidR="00162278" w:rsidRPr="00EB07EA" w:rsidRDefault="00162278" w:rsidP="00162278">
            <w:pPr>
              <w:rPr>
                <w:rFonts w:ascii="Verdana" w:hAnsi="Verdana"/>
              </w:rPr>
            </w:pPr>
            <w:r w:rsidRPr="00EB07EA">
              <w:rPr>
                <w:rFonts w:ascii="Verdana" w:hAnsi="Verdana"/>
              </w:rPr>
              <w:t xml:space="preserve">The government allocated colleges a grant, based on size and yet to be received, to </w:t>
            </w:r>
            <w:r w:rsidR="005337A7">
              <w:rPr>
                <w:rFonts w:ascii="Verdana" w:hAnsi="Verdana"/>
              </w:rPr>
              <w:t>set up and operate</w:t>
            </w:r>
            <w:r w:rsidRPr="00EB07EA">
              <w:rPr>
                <w:rFonts w:ascii="Verdana" w:hAnsi="Verdana"/>
              </w:rPr>
              <w:t xml:space="preserve"> coronavirus lateral flow testing centres.  The grant may be reduced owing to the recent </w:t>
            </w:r>
            <w:r w:rsidR="005337A7">
              <w:rPr>
                <w:rFonts w:ascii="Verdana" w:hAnsi="Verdana"/>
              </w:rPr>
              <w:t>l</w:t>
            </w:r>
            <w:r w:rsidRPr="00EB07EA">
              <w:rPr>
                <w:rFonts w:ascii="Verdana" w:hAnsi="Verdana"/>
              </w:rPr>
              <w:t>ockdown.  For the purposes of the projected out-turn</w:t>
            </w:r>
            <w:r w:rsidR="005337A7">
              <w:rPr>
                <w:rFonts w:ascii="Verdana" w:hAnsi="Verdana"/>
              </w:rPr>
              <w:t>,</w:t>
            </w:r>
            <w:r w:rsidRPr="00EB07EA">
              <w:rPr>
                <w:rFonts w:ascii="Verdana" w:hAnsi="Verdana"/>
              </w:rPr>
              <w:t xml:space="preserve"> it is assumed that </w:t>
            </w:r>
            <w:r w:rsidR="00D77A9B">
              <w:rPr>
                <w:rFonts w:ascii="Verdana" w:hAnsi="Verdana"/>
              </w:rPr>
              <w:t>it</w:t>
            </w:r>
            <w:r w:rsidRPr="00EB07EA">
              <w:rPr>
                <w:rFonts w:ascii="Verdana" w:hAnsi="Verdana"/>
              </w:rPr>
              <w:t xml:space="preserve"> will cover a</w:t>
            </w:r>
            <w:r w:rsidR="005337A7">
              <w:rPr>
                <w:rFonts w:ascii="Verdana" w:hAnsi="Verdana"/>
              </w:rPr>
              <w:t>ll</w:t>
            </w:r>
            <w:r w:rsidRPr="00EB07EA">
              <w:rPr>
                <w:rFonts w:ascii="Verdana" w:hAnsi="Verdana"/>
              </w:rPr>
              <w:t xml:space="preserve"> additional costs incurred by the College.</w:t>
            </w:r>
          </w:p>
          <w:p w14:paraId="35E848F8" w14:textId="77777777" w:rsidR="00162278" w:rsidRPr="00EB07EA" w:rsidRDefault="00162278" w:rsidP="00162278">
            <w:pPr>
              <w:rPr>
                <w:rFonts w:ascii="Verdana" w:hAnsi="Verdana"/>
              </w:rPr>
            </w:pPr>
          </w:p>
          <w:p w14:paraId="2B4426C4" w14:textId="77777777" w:rsidR="00162278" w:rsidRPr="00EB07EA" w:rsidRDefault="00162278" w:rsidP="00162278">
            <w:pPr>
              <w:rPr>
                <w:rFonts w:ascii="Verdana" w:hAnsi="Verdana"/>
              </w:rPr>
            </w:pPr>
            <w:r w:rsidRPr="00EB07EA">
              <w:rPr>
                <w:rFonts w:ascii="Verdana" w:hAnsi="Verdana"/>
              </w:rPr>
              <w:t>It was further noted that:</w:t>
            </w:r>
          </w:p>
          <w:p w14:paraId="708FF5E2" w14:textId="77777777" w:rsidR="00162278" w:rsidRPr="00EB07EA" w:rsidRDefault="00162278" w:rsidP="00162278">
            <w:pPr>
              <w:rPr>
                <w:rFonts w:ascii="Verdana" w:hAnsi="Verdana"/>
              </w:rPr>
            </w:pPr>
          </w:p>
          <w:p w14:paraId="5DD8C048" w14:textId="5377F62E" w:rsidR="00162278" w:rsidRPr="00EB07EA" w:rsidRDefault="00162278" w:rsidP="00162278">
            <w:pPr>
              <w:rPr>
                <w:rFonts w:ascii="Verdana" w:hAnsi="Verdana"/>
                <w:i/>
                <w:iCs/>
              </w:rPr>
            </w:pPr>
            <w:r w:rsidRPr="00EB07EA">
              <w:rPr>
                <w:rFonts w:ascii="Verdana" w:hAnsi="Verdana"/>
                <w:i/>
                <w:iCs/>
              </w:rPr>
              <w:t xml:space="preserve">the College had been allocated £216,000 by the ESFA to help with Maths and English catch-up in 2020-21, which will all be spent if the College </w:t>
            </w:r>
            <w:r w:rsidR="005337A7">
              <w:rPr>
                <w:rFonts w:ascii="Verdana" w:hAnsi="Verdana"/>
                <w:i/>
                <w:iCs/>
              </w:rPr>
              <w:t xml:space="preserve">can </w:t>
            </w:r>
            <w:r w:rsidRPr="00EB07EA">
              <w:rPr>
                <w:rFonts w:ascii="Verdana" w:hAnsi="Verdana"/>
                <w:i/>
                <w:iCs/>
              </w:rPr>
              <w:t>return to relatively normal operation;</w:t>
            </w:r>
          </w:p>
          <w:p w14:paraId="5F557A9F" w14:textId="77777777" w:rsidR="00162278" w:rsidRPr="00EB07EA" w:rsidRDefault="00162278" w:rsidP="00162278">
            <w:pPr>
              <w:rPr>
                <w:rFonts w:ascii="Verdana" w:hAnsi="Verdana"/>
                <w:i/>
                <w:iCs/>
              </w:rPr>
            </w:pPr>
          </w:p>
          <w:p w14:paraId="6D4E1840" w14:textId="29A6F5A3" w:rsidR="00162278" w:rsidRPr="00EB07EA" w:rsidRDefault="00162278" w:rsidP="00162278">
            <w:pPr>
              <w:rPr>
                <w:rFonts w:ascii="Verdana" w:hAnsi="Verdana"/>
                <w:i/>
                <w:iCs/>
              </w:rPr>
            </w:pPr>
            <w:r w:rsidRPr="00EB07EA">
              <w:rPr>
                <w:rFonts w:ascii="Verdana" w:hAnsi="Verdana"/>
                <w:i/>
                <w:iCs/>
              </w:rPr>
              <w:t xml:space="preserve">it had been assumed that the extra £80.000 allocated by the Governing Body to help with catch-up (increasing the forecast deficit by </w:t>
            </w:r>
            <w:r w:rsidR="005337A7">
              <w:rPr>
                <w:rFonts w:ascii="Verdana" w:hAnsi="Verdana"/>
                <w:i/>
                <w:iCs/>
              </w:rPr>
              <w:t xml:space="preserve">an equivalent </w:t>
            </w:r>
            <w:r w:rsidRPr="00EB07EA">
              <w:rPr>
                <w:rFonts w:ascii="Verdana" w:hAnsi="Verdana"/>
                <w:i/>
                <w:iCs/>
              </w:rPr>
              <w:t>amount) will be fully spent, though this is increasingly unlikely;</w:t>
            </w:r>
          </w:p>
          <w:p w14:paraId="68053E11" w14:textId="77777777" w:rsidR="00162278" w:rsidRPr="00EB07EA" w:rsidRDefault="00162278" w:rsidP="00162278">
            <w:pPr>
              <w:rPr>
                <w:rFonts w:ascii="Verdana" w:hAnsi="Verdana"/>
                <w:i/>
                <w:iCs/>
              </w:rPr>
            </w:pPr>
          </w:p>
          <w:p w14:paraId="2C2B04E4" w14:textId="7884ADF1" w:rsidR="00162278" w:rsidRPr="00EB07EA" w:rsidRDefault="00162278" w:rsidP="00162278">
            <w:pPr>
              <w:rPr>
                <w:rFonts w:ascii="Verdana" w:hAnsi="Verdana"/>
                <w:i/>
                <w:iCs/>
              </w:rPr>
            </w:pPr>
            <w:r w:rsidRPr="00EB07EA">
              <w:rPr>
                <w:rFonts w:ascii="Verdana" w:hAnsi="Verdana"/>
                <w:i/>
                <w:iCs/>
              </w:rPr>
              <w:lastRenderedPageBreak/>
              <w:t xml:space="preserve">the College had received £200,000 of Covid-19 funding to cover additional costs, </w:t>
            </w:r>
            <w:r w:rsidR="005337A7">
              <w:rPr>
                <w:rFonts w:ascii="Verdana" w:hAnsi="Verdana"/>
                <w:i/>
                <w:iCs/>
              </w:rPr>
              <w:t xml:space="preserve">all of </w:t>
            </w:r>
            <w:r w:rsidRPr="00EB07EA">
              <w:rPr>
                <w:rFonts w:ascii="Verdana" w:hAnsi="Verdana"/>
                <w:i/>
                <w:iCs/>
              </w:rPr>
              <w:t xml:space="preserve">which had been incurred by the College before the funding was announced, and </w:t>
            </w:r>
            <w:r w:rsidR="005337A7">
              <w:rPr>
                <w:rFonts w:ascii="Verdana" w:hAnsi="Verdana"/>
                <w:i/>
                <w:iCs/>
              </w:rPr>
              <w:t>it</w:t>
            </w:r>
            <w:r w:rsidRPr="00EB07EA">
              <w:rPr>
                <w:rFonts w:ascii="Verdana" w:hAnsi="Verdana"/>
                <w:i/>
                <w:iCs/>
              </w:rPr>
              <w:t xml:space="preserve"> will therefore be applied </w:t>
            </w:r>
            <w:r w:rsidR="005337A7">
              <w:rPr>
                <w:rFonts w:ascii="Verdana" w:hAnsi="Verdana"/>
                <w:i/>
                <w:iCs/>
              </w:rPr>
              <w:t>for</w:t>
            </w:r>
            <w:r w:rsidRPr="00EB07EA">
              <w:rPr>
                <w:rFonts w:ascii="Verdana" w:hAnsi="Verdana"/>
                <w:i/>
                <w:iCs/>
              </w:rPr>
              <w:t xml:space="preserve"> other </w:t>
            </w:r>
            <w:r w:rsidR="005337A7">
              <w:rPr>
                <w:rFonts w:ascii="Verdana" w:hAnsi="Verdana"/>
                <w:i/>
                <w:iCs/>
              </w:rPr>
              <w:t>purposes</w:t>
            </w:r>
            <w:r w:rsidRPr="00EB07EA">
              <w:rPr>
                <w:rFonts w:ascii="Verdana" w:hAnsi="Verdana"/>
                <w:i/>
                <w:iCs/>
              </w:rPr>
              <w:t>;</w:t>
            </w:r>
          </w:p>
          <w:p w14:paraId="09677C31" w14:textId="77777777" w:rsidR="00162278" w:rsidRPr="00EB07EA" w:rsidRDefault="00162278" w:rsidP="00162278">
            <w:pPr>
              <w:rPr>
                <w:rFonts w:ascii="Verdana" w:hAnsi="Verdana"/>
                <w:i/>
                <w:iCs/>
              </w:rPr>
            </w:pPr>
          </w:p>
          <w:p w14:paraId="621423B6" w14:textId="74B4F5B1" w:rsidR="00162278" w:rsidRPr="00EB07EA" w:rsidRDefault="00162278" w:rsidP="00162278">
            <w:pPr>
              <w:rPr>
                <w:rFonts w:ascii="Verdana" w:hAnsi="Verdana"/>
                <w:i/>
                <w:iCs/>
              </w:rPr>
            </w:pPr>
            <w:r w:rsidRPr="00EB07EA">
              <w:rPr>
                <w:rFonts w:ascii="Verdana" w:hAnsi="Verdana"/>
                <w:i/>
                <w:iCs/>
              </w:rPr>
              <w:t xml:space="preserve">because of the continuing </w:t>
            </w:r>
            <w:r w:rsidR="005337A7">
              <w:rPr>
                <w:rFonts w:ascii="Verdana" w:hAnsi="Verdana"/>
                <w:i/>
                <w:iCs/>
              </w:rPr>
              <w:t>public health emergency</w:t>
            </w:r>
            <w:r w:rsidRPr="00EB07EA">
              <w:rPr>
                <w:rFonts w:ascii="Verdana" w:hAnsi="Verdana"/>
                <w:i/>
                <w:iCs/>
              </w:rPr>
              <w:t xml:space="preserve">, income from lettings had been reduced to zero for the 2020-21 financial year; </w:t>
            </w:r>
          </w:p>
          <w:p w14:paraId="39AAFAFF" w14:textId="77777777" w:rsidR="00162278" w:rsidRPr="00EB07EA" w:rsidRDefault="00162278" w:rsidP="00162278">
            <w:pPr>
              <w:rPr>
                <w:rFonts w:ascii="Verdana" w:hAnsi="Verdana"/>
                <w:i/>
                <w:iCs/>
              </w:rPr>
            </w:pPr>
          </w:p>
          <w:p w14:paraId="6F6BE878" w14:textId="1681C320" w:rsidR="00162278" w:rsidRPr="00EB07EA" w:rsidRDefault="00162278" w:rsidP="00162278">
            <w:pPr>
              <w:rPr>
                <w:rFonts w:ascii="Verdana" w:hAnsi="Verdana"/>
                <w:i/>
                <w:iCs/>
              </w:rPr>
            </w:pPr>
            <w:r w:rsidRPr="00EB07EA">
              <w:rPr>
                <w:rFonts w:ascii="Verdana" w:hAnsi="Verdana"/>
                <w:i/>
                <w:iCs/>
              </w:rPr>
              <w:t>extra funding for cleaning during examinations</w:t>
            </w:r>
            <w:r w:rsidR="005337A7">
              <w:rPr>
                <w:rFonts w:ascii="Verdana" w:hAnsi="Verdana"/>
                <w:i/>
                <w:iCs/>
              </w:rPr>
              <w:t xml:space="preserve"> and</w:t>
            </w:r>
            <w:r w:rsidRPr="00EB07EA">
              <w:rPr>
                <w:rFonts w:ascii="Verdana" w:hAnsi="Verdana"/>
                <w:i/>
                <w:iCs/>
              </w:rPr>
              <w:t xml:space="preserve"> to cover energy costs (so that windows can be kept open) had been added to the out-turn; </w:t>
            </w:r>
            <w:r w:rsidRPr="00EB07EA">
              <w:rPr>
                <w:rFonts w:ascii="Verdana" w:hAnsi="Verdana"/>
              </w:rPr>
              <w:t>and</w:t>
            </w:r>
          </w:p>
          <w:p w14:paraId="19C229A6" w14:textId="77777777" w:rsidR="00162278" w:rsidRPr="00EB07EA" w:rsidRDefault="00162278" w:rsidP="00162278">
            <w:pPr>
              <w:rPr>
                <w:rFonts w:ascii="Verdana" w:hAnsi="Verdana"/>
                <w:i/>
                <w:iCs/>
              </w:rPr>
            </w:pPr>
          </w:p>
          <w:p w14:paraId="48C48811" w14:textId="2EF8BF89" w:rsidR="00162278" w:rsidRPr="00EB07EA" w:rsidRDefault="00162278" w:rsidP="00162278">
            <w:pPr>
              <w:rPr>
                <w:rFonts w:ascii="Verdana" w:hAnsi="Verdana"/>
                <w:i/>
                <w:iCs/>
              </w:rPr>
            </w:pPr>
            <w:r w:rsidRPr="00EB07EA">
              <w:rPr>
                <w:rFonts w:ascii="Verdana" w:hAnsi="Verdana"/>
                <w:i/>
                <w:iCs/>
              </w:rPr>
              <w:t>examination costs remain speculative given the cancellation of</w:t>
            </w:r>
            <w:r w:rsidR="005337A7">
              <w:rPr>
                <w:rFonts w:ascii="Verdana" w:hAnsi="Verdana"/>
                <w:i/>
                <w:iCs/>
              </w:rPr>
              <w:t xml:space="preserve"> the</w:t>
            </w:r>
            <w:r w:rsidRPr="00EB07EA">
              <w:rPr>
                <w:rFonts w:ascii="Verdana" w:hAnsi="Verdana"/>
                <w:i/>
                <w:iCs/>
              </w:rPr>
              <w:t xml:space="preserve"> summer 2021 </w:t>
            </w:r>
            <w:r w:rsidR="005337A7">
              <w:rPr>
                <w:rFonts w:ascii="Verdana" w:hAnsi="Verdana"/>
                <w:i/>
                <w:iCs/>
              </w:rPr>
              <w:t>serie</w:t>
            </w:r>
            <w:r w:rsidRPr="00EB07EA">
              <w:rPr>
                <w:rFonts w:ascii="Verdana" w:hAnsi="Verdana"/>
                <w:i/>
                <w:iCs/>
              </w:rPr>
              <w:t>s, but</w:t>
            </w:r>
            <w:r w:rsidR="005337A7">
              <w:rPr>
                <w:rFonts w:ascii="Verdana" w:hAnsi="Verdana"/>
                <w:i/>
                <w:iCs/>
              </w:rPr>
              <w:t xml:space="preserve"> given the</w:t>
            </w:r>
            <w:r w:rsidRPr="00EB07EA">
              <w:rPr>
                <w:rFonts w:ascii="Verdana" w:hAnsi="Verdana"/>
                <w:i/>
                <w:iCs/>
              </w:rPr>
              <w:t xml:space="preserve"> miniscule refunds made in 2019-20, the forecast assumes that the full cost will be levied this summer.</w:t>
            </w:r>
          </w:p>
          <w:p w14:paraId="36A4C7F2" w14:textId="77777777" w:rsidR="00162278" w:rsidRPr="00EB07EA" w:rsidRDefault="00162278" w:rsidP="00162278">
            <w:pPr>
              <w:rPr>
                <w:rFonts w:ascii="Verdana" w:hAnsi="Verdana"/>
                <w:i/>
                <w:iCs/>
              </w:rPr>
            </w:pPr>
          </w:p>
          <w:p w14:paraId="6A976B99" w14:textId="2329F07A" w:rsidR="00162278" w:rsidRPr="00EB07EA" w:rsidRDefault="00162278" w:rsidP="00162278">
            <w:pPr>
              <w:rPr>
                <w:rFonts w:ascii="Verdana" w:hAnsi="Verdana"/>
              </w:rPr>
            </w:pPr>
            <w:r w:rsidRPr="00EB07EA">
              <w:rPr>
                <w:rFonts w:ascii="Verdana" w:hAnsi="Verdana"/>
              </w:rPr>
              <w:t>I</w:t>
            </w:r>
            <w:r w:rsidR="005F710C">
              <w:rPr>
                <w:rFonts w:ascii="Verdana" w:hAnsi="Verdana"/>
              </w:rPr>
              <w:t>t was reported that there are no current issues i</w:t>
            </w:r>
            <w:r w:rsidRPr="00EB07EA">
              <w:rPr>
                <w:rFonts w:ascii="Verdana" w:hAnsi="Verdana"/>
              </w:rPr>
              <w:t>n relation to</w:t>
            </w:r>
            <w:r w:rsidR="00D77A9B">
              <w:rPr>
                <w:rFonts w:ascii="Verdana" w:hAnsi="Verdana"/>
              </w:rPr>
              <w:t xml:space="preserve"> the</w:t>
            </w:r>
            <w:r w:rsidRPr="00EB07EA">
              <w:rPr>
                <w:rFonts w:ascii="Verdana" w:hAnsi="Verdana"/>
              </w:rPr>
              <w:t xml:space="preserve"> relevant KPIs.  The College is projected to be in the Good category for ESFA-assessed financial health, with an anticipated score of 220 as at 31 July 2021 (</w:t>
            </w:r>
            <w:r w:rsidR="005F710C">
              <w:rPr>
                <w:rFonts w:ascii="Verdana" w:hAnsi="Verdana"/>
              </w:rPr>
              <w:t xml:space="preserve">category </w:t>
            </w:r>
            <w:r w:rsidRPr="00EB07EA">
              <w:rPr>
                <w:rFonts w:ascii="Verdana" w:hAnsi="Verdana"/>
              </w:rPr>
              <w:t>range 170-230).</w:t>
            </w:r>
          </w:p>
          <w:p w14:paraId="4E07C0DF" w14:textId="77777777" w:rsidR="00162278" w:rsidRPr="00EB07EA" w:rsidRDefault="00162278" w:rsidP="00162278">
            <w:pPr>
              <w:rPr>
                <w:rFonts w:ascii="Verdana" w:hAnsi="Verdana"/>
                <w:i/>
                <w:iCs/>
              </w:rPr>
            </w:pPr>
          </w:p>
          <w:p w14:paraId="1A7F0142" w14:textId="77777777" w:rsidR="00162278" w:rsidRPr="00EB07EA" w:rsidRDefault="00162278" w:rsidP="00162278">
            <w:pPr>
              <w:rPr>
                <w:rFonts w:ascii="Verdana" w:hAnsi="Verdana"/>
              </w:rPr>
            </w:pPr>
            <w:r w:rsidRPr="00EB07EA">
              <w:rPr>
                <w:rFonts w:ascii="Verdana" w:hAnsi="Verdana"/>
              </w:rPr>
              <w:t>It was reported that:</w:t>
            </w:r>
          </w:p>
          <w:p w14:paraId="155FF714" w14:textId="77777777" w:rsidR="00162278" w:rsidRPr="00EB07EA" w:rsidRDefault="00162278" w:rsidP="00162278">
            <w:pPr>
              <w:rPr>
                <w:rFonts w:ascii="Verdana" w:hAnsi="Verdana"/>
              </w:rPr>
            </w:pPr>
          </w:p>
          <w:p w14:paraId="1D96734A" w14:textId="32827C87" w:rsidR="00162278" w:rsidRPr="005F710C" w:rsidRDefault="00162278" w:rsidP="00162278">
            <w:pPr>
              <w:rPr>
                <w:rFonts w:ascii="Verdana" w:hAnsi="Verdana"/>
              </w:rPr>
            </w:pPr>
            <w:r w:rsidRPr="00EB07EA">
              <w:rPr>
                <w:rFonts w:ascii="Verdana" w:hAnsi="Verdana"/>
                <w:i/>
                <w:iCs/>
              </w:rPr>
              <w:t>the tender process had been commenced for a new swipe access system and a new CCTV system</w:t>
            </w:r>
            <w:r w:rsidR="005F710C">
              <w:rPr>
                <w:rFonts w:ascii="Verdana" w:hAnsi="Verdana"/>
                <w:i/>
                <w:iCs/>
              </w:rPr>
              <w:t>, the</w:t>
            </w:r>
            <w:r w:rsidRPr="00EB07EA">
              <w:rPr>
                <w:rFonts w:ascii="Verdana" w:hAnsi="Verdana"/>
                <w:i/>
                <w:iCs/>
              </w:rPr>
              <w:t xml:space="preserve"> costs</w:t>
            </w:r>
            <w:r w:rsidR="005F710C">
              <w:rPr>
                <w:rFonts w:ascii="Verdana" w:hAnsi="Verdana"/>
                <w:i/>
                <w:iCs/>
              </w:rPr>
              <w:t xml:space="preserve"> of which</w:t>
            </w:r>
            <w:r w:rsidRPr="00EB07EA">
              <w:rPr>
                <w:rFonts w:ascii="Verdana" w:hAnsi="Verdana"/>
                <w:i/>
                <w:iCs/>
              </w:rPr>
              <w:t xml:space="preserve"> had been included in the budget</w:t>
            </w:r>
            <w:r w:rsidR="005F710C">
              <w:rPr>
                <w:rFonts w:ascii="Verdana" w:hAnsi="Verdana"/>
                <w:i/>
                <w:iCs/>
              </w:rPr>
              <w:t>,</w:t>
            </w:r>
            <w:r w:rsidRPr="00EB07EA">
              <w:rPr>
                <w:rFonts w:ascii="Verdana" w:hAnsi="Verdana"/>
                <w:i/>
                <w:iCs/>
              </w:rPr>
              <w:t xml:space="preserve"> </w:t>
            </w:r>
            <w:r w:rsidR="005F710C">
              <w:rPr>
                <w:rFonts w:ascii="Verdana" w:hAnsi="Verdana"/>
                <w:i/>
                <w:iCs/>
              </w:rPr>
              <w:t>with</w:t>
            </w:r>
            <w:r w:rsidRPr="00EB07EA">
              <w:rPr>
                <w:rFonts w:ascii="Verdana" w:hAnsi="Verdana"/>
                <w:i/>
                <w:iCs/>
              </w:rPr>
              <w:t xml:space="preserve"> provision to exclude </w:t>
            </w:r>
            <w:r w:rsidR="005F710C">
              <w:rPr>
                <w:rFonts w:ascii="Verdana" w:hAnsi="Verdana"/>
                <w:i/>
                <w:iCs/>
              </w:rPr>
              <w:t>some</w:t>
            </w:r>
            <w:r w:rsidRPr="00EB07EA">
              <w:rPr>
                <w:rFonts w:ascii="Verdana" w:hAnsi="Verdana"/>
                <w:i/>
                <w:iCs/>
              </w:rPr>
              <w:t xml:space="preserve"> design elements if the cost is too high; </w:t>
            </w:r>
            <w:r w:rsidRPr="005F710C">
              <w:rPr>
                <w:rFonts w:ascii="Verdana" w:hAnsi="Verdana"/>
              </w:rPr>
              <w:t>and</w:t>
            </w:r>
          </w:p>
          <w:p w14:paraId="2FD19A20" w14:textId="77777777" w:rsidR="00162278" w:rsidRPr="00EB07EA" w:rsidRDefault="00162278" w:rsidP="00162278">
            <w:pPr>
              <w:rPr>
                <w:rFonts w:ascii="Verdana" w:hAnsi="Verdana"/>
                <w:i/>
                <w:iCs/>
              </w:rPr>
            </w:pPr>
          </w:p>
          <w:p w14:paraId="171298F7" w14:textId="77777777" w:rsidR="00162278" w:rsidRPr="00EB07EA" w:rsidRDefault="00162278" w:rsidP="00162278">
            <w:pPr>
              <w:rPr>
                <w:rFonts w:ascii="Verdana" w:hAnsi="Verdana"/>
                <w:i/>
                <w:iCs/>
              </w:rPr>
            </w:pPr>
            <w:r w:rsidRPr="00EB07EA">
              <w:rPr>
                <w:rFonts w:ascii="Verdana" w:hAnsi="Verdana"/>
                <w:i/>
                <w:iCs/>
              </w:rPr>
              <w:t>the College had negotiated a £10,000 per annum saving in its insurance with improved cover.</w:t>
            </w:r>
          </w:p>
          <w:p w14:paraId="3F82FF51" w14:textId="77777777" w:rsidR="00162278" w:rsidRDefault="00162278" w:rsidP="00162278">
            <w:pPr>
              <w:rPr>
                <w:rFonts w:ascii="Verdana" w:hAnsi="Verdana"/>
              </w:rPr>
            </w:pPr>
          </w:p>
          <w:p w14:paraId="1F899A1F" w14:textId="62E05A2E" w:rsidR="00162278" w:rsidRDefault="00162278" w:rsidP="00162278">
            <w:pPr>
              <w:pStyle w:val="ListParagraph"/>
              <w:ind w:left="0"/>
              <w:rPr>
                <w:rFonts w:ascii="Verdana" w:hAnsi="Verdana"/>
              </w:rPr>
            </w:pPr>
            <w:r w:rsidRPr="00EB07EA">
              <w:rPr>
                <w:rFonts w:ascii="Verdana" w:hAnsi="Verdana"/>
              </w:rPr>
              <w:t xml:space="preserve">It was also reported that, whilst the </w:t>
            </w:r>
            <w:r w:rsidR="005F710C">
              <w:rPr>
                <w:rFonts w:ascii="Verdana" w:hAnsi="Verdana"/>
              </w:rPr>
              <w:t>public health emergency</w:t>
            </w:r>
            <w:r w:rsidRPr="00EB07EA">
              <w:rPr>
                <w:rFonts w:ascii="Verdana" w:hAnsi="Verdana"/>
              </w:rPr>
              <w:t xml:space="preserve"> makes it difficult to anticipate the future with the normal </w:t>
            </w:r>
            <w:r w:rsidR="005F710C">
              <w:rPr>
                <w:rFonts w:ascii="Verdana" w:hAnsi="Verdana"/>
              </w:rPr>
              <w:t>degree</w:t>
            </w:r>
            <w:r w:rsidRPr="00EB07EA">
              <w:rPr>
                <w:rFonts w:ascii="Verdana" w:hAnsi="Verdana"/>
              </w:rPr>
              <w:t xml:space="preserve"> of confidence, the College has the funds in place to support catch-up work and the operational needs of delivering on the </w:t>
            </w:r>
            <w:r>
              <w:rPr>
                <w:rFonts w:ascii="Verdana" w:hAnsi="Verdana"/>
              </w:rPr>
              <w:t>S</w:t>
            </w:r>
            <w:r w:rsidRPr="00EB07EA">
              <w:rPr>
                <w:rFonts w:ascii="Verdana" w:hAnsi="Verdana"/>
              </w:rPr>
              <w:t xml:space="preserve">trategic </w:t>
            </w:r>
            <w:r>
              <w:rPr>
                <w:rFonts w:ascii="Verdana" w:hAnsi="Verdana"/>
              </w:rPr>
              <w:t>P</w:t>
            </w:r>
            <w:r w:rsidRPr="00EB07EA">
              <w:rPr>
                <w:rFonts w:ascii="Verdana" w:hAnsi="Verdana"/>
              </w:rPr>
              <w:t xml:space="preserve">lan in the current year.  Despite the further disruption of </w:t>
            </w:r>
            <w:r w:rsidR="005F710C">
              <w:rPr>
                <w:rFonts w:ascii="Verdana" w:hAnsi="Verdana"/>
              </w:rPr>
              <w:t>the third l</w:t>
            </w:r>
            <w:r w:rsidRPr="00EB07EA">
              <w:rPr>
                <w:rFonts w:ascii="Verdana" w:hAnsi="Verdana"/>
              </w:rPr>
              <w:t>ockdown, the College is strongly placed to manage the situation and achieve the budgeted outcome, whilst continuing to support its students.  The College’s cash flow remains strong, though the public health emergency might still impact on the cash out-turn position.</w:t>
            </w:r>
          </w:p>
          <w:p w14:paraId="32ACCC61" w14:textId="77777777" w:rsidR="00162278" w:rsidRPr="00EB07EA" w:rsidRDefault="00162278" w:rsidP="00162278">
            <w:pPr>
              <w:pStyle w:val="ListParagraph"/>
              <w:ind w:left="0"/>
              <w:rPr>
                <w:rFonts w:ascii="Verdana" w:hAnsi="Verdana"/>
              </w:rPr>
            </w:pPr>
          </w:p>
          <w:p w14:paraId="6A293A1E" w14:textId="243FE985" w:rsidR="00162278" w:rsidRPr="00AE02AD" w:rsidRDefault="00162278" w:rsidP="00162278">
            <w:pPr>
              <w:rPr>
                <w:rFonts w:ascii="Verdana" w:hAnsi="Verdana"/>
                <w:b/>
              </w:rPr>
            </w:pPr>
            <w:r w:rsidRPr="00EB07EA">
              <w:rPr>
                <w:rFonts w:ascii="Verdana" w:hAnsi="Verdana" w:cs="Arial"/>
              </w:rPr>
              <w:t xml:space="preserve">The management accounts were recommended for consideration by the Corporation at the meeting to be held on </w:t>
            </w:r>
            <w:r w:rsidR="005F710C">
              <w:rPr>
                <w:rFonts w:ascii="Verdana" w:hAnsi="Verdana" w:cs="Arial"/>
              </w:rPr>
              <w:t>30 March 2021.</w:t>
            </w:r>
          </w:p>
        </w:tc>
      </w:tr>
    </w:tbl>
    <w:p w14:paraId="79F6532E" w14:textId="37D8659A" w:rsidR="009F4315" w:rsidRDefault="009F4315" w:rsidP="004F4C55">
      <w:pPr>
        <w:rPr>
          <w:rFonts w:ascii="Verdana" w:hAnsi="Verdana"/>
        </w:rPr>
      </w:pPr>
    </w:p>
    <w:p w14:paraId="03BE89F5" w14:textId="3FBF3AA5" w:rsidR="00FF4453" w:rsidRDefault="00FF4453" w:rsidP="004F4C55">
      <w:pPr>
        <w:rPr>
          <w:rFonts w:ascii="Verdana" w:hAnsi="Verdana"/>
        </w:rPr>
      </w:pPr>
    </w:p>
    <w:p w14:paraId="2639A016" w14:textId="0BBF4529" w:rsidR="00FF4453" w:rsidRDefault="00FF4453" w:rsidP="004F4C55">
      <w:pPr>
        <w:rPr>
          <w:rFonts w:ascii="Verdana" w:hAnsi="Verdana"/>
        </w:rPr>
      </w:pPr>
    </w:p>
    <w:p w14:paraId="43CCEF37" w14:textId="2801E919" w:rsidR="00FF4453" w:rsidRDefault="00FF4453" w:rsidP="004F4C55">
      <w:pPr>
        <w:rPr>
          <w:rFonts w:ascii="Verdana" w:hAnsi="Verdana"/>
        </w:rPr>
      </w:pPr>
    </w:p>
    <w:p w14:paraId="6C582EEF" w14:textId="0E0D7246" w:rsidR="00FF4453" w:rsidRDefault="00FF4453" w:rsidP="004F4C55">
      <w:pPr>
        <w:rPr>
          <w:rFonts w:ascii="Verdana" w:hAnsi="Verdana"/>
        </w:rPr>
      </w:pPr>
    </w:p>
    <w:p w14:paraId="34E5AD30" w14:textId="6A31E865" w:rsidR="00FF4453" w:rsidRDefault="00FF4453" w:rsidP="004F4C55">
      <w:pPr>
        <w:rPr>
          <w:rFonts w:ascii="Verdana" w:hAnsi="Verdana"/>
        </w:rPr>
      </w:pPr>
    </w:p>
    <w:p w14:paraId="17AD625B" w14:textId="71A2F39B" w:rsidR="00FF4453" w:rsidRDefault="00FF4453" w:rsidP="004F4C55">
      <w:pPr>
        <w:rPr>
          <w:rFonts w:ascii="Verdana" w:hAnsi="Verdana"/>
        </w:rPr>
      </w:pPr>
    </w:p>
    <w:p w14:paraId="13686424" w14:textId="26D68309" w:rsidR="00FF4453" w:rsidRDefault="00FF4453" w:rsidP="004F4C55">
      <w:pPr>
        <w:rPr>
          <w:rFonts w:ascii="Verdana" w:hAnsi="Verdana"/>
        </w:rPr>
      </w:pPr>
    </w:p>
    <w:p w14:paraId="0E6DAE77" w14:textId="20CAB591" w:rsidR="00FF4453" w:rsidRDefault="00FF4453" w:rsidP="004F4C55">
      <w:pPr>
        <w:rPr>
          <w:rFonts w:ascii="Verdana" w:hAnsi="Verdana"/>
        </w:rPr>
      </w:pPr>
    </w:p>
    <w:p w14:paraId="1BA44735" w14:textId="084C7354" w:rsidR="00FF4453" w:rsidRDefault="00FF4453" w:rsidP="004F4C55">
      <w:pPr>
        <w:rPr>
          <w:rFonts w:ascii="Verdana" w:hAnsi="Verdana"/>
        </w:rPr>
      </w:pPr>
    </w:p>
    <w:p w14:paraId="77F12465" w14:textId="790E3072" w:rsidR="00FF4453" w:rsidRDefault="00FF4453" w:rsidP="004F4C55">
      <w:pPr>
        <w:rPr>
          <w:rFonts w:ascii="Verdana" w:hAnsi="Verdana"/>
        </w:rPr>
      </w:pPr>
    </w:p>
    <w:p w14:paraId="30658C10" w14:textId="42BB0506" w:rsidR="00FF4453" w:rsidRDefault="00FF4453" w:rsidP="004F4C55">
      <w:pPr>
        <w:rPr>
          <w:rFonts w:ascii="Verdana" w:hAnsi="Verdana"/>
        </w:rPr>
      </w:pPr>
    </w:p>
    <w:p w14:paraId="1BBC8E66" w14:textId="77777777" w:rsidR="00FF4453" w:rsidRPr="007D5E3C" w:rsidRDefault="00FF4453"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147665" w:rsidRPr="00B7032F" w14:paraId="54A6D576" w14:textId="77777777" w:rsidTr="00FF4453">
        <w:tc>
          <w:tcPr>
            <w:tcW w:w="562" w:type="dxa"/>
          </w:tcPr>
          <w:p w14:paraId="49B3B260" w14:textId="55F026B0" w:rsidR="00147665" w:rsidRPr="00B7032F" w:rsidRDefault="00147665" w:rsidP="004F4C55">
            <w:pPr>
              <w:rPr>
                <w:rFonts w:ascii="Verdana" w:hAnsi="Verdana"/>
                <w:b/>
                <w:bCs/>
              </w:rPr>
            </w:pPr>
            <w:r w:rsidRPr="00B7032F">
              <w:rPr>
                <w:rFonts w:ascii="Verdana" w:hAnsi="Verdana"/>
                <w:b/>
                <w:bCs/>
              </w:rPr>
              <w:lastRenderedPageBreak/>
              <w:t>7</w:t>
            </w:r>
          </w:p>
        </w:tc>
        <w:tc>
          <w:tcPr>
            <w:tcW w:w="8789" w:type="dxa"/>
          </w:tcPr>
          <w:p w14:paraId="7965B0E1" w14:textId="77777777" w:rsidR="00147665" w:rsidRPr="00B7032F" w:rsidRDefault="00147665" w:rsidP="00147665">
            <w:pPr>
              <w:pStyle w:val="NoSpacing"/>
              <w:rPr>
                <w:rFonts w:ascii="Verdana" w:hAnsi="Verdana"/>
                <w:b/>
              </w:rPr>
            </w:pPr>
            <w:r w:rsidRPr="00B7032F">
              <w:rPr>
                <w:rFonts w:ascii="Verdana" w:hAnsi="Verdana"/>
                <w:b/>
              </w:rPr>
              <w:t>Outline Estimates of Income and Expenditure 2021-22</w:t>
            </w:r>
          </w:p>
          <w:p w14:paraId="4D3FB37B" w14:textId="77777777" w:rsidR="00147665" w:rsidRPr="00B7032F" w:rsidRDefault="00147665" w:rsidP="00147665">
            <w:pPr>
              <w:contextualSpacing/>
              <w:rPr>
                <w:rFonts w:ascii="Verdana" w:hAnsi="Verdana" w:cs="Arial"/>
              </w:rPr>
            </w:pPr>
          </w:p>
          <w:p w14:paraId="1FD54662" w14:textId="77777777" w:rsidR="00147665" w:rsidRPr="00B7032F" w:rsidRDefault="00147665" w:rsidP="00147665">
            <w:pPr>
              <w:contextualSpacing/>
              <w:rPr>
                <w:rFonts w:ascii="Verdana" w:hAnsi="Verdana" w:cs="Arial"/>
              </w:rPr>
            </w:pPr>
            <w:r w:rsidRPr="00B7032F">
              <w:rPr>
                <w:rFonts w:ascii="Verdana" w:hAnsi="Verdana" w:cs="Arial"/>
              </w:rPr>
              <w:t>A report prepared by the Vice-Principal: Corporate Services was received and considered.</w:t>
            </w:r>
          </w:p>
          <w:p w14:paraId="53F9E921" w14:textId="77777777" w:rsidR="00147665" w:rsidRPr="00B7032F" w:rsidRDefault="00147665" w:rsidP="00147665">
            <w:pPr>
              <w:contextualSpacing/>
              <w:rPr>
                <w:rFonts w:ascii="Verdana" w:hAnsi="Verdana" w:cs="Arial"/>
              </w:rPr>
            </w:pPr>
          </w:p>
          <w:p w14:paraId="3571746D" w14:textId="77777777" w:rsidR="00147665" w:rsidRPr="00B7032F" w:rsidRDefault="00147665" w:rsidP="00147665">
            <w:pPr>
              <w:pStyle w:val="NoSpacing"/>
              <w:rPr>
                <w:rFonts w:ascii="Verdana" w:hAnsi="Verdana"/>
              </w:rPr>
            </w:pPr>
            <w:r w:rsidRPr="00B7032F">
              <w:rPr>
                <w:rFonts w:ascii="Verdana" w:hAnsi="Verdana"/>
              </w:rPr>
              <w:t>In this regard, it was noted that a minute (meeting of the External Relations Committee held on 2 February 2021), approved for circulation by the Chair of the Committee, reads:</w:t>
            </w:r>
          </w:p>
          <w:p w14:paraId="5C8C407A" w14:textId="77777777" w:rsidR="00147665" w:rsidRPr="00B7032F" w:rsidRDefault="00147665" w:rsidP="00147665">
            <w:pPr>
              <w:pStyle w:val="NoSpacing"/>
              <w:rPr>
                <w:rFonts w:ascii="Verdana" w:hAnsi="Verdana"/>
              </w:rPr>
            </w:pPr>
          </w:p>
          <w:p w14:paraId="0B928215" w14:textId="77777777" w:rsidR="00147665" w:rsidRPr="00B7032F" w:rsidRDefault="00147665" w:rsidP="00147665">
            <w:pPr>
              <w:rPr>
                <w:rFonts w:ascii="Verdana" w:hAnsi="Verdana"/>
                <w:i/>
                <w:iCs/>
              </w:rPr>
            </w:pPr>
            <w:r w:rsidRPr="00B7032F">
              <w:rPr>
                <w:rFonts w:ascii="Verdana" w:hAnsi="Verdana"/>
                <w:i/>
                <w:iCs/>
              </w:rPr>
              <w:t xml:space="preserve">It was noted </w:t>
            </w:r>
            <w:r w:rsidRPr="00B7032F">
              <w:rPr>
                <w:rFonts w:ascii="Verdana" w:hAnsi="Verdana"/>
              </w:rPr>
              <w:t>inter alia</w:t>
            </w:r>
            <w:r w:rsidRPr="00B7032F">
              <w:rPr>
                <w:rFonts w:ascii="Verdana" w:hAnsi="Verdana"/>
                <w:i/>
                <w:iCs/>
              </w:rPr>
              <w:t xml:space="preserve"> that the number of students expected to be recruited in September 2021 is 1,820, which would achieve the agreed target.  The Committee accordingly advises the Resources Committee that it may use this figure as a basis for assessing the College’s projected financial performance in the 2021-22 year.</w:t>
            </w:r>
          </w:p>
          <w:p w14:paraId="0E95197A" w14:textId="77777777" w:rsidR="00147665" w:rsidRPr="00B7032F" w:rsidRDefault="00147665" w:rsidP="00147665">
            <w:pPr>
              <w:contextualSpacing/>
              <w:rPr>
                <w:rFonts w:ascii="Verdana" w:hAnsi="Verdana" w:cs="Arial"/>
              </w:rPr>
            </w:pPr>
          </w:p>
          <w:p w14:paraId="08FF197E" w14:textId="53ACEDC4" w:rsidR="00147665" w:rsidRPr="00B7032F" w:rsidRDefault="00147665" w:rsidP="00147665">
            <w:pPr>
              <w:contextualSpacing/>
              <w:rPr>
                <w:rFonts w:ascii="Verdana" w:hAnsi="Verdana" w:cs="Arial"/>
              </w:rPr>
            </w:pPr>
            <w:r w:rsidRPr="00B7032F">
              <w:rPr>
                <w:rFonts w:ascii="Verdana" w:hAnsi="Verdana" w:cs="Arial"/>
              </w:rPr>
              <w:t>It was reported that the following uncertainties attend the outline estimates for 2021-22</w:t>
            </w:r>
            <w:r w:rsidR="005F710C">
              <w:rPr>
                <w:rFonts w:ascii="Verdana" w:hAnsi="Verdana" w:cs="Arial"/>
              </w:rPr>
              <w:t>, namely that:</w:t>
            </w:r>
          </w:p>
          <w:p w14:paraId="3D81A4C8" w14:textId="77777777" w:rsidR="00147665" w:rsidRPr="00B7032F" w:rsidRDefault="00147665" w:rsidP="00147665">
            <w:pPr>
              <w:rPr>
                <w:rFonts w:ascii="Verdana" w:hAnsi="Verdana" w:cs="Arial"/>
              </w:rPr>
            </w:pPr>
          </w:p>
          <w:p w14:paraId="319B545D" w14:textId="77777777" w:rsidR="00147665" w:rsidRPr="00B7032F" w:rsidRDefault="00147665" w:rsidP="00147665">
            <w:pPr>
              <w:rPr>
                <w:rFonts w:ascii="Verdana" w:hAnsi="Verdana" w:cs="Arial"/>
                <w:i/>
                <w:iCs/>
              </w:rPr>
            </w:pPr>
            <w:r w:rsidRPr="00B7032F">
              <w:rPr>
                <w:rFonts w:ascii="Verdana" w:hAnsi="Verdana" w:cs="Arial"/>
                <w:i/>
                <w:iCs/>
              </w:rPr>
              <w:t>mainstream funding is due for review by the Government;</w:t>
            </w:r>
          </w:p>
          <w:p w14:paraId="2F00471B" w14:textId="77777777" w:rsidR="00147665" w:rsidRPr="00B7032F" w:rsidRDefault="00147665" w:rsidP="00147665">
            <w:pPr>
              <w:rPr>
                <w:rFonts w:ascii="Verdana" w:hAnsi="Verdana" w:cs="Arial"/>
                <w:i/>
                <w:iCs/>
              </w:rPr>
            </w:pPr>
          </w:p>
          <w:p w14:paraId="38B4B00D" w14:textId="0CE7A35B" w:rsidR="00147665" w:rsidRPr="00B7032F" w:rsidRDefault="00147665" w:rsidP="00147665">
            <w:pPr>
              <w:rPr>
                <w:rFonts w:ascii="Verdana" w:hAnsi="Verdana" w:cs="Arial"/>
                <w:i/>
                <w:iCs/>
              </w:rPr>
            </w:pPr>
            <w:r w:rsidRPr="00B7032F">
              <w:rPr>
                <w:rFonts w:ascii="Verdana" w:hAnsi="Verdana" w:cs="Arial"/>
                <w:i/>
                <w:iCs/>
              </w:rPr>
              <w:t xml:space="preserve">cost of living </w:t>
            </w:r>
            <w:proofErr w:type="gramStart"/>
            <w:r w:rsidRPr="00B7032F">
              <w:rPr>
                <w:rFonts w:ascii="Verdana" w:hAnsi="Verdana" w:cs="Arial"/>
                <w:i/>
                <w:iCs/>
              </w:rPr>
              <w:t>pay</w:t>
            </w:r>
            <w:proofErr w:type="gramEnd"/>
            <w:r w:rsidRPr="00B7032F">
              <w:rPr>
                <w:rFonts w:ascii="Verdana" w:hAnsi="Verdana" w:cs="Arial"/>
                <w:i/>
                <w:iCs/>
              </w:rPr>
              <w:t xml:space="preserve"> </w:t>
            </w:r>
            <w:r w:rsidR="00D77A9B">
              <w:rPr>
                <w:rFonts w:ascii="Verdana" w:hAnsi="Verdana" w:cs="Arial"/>
                <w:i/>
                <w:iCs/>
              </w:rPr>
              <w:t>increas</w:t>
            </w:r>
            <w:r w:rsidRPr="00B7032F">
              <w:rPr>
                <w:rFonts w:ascii="Verdana" w:hAnsi="Verdana" w:cs="Arial"/>
                <w:i/>
                <w:iCs/>
              </w:rPr>
              <w:t>es for 2021</w:t>
            </w:r>
            <w:r w:rsidR="005F710C">
              <w:rPr>
                <w:rFonts w:ascii="Verdana" w:hAnsi="Verdana" w:cs="Arial"/>
                <w:i/>
                <w:iCs/>
              </w:rPr>
              <w:t>-</w:t>
            </w:r>
            <w:r w:rsidRPr="00B7032F">
              <w:rPr>
                <w:rFonts w:ascii="Verdana" w:hAnsi="Verdana" w:cs="Arial"/>
                <w:i/>
                <w:iCs/>
              </w:rPr>
              <w:t>22 have not yet been agreed;</w:t>
            </w:r>
          </w:p>
          <w:p w14:paraId="06D2A304" w14:textId="77777777" w:rsidR="00147665" w:rsidRPr="00B7032F" w:rsidRDefault="00147665" w:rsidP="00147665">
            <w:pPr>
              <w:rPr>
                <w:rFonts w:ascii="Verdana" w:hAnsi="Verdana" w:cs="Arial"/>
                <w:i/>
                <w:iCs/>
              </w:rPr>
            </w:pPr>
          </w:p>
          <w:p w14:paraId="59C47E15" w14:textId="6FD4BABC" w:rsidR="00147665" w:rsidRPr="00B7032F" w:rsidRDefault="00147665" w:rsidP="00147665">
            <w:pPr>
              <w:rPr>
                <w:rFonts w:ascii="Verdana" w:hAnsi="Verdana" w:cs="Arial"/>
              </w:rPr>
            </w:pPr>
            <w:r w:rsidRPr="00B7032F">
              <w:rPr>
                <w:rFonts w:ascii="Verdana" w:hAnsi="Verdana" w:cs="Arial"/>
                <w:i/>
                <w:iCs/>
              </w:rPr>
              <w:t xml:space="preserve">support staff pension rates are attended by significant uncertainty because of volatility in fund assets and the </w:t>
            </w:r>
            <w:r w:rsidR="00941DFA">
              <w:rPr>
                <w:rFonts w:ascii="Verdana" w:hAnsi="Verdana" w:cs="Arial"/>
                <w:i/>
                <w:iCs/>
              </w:rPr>
              <w:t>unclear</w:t>
            </w:r>
            <w:r w:rsidRPr="00B7032F">
              <w:rPr>
                <w:rFonts w:ascii="Verdana" w:hAnsi="Verdana" w:cs="Arial"/>
                <w:i/>
                <w:iCs/>
              </w:rPr>
              <w:t xml:space="preserve"> economic situation; </w:t>
            </w:r>
            <w:r w:rsidRPr="00B7032F">
              <w:rPr>
                <w:rFonts w:ascii="Verdana" w:hAnsi="Verdana" w:cs="Arial"/>
              </w:rPr>
              <w:t>and</w:t>
            </w:r>
          </w:p>
          <w:p w14:paraId="6225DD38" w14:textId="77777777" w:rsidR="00147665" w:rsidRPr="00B7032F" w:rsidRDefault="00147665" w:rsidP="00147665">
            <w:pPr>
              <w:rPr>
                <w:rFonts w:ascii="Verdana" w:hAnsi="Verdana" w:cs="Arial"/>
                <w:i/>
                <w:iCs/>
              </w:rPr>
            </w:pPr>
          </w:p>
          <w:p w14:paraId="61A49544" w14:textId="59187F15" w:rsidR="00147665" w:rsidRPr="00B7032F" w:rsidRDefault="00147665" w:rsidP="00147665">
            <w:pPr>
              <w:rPr>
                <w:rFonts w:ascii="Verdana" w:hAnsi="Verdana" w:cs="Arial"/>
                <w:i/>
                <w:iCs/>
              </w:rPr>
            </w:pPr>
            <w:r w:rsidRPr="00B7032F">
              <w:rPr>
                <w:rFonts w:ascii="Verdana" w:hAnsi="Verdana" w:cs="Arial"/>
                <w:i/>
                <w:iCs/>
              </w:rPr>
              <w:t>there has been confirmation</w:t>
            </w:r>
            <w:r w:rsidR="00D77A9B">
              <w:rPr>
                <w:rFonts w:ascii="Verdana" w:hAnsi="Verdana" w:cs="Arial"/>
                <w:i/>
                <w:iCs/>
              </w:rPr>
              <w:t xml:space="preserve"> (2020-21)</w:t>
            </w:r>
            <w:r w:rsidRPr="00B7032F">
              <w:rPr>
                <w:rFonts w:ascii="Verdana" w:hAnsi="Verdana" w:cs="Arial"/>
                <w:i/>
                <w:iCs/>
              </w:rPr>
              <w:t xml:space="preserve"> of the </w:t>
            </w:r>
            <w:r w:rsidR="00D77A9B">
              <w:rPr>
                <w:rFonts w:ascii="Verdana" w:hAnsi="Verdana" w:cs="Arial"/>
                <w:i/>
                <w:iCs/>
              </w:rPr>
              <w:t>sum (£213,000)</w:t>
            </w:r>
            <w:r w:rsidRPr="00B7032F">
              <w:rPr>
                <w:rFonts w:ascii="Verdana" w:hAnsi="Verdana" w:cs="Arial"/>
                <w:i/>
                <w:iCs/>
              </w:rPr>
              <w:t xml:space="preserve"> the College will receive from the COVID-19 </w:t>
            </w:r>
            <w:r w:rsidR="00941DFA">
              <w:rPr>
                <w:rFonts w:ascii="Verdana" w:hAnsi="Verdana" w:cs="Arial"/>
                <w:i/>
                <w:iCs/>
              </w:rPr>
              <w:t>C</w:t>
            </w:r>
            <w:r w:rsidRPr="00B7032F">
              <w:rPr>
                <w:rFonts w:ascii="Verdana" w:hAnsi="Verdana" w:cs="Arial"/>
                <w:i/>
                <w:iCs/>
              </w:rPr>
              <w:t>atch</w:t>
            </w:r>
            <w:r w:rsidR="00941DFA">
              <w:rPr>
                <w:rFonts w:ascii="Verdana" w:hAnsi="Verdana" w:cs="Arial"/>
                <w:i/>
                <w:iCs/>
              </w:rPr>
              <w:t>-U</w:t>
            </w:r>
            <w:r w:rsidRPr="00B7032F">
              <w:rPr>
                <w:rFonts w:ascii="Verdana" w:hAnsi="Verdana" w:cs="Arial"/>
                <w:i/>
                <w:iCs/>
              </w:rPr>
              <w:t xml:space="preserve">p </w:t>
            </w:r>
            <w:r w:rsidR="00941DFA">
              <w:rPr>
                <w:rFonts w:ascii="Verdana" w:hAnsi="Verdana" w:cs="Arial"/>
                <w:i/>
                <w:iCs/>
              </w:rPr>
              <w:t>F</w:t>
            </w:r>
            <w:r w:rsidRPr="00B7032F">
              <w:rPr>
                <w:rFonts w:ascii="Verdana" w:hAnsi="Verdana" w:cs="Arial"/>
                <w:i/>
                <w:iCs/>
              </w:rPr>
              <w:t>und</w:t>
            </w:r>
            <w:r w:rsidR="00941DFA">
              <w:rPr>
                <w:rFonts w:ascii="Verdana" w:hAnsi="Verdana" w:cs="Arial"/>
                <w:i/>
                <w:iCs/>
              </w:rPr>
              <w:t>, and</w:t>
            </w:r>
            <w:r w:rsidRPr="00B7032F">
              <w:rPr>
                <w:rFonts w:ascii="Verdana" w:hAnsi="Verdana" w:cs="Arial"/>
                <w:i/>
                <w:iCs/>
              </w:rPr>
              <w:t xml:space="preserve"> it has been assumed that </w:t>
            </w:r>
            <w:r w:rsidR="00941DFA">
              <w:rPr>
                <w:rFonts w:ascii="Verdana" w:hAnsi="Verdana" w:cs="Arial"/>
                <w:i/>
                <w:iCs/>
              </w:rPr>
              <w:t>funding will</w:t>
            </w:r>
            <w:r w:rsidRPr="00B7032F">
              <w:rPr>
                <w:rFonts w:ascii="Verdana" w:hAnsi="Verdana" w:cs="Arial"/>
                <w:i/>
                <w:iCs/>
              </w:rPr>
              <w:t xml:space="preserve"> continue at </w:t>
            </w:r>
            <w:r w:rsidR="00941DFA">
              <w:rPr>
                <w:rFonts w:ascii="Verdana" w:hAnsi="Verdana" w:cs="Arial"/>
                <w:i/>
                <w:iCs/>
              </w:rPr>
              <w:t xml:space="preserve">the same level </w:t>
            </w:r>
            <w:r w:rsidR="00D77A9B">
              <w:rPr>
                <w:rFonts w:ascii="Verdana" w:hAnsi="Verdana" w:cs="Arial"/>
                <w:i/>
                <w:iCs/>
              </w:rPr>
              <w:t>in 2021-22</w:t>
            </w:r>
            <w:r w:rsidRPr="00B7032F">
              <w:rPr>
                <w:rFonts w:ascii="Verdana" w:hAnsi="Verdana" w:cs="Arial"/>
                <w:i/>
                <w:iCs/>
              </w:rPr>
              <w:t>.</w:t>
            </w:r>
          </w:p>
          <w:p w14:paraId="01FF4F70" w14:textId="77777777" w:rsidR="00147665" w:rsidRPr="00B7032F" w:rsidRDefault="00147665" w:rsidP="00147665">
            <w:pPr>
              <w:contextualSpacing/>
              <w:rPr>
                <w:rFonts w:ascii="Verdana" w:hAnsi="Verdana" w:cs="Arial"/>
              </w:rPr>
            </w:pPr>
          </w:p>
          <w:p w14:paraId="3A972739" w14:textId="47CCF642" w:rsidR="00147665" w:rsidRPr="00B7032F" w:rsidRDefault="00147665" w:rsidP="00147665">
            <w:pPr>
              <w:rPr>
                <w:rFonts w:ascii="Verdana" w:hAnsi="Verdana" w:cs="Arial"/>
              </w:rPr>
            </w:pPr>
            <w:r w:rsidRPr="00B7032F">
              <w:rPr>
                <w:rFonts w:ascii="Verdana" w:hAnsi="Verdana" w:cs="Arial"/>
              </w:rPr>
              <w:t>The College’s underlying position</w:t>
            </w:r>
            <w:r w:rsidR="00941DFA">
              <w:rPr>
                <w:rFonts w:ascii="Verdana" w:hAnsi="Verdana" w:cs="Arial"/>
              </w:rPr>
              <w:t xml:space="preserve"> for 2021-22, discounting extra resources applied to recovery from the public health emergency,</w:t>
            </w:r>
            <w:r w:rsidRPr="00B7032F">
              <w:rPr>
                <w:rFonts w:ascii="Verdana" w:hAnsi="Verdana" w:cs="Arial"/>
              </w:rPr>
              <w:t xml:space="preserve"> projects a small surplus of £6,000.  </w:t>
            </w:r>
          </w:p>
          <w:p w14:paraId="53C87DA4" w14:textId="77777777" w:rsidR="00147665" w:rsidRPr="00B7032F" w:rsidRDefault="00147665" w:rsidP="00147665">
            <w:pPr>
              <w:rPr>
                <w:rFonts w:ascii="Verdana" w:hAnsi="Verdana" w:cs="Arial"/>
              </w:rPr>
            </w:pPr>
          </w:p>
          <w:p w14:paraId="4D88D571" w14:textId="70A9D9C9" w:rsidR="00147665" w:rsidRPr="00B7032F" w:rsidRDefault="00147665" w:rsidP="00147665">
            <w:pPr>
              <w:rPr>
                <w:rFonts w:ascii="Verdana" w:hAnsi="Verdana" w:cs="Arial"/>
              </w:rPr>
            </w:pPr>
            <w:r w:rsidRPr="00B7032F">
              <w:rPr>
                <w:rFonts w:ascii="Verdana" w:hAnsi="Verdana" w:cs="Arial"/>
              </w:rPr>
              <w:t xml:space="preserve">In relation to </w:t>
            </w:r>
            <w:r w:rsidR="008C3300" w:rsidRPr="00B7032F">
              <w:rPr>
                <w:rFonts w:ascii="Verdana" w:hAnsi="Verdana" w:cs="Arial"/>
              </w:rPr>
              <w:t xml:space="preserve">estimated </w:t>
            </w:r>
            <w:r w:rsidRPr="00B7032F">
              <w:rPr>
                <w:rFonts w:ascii="Verdana" w:hAnsi="Verdana" w:cs="Arial"/>
              </w:rPr>
              <w:t>mainstream income, the following was reported:</w:t>
            </w:r>
          </w:p>
          <w:p w14:paraId="15713A3A" w14:textId="77777777" w:rsidR="00147665" w:rsidRPr="00B7032F" w:rsidRDefault="00147665" w:rsidP="00147665">
            <w:pPr>
              <w:rPr>
                <w:rFonts w:ascii="Verdana" w:hAnsi="Verdana" w:cs="Arial"/>
              </w:rPr>
            </w:pPr>
          </w:p>
          <w:p w14:paraId="33D3854F" w14:textId="77777777" w:rsidR="00147665" w:rsidRPr="00B7032F" w:rsidRDefault="00147665" w:rsidP="00147665">
            <w:pPr>
              <w:rPr>
                <w:rFonts w:ascii="Verdana" w:hAnsi="Verdana" w:cs="Arial"/>
                <w:i/>
                <w:iCs/>
              </w:rPr>
            </w:pPr>
            <w:r w:rsidRPr="00B7032F">
              <w:rPr>
                <w:rFonts w:ascii="Verdana" w:hAnsi="Verdana" w:cs="Arial"/>
                <w:i/>
                <w:iCs/>
              </w:rPr>
              <w:t>a review of mainstream funding had been due last year, but at this point in time has not happened, with no realistic prospect of a review before the start of the planning period covered by the forecast;</w:t>
            </w:r>
          </w:p>
          <w:p w14:paraId="54ADF10E" w14:textId="77777777" w:rsidR="00147665" w:rsidRPr="00B7032F" w:rsidRDefault="00147665" w:rsidP="00147665">
            <w:pPr>
              <w:rPr>
                <w:rFonts w:ascii="Verdana" w:hAnsi="Verdana" w:cs="Arial"/>
                <w:i/>
                <w:iCs/>
              </w:rPr>
            </w:pPr>
          </w:p>
          <w:p w14:paraId="30057942" w14:textId="1BD031E8" w:rsidR="00147665" w:rsidRPr="00B7032F" w:rsidRDefault="008C3300" w:rsidP="00147665">
            <w:pPr>
              <w:rPr>
                <w:rFonts w:ascii="Verdana" w:hAnsi="Verdana" w:cs="Arial"/>
                <w:i/>
                <w:iCs/>
              </w:rPr>
            </w:pPr>
            <w:r w:rsidRPr="00B7032F">
              <w:rPr>
                <w:rFonts w:ascii="Verdana" w:hAnsi="Verdana" w:cs="Arial"/>
                <w:i/>
                <w:iCs/>
              </w:rPr>
              <w:t>d</w:t>
            </w:r>
            <w:r w:rsidR="00147665" w:rsidRPr="00B7032F">
              <w:rPr>
                <w:rFonts w:ascii="Verdana" w:hAnsi="Verdana" w:cs="Arial"/>
                <w:i/>
                <w:iCs/>
              </w:rPr>
              <w:t xml:space="preserve">eprivation funding is now based on the 2019 Index of Multiple Deprivation, rather than the 2016 model, resulting in reduced funding for the College as the fund is stretched more widely to cover regions where deprivation is increasing, with the College also </w:t>
            </w:r>
            <w:r w:rsidR="0011601A">
              <w:rPr>
                <w:rFonts w:ascii="Verdana" w:hAnsi="Verdana" w:cs="Arial"/>
                <w:i/>
                <w:iCs/>
              </w:rPr>
              <w:t xml:space="preserve">being </w:t>
            </w:r>
            <w:r w:rsidR="00147665" w:rsidRPr="00B7032F">
              <w:rPr>
                <w:rFonts w:ascii="Verdana" w:hAnsi="Verdana" w:cs="Arial"/>
                <w:i/>
                <w:iCs/>
              </w:rPr>
              <w:t xml:space="preserve">affected by the gentrification of Waltham Forest as funding is allocated on the higher of the deprivation of the student’s home postcode and </w:t>
            </w:r>
            <w:r w:rsidRPr="00B7032F">
              <w:rPr>
                <w:rFonts w:ascii="Verdana" w:hAnsi="Verdana" w:cs="Arial"/>
                <w:i/>
                <w:iCs/>
              </w:rPr>
              <w:t>that</w:t>
            </w:r>
            <w:r w:rsidR="00147665" w:rsidRPr="00B7032F">
              <w:rPr>
                <w:rFonts w:ascii="Verdana" w:hAnsi="Verdana" w:cs="Arial"/>
                <w:i/>
                <w:iCs/>
              </w:rPr>
              <w:t xml:space="preserve"> of the College - the local area is now not deprived enough to attract funding;</w:t>
            </w:r>
          </w:p>
          <w:p w14:paraId="5D09A447" w14:textId="0EB22111" w:rsidR="00147665" w:rsidRPr="00B7032F" w:rsidRDefault="00147665" w:rsidP="00147665">
            <w:pPr>
              <w:rPr>
                <w:rFonts w:ascii="Verdana" w:hAnsi="Verdana" w:cs="Arial"/>
                <w:i/>
                <w:iCs/>
              </w:rPr>
            </w:pPr>
          </w:p>
          <w:p w14:paraId="62AB4006" w14:textId="647D6C12" w:rsidR="00147665" w:rsidRPr="00B7032F" w:rsidRDefault="00147665" w:rsidP="00147665">
            <w:pPr>
              <w:rPr>
                <w:rFonts w:ascii="Verdana" w:hAnsi="Verdana" w:cs="Arial"/>
              </w:rPr>
            </w:pPr>
            <w:r w:rsidRPr="00B7032F">
              <w:rPr>
                <w:rFonts w:ascii="Verdana" w:hAnsi="Verdana" w:cs="Arial"/>
                <w:i/>
                <w:iCs/>
              </w:rPr>
              <w:t xml:space="preserve">summarising all sources of </w:t>
            </w:r>
            <w:r w:rsidR="008C3300" w:rsidRPr="00B7032F">
              <w:rPr>
                <w:rFonts w:ascii="Verdana" w:hAnsi="Verdana" w:cs="Arial"/>
                <w:i/>
                <w:iCs/>
              </w:rPr>
              <w:t xml:space="preserve">estimated </w:t>
            </w:r>
            <w:r w:rsidRPr="00B7032F">
              <w:rPr>
                <w:rFonts w:ascii="Verdana" w:hAnsi="Verdana" w:cs="Arial"/>
                <w:i/>
                <w:iCs/>
              </w:rPr>
              <w:t>mainstream income yields a</w:t>
            </w:r>
            <w:r w:rsidR="0011601A">
              <w:rPr>
                <w:rFonts w:ascii="Verdana" w:hAnsi="Verdana" w:cs="Arial"/>
                <w:i/>
                <w:iCs/>
              </w:rPr>
              <w:t xml:space="preserve"> </w:t>
            </w:r>
            <w:r w:rsidRPr="00B7032F">
              <w:rPr>
                <w:rFonts w:ascii="Verdana" w:hAnsi="Verdana" w:cs="Arial"/>
                <w:i/>
                <w:iCs/>
              </w:rPr>
              <w:t>n</w:t>
            </w:r>
            <w:r w:rsidR="0011601A">
              <w:rPr>
                <w:rFonts w:ascii="Verdana" w:hAnsi="Verdana" w:cs="Arial"/>
                <w:i/>
                <w:iCs/>
              </w:rPr>
              <w:t>et</w:t>
            </w:r>
            <w:r w:rsidRPr="00B7032F">
              <w:rPr>
                <w:rFonts w:ascii="Verdana" w:hAnsi="Verdana" w:cs="Arial"/>
                <w:i/>
                <w:iCs/>
              </w:rPr>
              <w:t xml:space="preserve"> increase of £286,451 in 2021-22 by comparison with 2020-21; </w:t>
            </w:r>
            <w:r w:rsidRPr="00B7032F">
              <w:rPr>
                <w:rFonts w:ascii="Verdana" w:hAnsi="Verdana" w:cs="Arial"/>
              </w:rPr>
              <w:t>and</w:t>
            </w:r>
          </w:p>
          <w:p w14:paraId="51ECBE34" w14:textId="0249C196" w:rsidR="00147665" w:rsidRPr="00B7032F" w:rsidRDefault="00147665" w:rsidP="00147665">
            <w:pPr>
              <w:rPr>
                <w:rFonts w:ascii="Verdana" w:hAnsi="Verdana" w:cs="Arial"/>
                <w:i/>
                <w:iCs/>
              </w:rPr>
            </w:pPr>
          </w:p>
          <w:p w14:paraId="62945229" w14:textId="2D98CDCB" w:rsidR="00147665" w:rsidRPr="00B7032F" w:rsidRDefault="00147665" w:rsidP="00147665">
            <w:pPr>
              <w:rPr>
                <w:rFonts w:ascii="Verdana" w:hAnsi="Verdana" w:cs="Arial"/>
                <w:i/>
                <w:iCs/>
              </w:rPr>
            </w:pPr>
            <w:r w:rsidRPr="00B7032F">
              <w:rPr>
                <w:rFonts w:ascii="Verdana" w:hAnsi="Verdana" w:cs="Arial"/>
                <w:i/>
                <w:iCs/>
              </w:rPr>
              <w:t xml:space="preserve">whilst there had been growth in student numbers, the final enrolment outcome was 30 below target, </w:t>
            </w:r>
            <w:r w:rsidR="00D77A9B">
              <w:rPr>
                <w:rFonts w:ascii="Verdana" w:hAnsi="Verdana" w:cs="Arial"/>
                <w:i/>
                <w:iCs/>
              </w:rPr>
              <w:t>a smaller shortfall</w:t>
            </w:r>
            <w:r w:rsidRPr="00B7032F">
              <w:rPr>
                <w:rFonts w:ascii="Verdana" w:hAnsi="Verdana" w:cs="Arial"/>
                <w:i/>
                <w:iCs/>
              </w:rPr>
              <w:t xml:space="preserve"> than might have been</w:t>
            </w:r>
            <w:r w:rsidRPr="00B7032F">
              <w:rPr>
                <w:rFonts w:ascii="Verdana" w:hAnsi="Verdana" w:cs="Arial"/>
              </w:rPr>
              <w:t xml:space="preserve"> </w:t>
            </w:r>
            <w:r w:rsidRPr="00B7032F">
              <w:rPr>
                <w:rFonts w:ascii="Verdana" w:hAnsi="Verdana" w:cs="Arial"/>
                <w:i/>
                <w:iCs/>
              </w:rPr>
              <w:lastRenderedPageBreak/>
              <w:t>expected</w:t>
            </w:r>
            <w:r w:rsidR="00D77A9B">
              <w:rPr>
                <w:rFonts w:ascii="Verdana" w:hAnsi="Verdana" w:cs="Arial"/>
                <w:i/>
                <w:iCs/>
              </w:rPr>
              <w:t xml:space="preserve"> given</w:t>
            </w:r>
            <w:r w:rsidRPr="00B7032F">
              <w:rPr>
                <w:rFonts w:ascii="Verdana" w:hAnsi="Verdana" w:cs="Arial"/>
                <w:i/>
                <w:iCs/>
              </w:rPr>
              <w:t xml:space="preserve"> </w:t>
            </w:r>
            <w:r w:rsidR="00D77A9B">
              <w:rPr>
                <w:rFonts w:ascii="Verdana" w:hAnsi="Verdana" w:cs="Arial"/>
                <w:i/>
                <w:iCs/>
              </w:rPr>
              <w:t>the pandemic</w:t>
            </w:r>
            <w:r w:rsidRPr="00B7032F">
              <w:rPr>
                <w:rFonts w:ascii="Verdana" w:hAnsi="Verdana" w:cs="Arial"/>
                <w:i/>
                <w:iCs/>
              </w:rPr>
              <w:t xml:space="preserve">, with students more inclined to stay at the institution where they had spent </w:t>
            </w:r>
            <w:r w:rsidR="0011601A">
              <w:rPr>
                <w:rFonts w:ascii="Verdana" w:hAnsi="Verdana" w:cs="Arial"/>
                <w:i/>
                <w:iCs/>
              </w:rPr>
              <w:t>Y</w:t>
            </w:r>
            <w:r w:rsidRPr="00B7032F">
              <w:rPr>
                <w:rFonts w:ascii="Verdana" w:hAnsi="Verdana" w:cs="Arial"/>
                <w:i/>
                <w:iCs/>
              </w:rPr>
              <w:t xml:space="preserve">ear 11 - without the </w:t>
            </w:r>
            <w:r w:rsidR="0011601A">
              <w:rPr>
                <w:rFonts w:ascii="Verdana" w:hAnsi="Verdana" w:cs="Arial"/>
                <w:i/>
                <w:iCs/>
              </w:rPr>
              <w:t>public health emergency</w:t>
            </w:r>
            <w:r w:rsidRPr="00B7032F">
              <w:rPr>
                <w:rFonts w:ascii="Verdana" w:hAnsi="Verdana" w:cs="Arial"/>
                <w:i/>
                <w:iCs/>
              </w:rPr>
              <w:t xml:space="preserve"> the College would </w:t>
            </w:r>
            <w:r w:rsidR="008C3300" w:rsidRPr="00B7032F">
              <w:rPr>
                <w:rFonts w:ascii="Verdana" w:hAnsi="Verdana" w:cs="Arial"/>
                <w:i/>
                <w:iCs/>
              </w:rPr>
              <w:t xml:space="preserve">already </w:t>
            </w:r>
            <w:r w:rsidRPr="00B7032F">
              <w:rPr>
                <w:rFonts w:ascii="Verdana" w:hAnsi="Verdana" w:cs="Arial"/>
                <w:i/>
                <w:iCs/>
              </w:rPr>
              <w:t>be looking at healthy surpluses</w:t>
            </w:r>
            <w:r w:rsidR="008C3300" w:rsidRPr="00B7032F">
              <w:rPr>
                <w:rFonts w:ascii="Verdana" w:hAnsi="Verdana" w:cs="Arial"/>
                <w:i/>
                <w:iCs/>
              </w:rPr>
              <w:t>.</w:t>
            </w:r>
          </w:p>
          <w:p w14:paraId="580C2613" w14:textId="651D9C3D" w:rsidR="008C3300" w:rsidRPr="00B7032F" w:rsidRDefault="008C3300" w:rsidP="00147665">
            <w:pPr>
              <w:rPr>
                <w:rFonts w:ascii="Verdana" w:hAnsi="Verdana" w:cs="Arial"/>
              </w:rPr>
            </w:pPr>
          </w:p>
          <w:p w14:paraId="3BFFBB3C" w14:textId="06048555" w:rsidR="008C3300" w:rsidRPr="00B7032F" w:rsidRDefault="008C3300" w:rsidP="00147665">
            <w:pPr>
              <w:rPr>
                <w:rFonts w:ascii="Verdana" w:hAnsi="Verdana" w:cs="Arial"/>
              </w:rPr>
            </w:pPr>
            <w:r w:rsidRPr="00B7032F">
              <w:rPr>
                <w:rFonts w:ascii="Verdana" w:hAnsi="Verdana" w:cs="Arial"/>
              </w:rPr>
              <w:t>Concerning estimated other income, it was reported that:</w:t>
            </w:r>
          </w:p>
          <w:p w14:paraId="767BC087" w14:textId="0495F328" w:rsidR="008C3300" w:rsidRPr="00B7032F" w:rsidRDefault="008C3300" w:rsidP="00147665">
            <w:pPr>
              <w:rPr>
                <w:rFonts w:ascii="Verdana" w:hAnsi="Verdana" w:cs="Arial"/>
              </w:rPr>
            </w:pPr>
          </w:p>
          <w:p w14:paraId="079DFF9B" w14:textId="5DA23980" w:rsidR="008C3300" w:rsidRPr="00B7032F" w:rsidRDefault="008C3300" w:rsidP="00147665">
            <w:pPr>
              <w:rPr>
                <w:rFonts w:ascii="Verdana" w:hAnsi="Verdana" w:cs="Arial"/>
                <w:i/>
                <w:iCs/>
              </w:rPr>
            </w:pPr>
            <w:r w:rsidRPr="00B7032F">
              <w:rPr>
                <w:rFonts w:ascii="Verdana" w:hAnsi="Verdana" w:cs="Arial"/>
                <w:i/>
                <w:iCs/>
              </w:rPr>
              <w:t xml:space="preserve">the status of the Teachers’ Pension grant (covering the additional cost of raising the employers’ contribution from 16.48% to 23.48%) </w:t>
            </w:r>
            <w:r w:rsidR="0011601A">
              <w:rPr>
                <w:rFonts w:ascii="Verdana" w:hAnsi="Verdana" w:cs="Arial"/>
                <w:i/>
                <w:iCs/>
              </w:rPr>
              <w:t>after</w:t>
            </w:r>
            <w:r w:rsidRPr="00B7032F">
              <w:rPr>
                <w:rFonts w:ascii="Verdana" w:hAnsi="Verdana" w:cs="Arial"/>
                <w:i/>
                <w:iCs/>
              </w:rPr>
              <w:t xml:space="preserve"> 31 July 2022 is uncertain and remains tied to the funding review – if the review is not conducted, the grant </w:t>
            </w:r>
            <w:r w:rsidR="0011601A">
              <w:rPr>
                <w:rFonts w:ascii="Verdana" w:hAnsi="Verdana" w:cs="Arial"/>
                <w:i/>
                <w:iCs/>
              </w:rPr>
              <w:t>is likely to</w:t>
            </w:r>
            <w:r w:rsidRPr="00B7032F">
              <w:rPr>
                <w:rFonts w:ascii="Verdana" w:hAnsi="Verdana" w:cs="Arial"/>
                <w:i/>
                <w:iCs/>
              </w:rPr>
              <w:t xml:space="preserve"> continue;</w:t>
            </w:r>
          </w:p>
          <w:p w14:paraId="3FE474EB" w14:textId="3A663A02" w:rsidR="008C3300" w:rsidRPr="00B7032F" w:rsidRDefault="008C3300" w:rsidP="00147665">
            <w:pPr>
              <w:rPr>
                <w:rFonts w:ascii="Verdana" w:hAnsi="Verdana" w:cs="Arial"/>
                <w:i/>
                <w:iCs/>
              </w:rPr>
            </w:pPr>
          </w:p>
          <w:p w14:paraId="67273158" w14:textId="3B64C0D2" w:rsidR="008C3300" w:rsidRPr="00B7032F" w:rsidRDefault="008C3300" w:rsidP="008C3300">
            <w:pPr>
              <w:rPr>
                <w:rFonts w:ascii="Verdana" w:hAnsi="Verdana" w:cs="Arial"/>
                <w:i/>
                <w:iCs/>
              </w:rPr>
            </w:pPr>
            <w:r w:rsidRPr="00B7032F">
              <w:rPr>
                <w:rFonts w:ascii="Verdana" w:hAnsi="Verdana" w:cs="Arial"/>
                <w:i/>
                <w:iCs/>
              </w:rPr>
              <w:t>there is the possibility of further</w:t>
            </w:r>
            <w:r w:rsidR="0011601A">
              <w:rPr>
                <w:rFonts w:ascii="Verdana" w:hAnsi="Verdana" w:cs="Arial"/>
                <w:i/>
                <w:iCs/>
              </w:rPr>
              <w:t xml:space="preserve"> DfE</w:t>
            </w:r>
            <w:r w:rsidRPr="00B7032F">
              <w:rPr>
                <w:rFonts w:ascii="Verdana" w:hAnsi="Verdana" w:cs="Arial"/>
                <w:i/>
                <w:iCs/>
              </w:rPr>
              <w:t xml:space="preserve"> funding to help colleges, but this will not be known until at least May;</w:t>
            </w:r>
          </w:p>
          <w:p w14:paraId="7441BA7E" w14:textId="189C60DF" w:rsidR="008C3300" w:rsidRPr="00B7032F" w:rsidRDefault="008C3300" w:rsidP="008C3300">
            <w:pPr>
              <w:rPr>
                <w:rFonts w:ascii="Verdana" w:hAnsi="Verdana" w:cs="Arial"/>
                <w:i/>
                <w:iCs/>
              </w:rPr>
            </w:pPr>
          </w:p>
          <w:p w14:paraId="11E0EBC8" w14:textId="1F15CF6F" w:rsidR="008C3300" w:rsidRPr="00B7032F" w:rsidRDefault="008C3300" w:rsidP="008C3300">
            <w:pPr>
              <w:rPr>
                <w:rFonts w:ascii="Verdana" w:hAnsi="Verdana" w:cs="Arial"/>
                <w:i/>
                <w:iCs/>
              </w:rPr>
            </w:pPr>
            <w:r w:rsidRPr="00B7032F">
              <w:rPr>
                <w:rFonts w:ascii="Verdana" w:hAnsi="Verdana" w:cs="Arial"/>
                <w:i/>
                <w:iCs/>
              </w:rPr>
              <w:t xml:space="preserve">free meals funding is in decline </w:t>
            </w:r>
            <w:r w:rsidR="00175B7D">
              <w:rPr>
                <w:rFonts w:ascii="Verdana" w:hAnsi="Verdana" w:cs="Arial"/>
                <w:i/>
                <w:iCs/>
              </w:rPr>
              <w:t>because there are</w:t>
            </w:r>
            <w:r w:rsidRPr="00B7032F">
              <w:rPr>
                <w:rFonts w:ascii="Verdana" w:hAnsi="Verdana" w:cs="Arial"/>
                <w:i/>
                <w:iCs/>
              </w:rPr>
              <w:t xml:space="preserve"> fewer students </w:t>
            </w:r>
            <w:r w:rsidR="0011601A">
              <w:rPr>
                <w:rFonts w:ascii="Verdana" w:hAnsi="Verdana" w:cs="Arial"/>
                <w:i/>
                <w:iCs/>
              </w:rPr>
              <w:t>eligible to claim it</w:t>
            </w:r>
            <w:r w:rsidRPr="00B7032F">
              <w:rPr>
                <w:rFonts w:ascii="Verdana" w:hAnsi="Verdana" w:cs="Arial"/>
                <w:i/>
                <w:iCs/>
              </w:rPr>
              <w:t xml:space="preserve"> </w:t>
            </w:r>
            <w:r w:rsidR="0011601A">
              <w:rPr>
                <w:rFonts w:ascii="Verdana" w:hAnsi="Verdana" w:cs="Arial"/>
                <w:i/>
                <w:iCs/>
              </w:rPr>
              <w:t>(</w:t>
            </w:r>
            <w:r w:rsidRPr="00B7032F">
              <w:rPr>
                <w:rFonts w:ascii="Verdana" w:hAnsi="Verdana" w:cs="Arial"/>
                <w:i/>
                <w:iCs/>
              </w:rPr>
              <w:t>in 2020-21</w:t>
            </w:r>
            <w:r w:rsidR="0011601A">
              <w:rPr>
                <w:rFonts w:ascii="Verdana" w:hAnsi="Verdana" w:cs="Arial"/>
                <w:i/>
                <w:iCs/>
              </w:rPr>
              <w:t xml:space="preserve"> </w:t>
            </w:r>
            <w:r w:rsidRPr="00B7032F">
              <w:rPr>
                <w:rFonts w:ascii="Verdana" w:hAnsi="Verdana" w:cs="Arial"/>
                <w:i/>
                <w:iCs/>
              </w:rPr>
              <w:t>a fall of 25%</w:t>
            </w:r>
            <w:r w:rsidR="0011601A">
              <w:rPr>
                <w:rFonts w:ascii="Verdana" w:hAnsi="Verdana" w:cs="Arial"/>
                <w:i/>
                <w:iCs/>
              </w:rPr>
              <w:t xml:space="preserve">, </w:t>
            </w:r>
            <w:r w:rsidRPr="00B7032F">
              <w:rPr>
                <w:rFonts w:ascii="Verdana" w:hAnsi="Verdana" w:cs="Arial"/>
                <w:i/>
                <w:iCs/>
              </w:rPr>
              <w:t xml:space="preserve">and a fall of 35% </w:t>
            </w:r>
            <w:r w:rsidR="0011601A">
              <w:rPr>
                <w:rFonts w:ascii="Verdana" w:hAnsi="Verdana" w:cs="Arial"/>
                <w:i/>
                <w:iCs/>
              </w:rPr>
              <w:t>overall</w:t>
            </w:r>
            <w:r w:rsidRPr="00B7032F">
              <w:rPr>
                <w:rFonts w:ascii="Verdana" w:hAnsi="Verdana" w:cs="Arial"/>
                <w:i/>
                <w:iCs/>
              </w:rPr>
              <w:t xml:space="preserve"> since funding </w:t>
            </w:r>
            <w:r w:rsidR="0011601A">
              <w:rPr>
                <w:rFonts w:ascii="Verdana" w:hAnsi="Verdana" w:cs="Arial"/>
                <w:i/>
                <w:iCs/>
              </w:rPr>
              <w:t>began</w:t>
            </w:r>
            <w:r w:rsidRPr="00B7032F">
              <w:rPr>
                <w:rFonts w:ascii="Verdana" w:hAnsi="Verdana" w:cs="Arial"/>
                <w:i/>
                <w:iCs/>
              </w:rPr>
              <w:t>);</w:t>
            </w:r>
          </w:p>
          <w:p w14:paraId="5640D1FF" w14:textId="0FC4F5E9" w:rsidR="008C3300" w:rsidRPr="00B7032F" w:rsidRDefault="008C3300" w:rsidP="008C3300">
            <w:pPr>
              <w:rPr>
                <w:rFonts w:ascii="Verdana" w:hAnsi="Verdana" w:cs="Arial"/>
                <w:i/>
                <w:iCs/>
              </w:rPr>
            </w:pPr>
          </w:p>
          <w:p w14:paraId="74B4C7EE" w14:textId="0F3AB3E5" w:rsidR="008C3300" w:rsidRPr="00B7032F" w:rsidRDefault="008C3300" w:rsidP="008C3300">
            <w:pPr>
              <w:rPr>
                <w:rFonts w:ascii="Verdana" w:hAnsi="Verdana" w:cs="Arial"/>
                <w:i/>
                <w:iCs/>
              </w:rPr>
            </w:pPr>
            <w:r w:rsidRPr="00B7032F">
              <w:rPr>
                <w:rFonts w:ascii="Verdana" w:hAnsi="Verdana" w:cs="Arial"/>
                <w:i/>
                <w:iCs/>
              </w:rPr>
              <w:t>bursary funding is also in decline for the same reason (though only 5% of it is attribut</w:t>
            </w:r>
            <w:r w:rsidR="0011601A">
              <w:rPr>
                <w:rFonts w:ascii="Verdana" w:hAnsi="Verdana" w:cs="Arial"/>
                <w:i/>
                <w:iCs/>
              </w:rPr>
              <w:t>able</w:t>
            </w:r>
            <w:r w:rsidRPr="00B7032F">
              <w:rPr>
                <w:rFonts w:ascii="Verdana" w:hAnsi="Verdana" w:cs="Arial"/>
                <w:i/>
                <w:iCs/>
              </w:rPr>
              <w:t xml:space="preserve"> as income, being the administration fee due to the College in its regard</w:t>
            </w:r>
            <w:r w:rsidR="0011601A">
              <w:rPr>
                <w:rFonts w:ascii="Verdana" w:hAnsi="Verdana" w:cs="Arial"/>
                <w:i/>
                <w:iCs/>
              </w:rPr>
              <w:t>)</w:t>
            </w:r>
            <w:r w:rsidRPr="00B7032F">
              <w:rPr>
                <w:rFonts w:ascii="Verdana" w:hAnsi="Verdana" w:cs="Arial"/>
                <w:i/>
                <w:iCs/>
              </w:rPr>
              <w:t>;</w:t>
            </w:r>
            <w:r w:rsidR="00B7032F" w:rsidRPr="00B7032F">
              <w:rPr>
                <w:rFonts w:ascii="Verdana" w:hAnsi="Verdana" w:cs="Arial"/>
                <w:i/>
                <w:iCs/>
              </w:rPr>
              <w:t xml:space="preserve"> </w:t>
            </w:r>
            <w:r w:rsidR="00B7032F" w:rsidRPr="00B7032F">
              <w:rPr>
                <w:rFonts w:ascii="Verdana" w:hAnsi="Verdana" w:cs="Arial"/>
              </w:rPr>
              <w:t>and</w:t>
            </w:r>
          </w:p>
          <w:p w14:paraId="0F50CD1E" w14:textId="29D9B079" w:rsidR="00B7032F" w:rsidRPr="00B7032F" w:rsidRDefault="00B7032F" w:rsidP="008C3300">
            <w:pPr>
              <w:rPr>
                <w:rFonts w:ascii="Verdana" w:hAnsi="Verdana" w:cs="Arial"/>
                <w:i/>
                <w:iCs/>
              </w:rPr>
            </w:pPr>
          </w:p>
          <w:p w14:paraId="1F53CAC1" w14:textId="7744CFC9" w:rsidR="00B7032F" w:rsidRPr="00B7032F" w:rsidRDefault="00175B7D" w:rsidP="008C3300">
            <w:pPr>
              <w:rPr>
                <w:rFonts w:ascii="Verdana" w:hAnsi="Verdana" w:cs="Arial"/>
                <w:i/>
                <w:iCs/>
              </w:rPr>
            </w:pPr>
            <w:r>
              <w:rPr>
                <w:rFonts w:ascii="Verdana" w:hAnsi="Verdana" w:cs="Arial"/>
                <w:i/>
                <w:iCs/>
              </w:rPr>
              <w:t xml:space="preserve">income from </w:t>
            </w:r>
            <w:r w:rsidR="00B7032F" w:rsidRPr="00B7032F">
              <w:rPr>
                <w:rFonts w:ascii="Verdana" w:hAnsi="Verdana" w:cs="Arial"/>
                <w:i/>
                <w:iCs/>
              </w:rPr>
              <w:t>the Accelerated Learning Pathway funding is guaranteed at £400,000 for the year.</w:t>
            </w:r>
          </w:p>
          <w:p w14:paraId="7E4555FB" w14:textId="45008415" w:rsidR="00B7032F" w:rsidRPr="00B7032F" w:rsidRDefault="00B7032F" w:rsidP="008C3300">
            <w:pPr>
              <w:rPr>
                <w:rFonts w:ascii="Verdana" w:hAnsi="Verdana" w:cs="Arial"/>
                <w:i/>
                <w:iCs/>
              </w:rPr>
            </w:pPr>
          </w:p>
          <w:p w14:paraId="698192C4" w14:textId="4173B9E6" w:rsidR="00B7032F" w:rsidRPr="00B7032F" w:rsidRDefault="00B7032F" w:rsidP="00B7032F">
            <w:pPr>
              <w:rPr>
                <w:rFonts w:ascii="Verdana" w:hAnsi="Verdana" w:cs="Arial"/>
              </w:rPr>
            </w:pPr>
            <w:r w:rsidRPr="00B7032F">
              <w:rPr>
                <w:rFonts w:ascii="Verdana" w:hAnsi="Verdana" w:cs="Arial"/>
              </w:rPr>
              <w:t>In relation to pay costs, the following was reported:</w:t>
            </w:r>
          </w:p>
          <w:p w14:paraId="3FD7E3E2" w14:textId="77777777" w:rsidR="00B7032F" w:rsidRPr="00B7032F" w:rsidRDefault="00B7032F" w:rsidP="008C3300">
            <w:pPr>
              <w:rPr>
                <w:rFonts w:ascii="Verdana" w:hAnsi="Verdana" w:cs="Arial"/>
              </w:rPr>
            </w:pPr>
          </w:p>
          <w:p w14:paraId="6540F878" w14:textId="5A141315" w:rsidR="00B7032F" w:rsidRPr="00B7032F" w:rsidRDefault="00B7032F" w:rsidP="00B7032F">
            <w:pPr>
              <w:rPr>
                <w:rFonts w:ascii="Verdana" w:hAnsi="Verdana" w:cs="Arial"/>
                <w:i/>
                <w:iCs/>
              </w:rPr>
            </w:pPr>
            <w:r w:rsidRPr="00B7032F">
              <w:rPr>
                <w:rFonts w:ascii="Verdana" w:hAnsi="Verdana" w:cs="Arial"/>
                <w:i/>
                <w:iCs/>
              </w:rPr>
              <w:t>the pay budget is forecast by reference to individual posts, including teaching posts required for the forecast growth in student numbers;</w:t>
            </w:r>
          </w:p>
          <w:p w14:paraId="48022DF8" w14:textId="16AA4C14" w:rsidR="00B7032F" w:rsidRPr="00B7032F" w:rsidRDefault="00B7032F" w:rsidP="00B7032F">
            <w:pPr>
              <w:rPr>
                <w:rFonts w:ascii="Verdana" w:hAnsi="Verdana" w:cs="Arial"/>
                <w:i/>
                <w:iCs/>
              </w:rPr>
            </w:pPr>
          </w:p>
          <w:p w14:paraId="1E354B99" w14:textId="0F3E8F33" w:rsidR="00B7032F" w:rsidRPr="00B7032F" w:rsidRDefault="00B7032F" w:rsidP="00B7032F">
            <w:pPr>
              <w:rPr>
                <w:rFonts w:ascii="Verdana" w:hAnsi="Verdana" w:cs="Arial"/>
                <w:i/>
                <w:iCs/>
              </w:rPr>
            </w:pPr>
            <w:r w:rsidRPr="00B7032F">
              <w:rPr>
                <w:rFonts w:ascii="Verdana" w:hAnsi="Verdana" w:cs="Arial"/>
                <w:i/>
                <w:iCs/>
              </w:rPr>
              <w:t xml:space="preserve">a cost of living pay </w:t>
            </w:r>
            <w:r w:rsidR="00175B7D">
              <w:rPr>
                <w:rFonts w:ascii="Verdana" w:hAnsi="Verdana" w:cs="Arial"/>
                <w:i/>
                <w:iCs/>
              </w:rPr>
              <w:t>increa</w:t>
            </w:r>
            <w:r w:rsidRPr="00B7032F">
              <w:rPr>
                <w:rFonts w:ascii="Verdana" w:hAnsi="Verdana" w:cs="Arial"/>
                <w:i/>
                <w:iCs/>
              </w:rPr>
              <w:t xml:space="preserve">se of 2.5% from 1 September 2021 is included for all staff though, given </w:t>
            </w:r>
            <w:r w:rsidR="00304F82">
              <w:rPr>
                <w:rFonts w:ascii="Verdana" w:hAnsi="Verdana" w:cs="Arial"/>
                <w:i/>
                <w:iCs/>
              </w:rPr>
              <w:t>the current absence of an</w:t>
            </w:r>
            <w:r w:rsidRPr="00B7032F">
              <w:rPr>
                <w:rFonts w:ascii="Verdana" w:hAnsi="Verdana" w:cs="Arial"/>
                <w:i/>
                <w:iCs/>
              </w:rPr>
              <w:t xml:space="preserve"> underlying funding rate increase and </w:t>
            </w:r>
            <w:r w:rsidR="00304F82">
              <w:rPr>
                <w:rFonts w:ascii="Verdana" w:hAnsi="Verdana" w:cs="Arial"/>
                <w:i/>
                <w:iCs/>
              </w:rPr>
              <w:t xml:space="preserve">the imposition of </w:t>
            </w:r>
            <w:r w:rsidRPr="00B7032F">
              <w:rPr>
                <w:rFonts w:ascii="Verdana" w:hAnsi="Verdana" w:cs="Arial"/>
                <w:i/>
                <w:iCs/>
              </w:rPr>
              <w:t xml:space="preserve">public sector pay restraint, this may be higher </w:t>
            </w:r>
            <w:r w:rsidR="00304F82">
              <w:rPr>
                <w:rFonts w:ascii="Verdana" w:hAnsi="Verdana" w:cs="Arial"/>
                <w:i/>
                <w:iCs/>
              </w:rPr>
              <w:t xml:space="preserve">than </w:t>
            </w:r>
            <w:r w:rsidR="00175B7D">
              <w:rPr>
                <w:rFonts w:ascii="Verdana" w:hAnsi="Verdana" w:cs="Arial"/>
                <w:i/>
                <w:iCs/>
              </w:rPr>
              <w:t xml:space="preserve">will eventually be </w:t>
            </w:r>
            <w:r w:rsidR="00304F82">
              <w:rPr>
                <w:rFonts w:ascii="Verdana" w:hAnsi="Verdana" w:cs="Arial"/>
                <w:i/>
                <w:iCs/>
              </w:rPr>
              <w:t>required</w:t>
            </w:r>
            <w:r w:rsidRPr="00B7032F">
              <w:rPr>
                <w:rFonts w:ascii="Verdana" w:hAnsi="Verdana" w:cs="Arial"/>
                <w:i/>
                <w:iCs/>
              </w:rPr>
              <w:t>;</w:t>
            </w:r>
          </w:p>
          <w:p w14:paraId="0CBA7208" w14:textId="67B561B0" w:rsidR="00B7032F" w:rsidRPr="00B7032F" w:rsidRDefault="00B7032F" w:rsidP="00B7032F">
            <w:pPr>
              <w:rPr>
                <w:rFonts w:ascii="Verdana" w:hAnsi="Verdana" w:cs="Arial"/>
                <w:i/>
                <w:iCs/>
              </w:rPr>
            </w:pPr>
          </w:p>
          <w:p w14:paraId="2609A561" w14:textId="77777777" w:rsidR="00B7032F" w:rsidRPr="00B7032F" w:rsidRDefault="00B7032F" w:rsidP="00B7032F">
            <w:pPr>
              <w:rPr>
                <w:rFonts w:ascii="Verdana" w:hAnsi="Verdana" w:cs="Arial"/>
                <w:i/>
                <w:iCs/>
              </w:rPr>
            </w:pPr>
            <w:r w:rsidRPr="00B7032F">
              <w:rPr>
                <w:rFonts w:ascii="Verdana" w:hAnsi="Verdana" w:cs="Arial"/>
                <w:i/>
                <w:iCs/>
              </w:rPr>
              <w:t>no changes in pension contribution rates are anticipated;</w:t>
            </w:r>
          </w:p>
          <w:p w14:paraId="1B6BDCB3" w14:textId="77777777" w:rsidR="00B7032F" w:rsidRPr="00B7032F" w:rsidRDefault="00B7032F" w:rsidP="00B7032F">
            <w:pPr>
              <w:rPr>
                <w:rFonts w:ascii="Verdana" w:hAnsi="Verdana" w:cs="Arial"/>
                <w:i/>
                <w:iCs/>
              </w:rPr>
            </w:pPr>
          </w:p>
          <w:p w14:paraId="6021B71E" w14:textId="7AD6BC28" w:rsidR="00B7032F" w:rsidRPr="00B7032F" w:rsidRDefault="00B7032F" w:rsidP="00B7032F">
            <w:pPr>
              <w:rPr>
                <w:rFonts w:ascii="Verdana" w:hAnsi="Verdana" w:cs="Arial"/>
                <w:i/>
                <w:iCs/>
              </w:rPr>
            </w:pPr>
            <w:r w:rsidRPr="00B7032F">
              <w:rPr>
                <w:rFonts w:ascii="Verdana" w:hAnsi="Verdana" w:cs="Arial"/>
                <w:i/>
                <w:iCs/>
              </w:rPr>
              <w:t>the lump sum payments to cover the support staff pension scheme deficit are £55,000 - the underlying cost</w:t>
            </w:r>
            <w:r w:rsidR="00304F82">
              <w:rPr>
                <w:rFonts w:ascii="Verdana" w:hAnsi="Verdana" w:cs="Arial"/>
                <w:i/>
                <w:iCs/>
              </w:rPr>
              <w:t xml:space="preserve"> had been</w:t>
            </w:r>
            <w:r w:rsidRPr="00B7032F">
              <w:rPr>
                <w:rFonts w:ascii="Verdana" w:hAnsi="Verdana" w:cs="Arial"/>
                <w:i/>
                <w:iCs/>
              </w:rPr>
              <w:t xml:space="preserve"> reduced to £43,000 but the </w:t>
            </w:r>
            <w:r w:rsidR="00304F82">
              <w:rPr>
                <w:rFonts w:ascii="Verdana" w:hAnsi="Verdana" w:cs="Arial"/>
                <w:i/>
                <w:iCs/>
              </w:rPr>
              <w:t>retrospective</w:t>
            </w:r>
            <w:r w:rsidRPr="00B7032F">
              <w:rPr>
                <w:rFonts w:ascii="Verdana" w:hAnsi="Verdana" w:cs="Arial"/>
                <w:i/>
                <w:iCs/>
              </w:rPr>
              <w:t xml:space="preserve"> cost of the McCloud legal decision </w:t>
            </w:r>
            <w:r w:rsidR="00304F82">
              <w:rPr>
                <w:rFonts w:ascii="Verdana" w:hAnsi="Verdana" w:cs="Arial"/>
                <w:i/>
                <w:iCs/>
              </w:rPr>
              <w:t>adds</w:t>
            </w:r>
            <w:r w:rsidRPr="00B7032F">
              <w:rPr>
                <w:rFonts w:ascii="Verdana" w:hAnsi="Verdana" w:cs="Arial"/>
                <w:i/>
                <w:iCs/>
              </w:rPr>
              <w:t xml:space="preserve"> £12,000 per annum over the next three years;</w:t>
            </w:r>
          </w:p>
          <w:p w14:paraId="36837E66" w14:textId="6D94D077" w:rsidR="00B7032F" w:rsidRPr="00B7032F" w:rsidRDefault="00B7032F" w:rsidP="00B7032F">
            <w:pPr>
              <w:rPr>
                <w:rFonts w:ascii="Verdana" w:hAnsi="Verdana" w:cs="Arial"/>
                <w:i/>
                <w:iCs/>
              </w:rPr>
            </w:pPr>
          </w:p>
          <w:p w14:paraId="16E85DDE" w14:textId="3657FB95" w:rsidR="00B7032F" w:rsidRPr="00B7032F" w:rsidRDefault="00B7032F" w:rsidP="00B7032F">
            <w:pPr>
              <w:rPr>
                <w:rFonts w:ascii="Verdana" w:hAnsi="Verdana" w:cs="Arial"/>
              </w:rPr>
            </w:pPr>
            <w:r w:rsidRPr="00B7032F">
              <w:rPr>
                <w:rFonts w:ascii="Verdana" w:hAnsi="Verdana" w:cs="Arial"/>
                <w:i/>
                <w:iCs/>
              </w:rPr>
              <w:t>it is assumed that staff not</w:t>
            </w:r>
            <w:r w:rsidR="00175B7D">
              <w:rPr>
                <w:rFonts w:ascii="Verdana" w:hAnsi="Verdana" w:cs="Arial"/>
                <w:i/>
                <w:iCs/>
              </w:rPr>
              <w:t xml:space="preserve"> currently enrolled</w:t>
            </w:r>
            <w:r w:rsidRPr="00B7032F">
              <w:rPr>
                <w:rFonts w:ascii="Verdana" w:hAnsi="Verdana" w:cs="Arial"/>
                <w:i/>
                <w:iCs/>
              </w:rPr>
              <w:t xml:space="preserve"> in the pension schemes will not </w:t>
            </w:r>
            <w:r w:rsidR="00175B7D">
              <w:rPr>
                <w:rFonts w:ascii="Verdana" w:hAnsi="Verdana" w:cs="Arial"/>
                <w:i/>
                <w:iCs/>
              </w:rPr>
              <w:t xml:space="preserve">subsequently choose to </w:t>
            </w:r>
            <w:r w:rsidRPr="00B7032F">
              <w:rPr>
                <w:rFonts w:ascii="Verdana" w:hAnsi="Verdana" w:cs="Arial"/>
                <w:i/>
                <w:iCs/>
              </w:rPr>
              <w:t>opt in (though</w:t>
            </w:r>
            <w:r w:rsidR="00175B7D">
              <w:rPr>
                <w:rFonts w:ascii="Verdana" w:hAnsi="Verdana" w:cs="Arial"/>
                <w:i/>
                <w:iCs/>
              </w:rPr>
              <w:t xml:space="preserve"> it is assumed that</w:t>
            </w:r>
            <w:r w:rsidRPr="00B7032F">
              <w:rPr>
                <w:rFonts w:ascii="Verdana" w:hAnsi="Verdana" w:cs="Arial"/>
                <w:i/>
                <w:iCs/>
              </w:rPr>
              <w:t xml:space="preserve"> all new or replacement staff </w:t>
            </w:r>
            <w:r w:rsidR="00175B7D">
              <w:rPr>
                <w:rFonts w:ascii="Verdana" w:hAnsi="Verdana" w:cs="Arial"/>
                <w:i/>
                <w:iCs/>
              </w:rPr>
              <w:t>will</w:t>
            </w:r>
            <w:r w:rsidRPr="00B7032F">
              <w:rPr>
                <w:rFonts w:ascii="Verdana" w:hAnsi="Verdana" w:cs="Arial"/>
                <w:i/>
                <w:iCs/>
              </w:rPr>
              <w:t xml:space="preserve"> opt in); </w:t>
            </w:r>
            <w:r w:rsidRPr="00B7032F">
              <w:rPr>
                <w:rFonts w:ascii="Verdana" w:hAnsi="Verdana" w:cs="Arial"/>
              </w:rPr>
              <w:t>and</w:t>
            </w:r>
          </w:p>
          <w:p w14:paraId="71A0F3B1" w14:textId="46B1CBB4" w:rsidR="00B7032F" w:rsidRPr="00B7032F" w:rsidRDefault="00B7032F" w:rsidP="00B7032F">
            <w:pPr>
              <w:rPr>
                <w:rFonts w:ascii="Verdana" w:hAnsi="Verdana" w:cs="Arial"/>
                <w:i/>
                <w:iCs/>
              </w:rPr>
            </w:pPr>
          </w:p>
          <w:p w14:paraId="2CA4EC25" w14:textId="25E2ECB9" w:rsidR="00B7032F" w:rsidRPr="00B7032F" w:rsidRDefault="00B7032F" w:rsidP="00B7032F">
            <w:pPr>
              <w:rPr>
                <w:rFonts w:ascii="Verdana" w:hAnsi="Verdana" w:cs="Arial"/>
              </w:rPr>
            </w:pPr>
            <w:r w:rsidRPr="00B7032F">
              <w:rPr>
                <w:rFonts w:ascii="Verdana" w:hAnsi="Verdana" w:cs="Arial"/>
                <w:i/>
                <w:iCs/>
              </w:rPr>
              <w:t xml:space="preserve">the estimates include all the temporary posts that </w:t>
            </w:r>
            <w:r w:rsidR="00175B7D">
              <w:rPr>
                <w:rFonts w:ascii="Verdana" w:hAnsi="Verdana" w:cs="Arial"/>
                <w:i/>
                <w:iCs/>
              </w:rPr>
              <w:t>occur</w:t>
            </w:r>
            <w:r w:rsidRPr="00B7032F">
              <w:rPr>
                <w:rFonts w:ascii="Verdana" w:hAnsi="Verdana" w:cs="Arial"/>
                <w:i/>
                <w:iCs/>
              </w:rPr>
              <w:t xml:space="preserve"> regularly</w:t>
            </w:r>
            <w:r w:rsidR="00304F82">
              <w:rPr>
                <w:rFonts w:ascii="Verdana" w:hAnsi="Verdana" w:cs="Arial"/>
                <w:i/>
                <w:iCs/>
              </w:rPr>
              <w:t>, namely</w:t>
            </w:r>
            <w:r w:rsidRPr="00B7032F">
              <w:rPr>
                <w:rFonts w:ascii="Verdana" w:hAnsi="Verdana" w:cs="Arial"/>
                <w:i/>
                <w:iCs/>
              </w:rPr>
              <w:t xml:space="preserve"> examination invigilators, extra staff at enrolment and</w:t>
            </w:r>
            <w:r w:rsidR="00175B7D">
              <w:rPr>
                <w:rFonts w:ascii="Verdana" w:hAnsi="Verdana" w:cs="Arial"/>
                <w:i/>
                <w:iCs/>
              </w:rPr>
              <w:t>,</w:t>
            </w:r>
            <w:r w:rsidRPr="00B7032F">
              <w:rPr>
                <w:rFonts w:ascii="Verdana" w:hAnsi="Verdana" w:cs="Arial"/>
                <w:i/>
                <w:iCs/>
              </w:rPr>
              <w:t xml:space="preserve"> in the first two months of the year</w:t>
            </w:r>
            <w:r w:rsidR="00175B7D">
              <w:rPr>
                <w:rFonts w:ascii="Verdana" w:hAnsi="Verdana" w:cs="Arial"/>
                <w:i/>
                <w:iCs/>
              </w:rPr>
              <w:t>, temporary staff</w:t>
            </w:r>
            <w:r w:rsidRPr="00B7032F">
              <w:rPr>
                <w:rFonts w:ascii="Verdana" w:hAnsi="Verdana" w:cs="Arial"/>
                <w:i/>
                <w:iCs/>
              </w:rPr>
              <w:t xml:space="preserve"> for destinations and data entry, and extra staff on passport days.</w:t>
            </w:r>
          </w:p>
          <w:p w14:paraId="2DE0A2B7" w14:textId="77777777" w:rsidR="00B7032F" w:rsidRPr="00B7032F" w:rsidRDefault="00B7032F" w:rsidP="00B7032F">
            <w:pPr>
              <w:rPr>
                <w:rFonts w:ascii="Verdana" w:hAnsi="Verdana" w:cs="Arial"/>
              </w:rPr>
            </w:pPr>
          </w:p>
          <w:p w14:paraId="15EA6E80" w14:textId="4606A662" w:rsidR="00B7032F" w:rsidRPr="004C3140" w:rsidRDefault="00B7032F" w:rsidP="00B7032F">
            <w:pPr>
              <w:rPr>
                <w:rFonts w:ascii="Verdana" w:hAnsi="Verdana" w:cs="Arial"/>
              </w:rPr>
            </w:pPr>
            <w:r>
              <w:rPr>
                <w:rFonts w:ascii="Verdana" w:hAnsi="Verdana" w:cs="Arial"/>
              </w:rPr>
              <w:lastRenderedPageBreak/>
              <w:t>P</w:t>
            </w:r>
            <w:r w:rsidRPr="00B7032F">
              <w:rPr>
                <w:rFonts w:ascii="Verdana" w:hAnsi="Verdana" w:cs="Arial"/>
              </w:rPr>
              <w:t>ay as a percentage of income</w:t>
            </w:r>
            <w:r>
              <w:rPr>
                <w:rFonts w:ascii="Verdana" w:hAnsi="Verdana" w:cs="Arial"/>
              </w:rPr>
              <w:t xml:space="preserve"> is</w:t>
            </w:r>
            <w:r w:rsidRPr="00B7032F">
              <w:rPr>
                <w:rFonts w:ascii="Verdana" w:hAnsi="Verdana" w:cs="Arial"/>
              </w:rPr>
              <w:t xml:space="preserve"> 70.8% before</w:t>
            </w:r>
            <w:r>
              <w:rPr>
                <w:rFonts w:ascii="Verdana" w:hAnsi="Verdana" w:cs="Arial"/>
              </w:rPr>
              <w:t xml:space="preserve"> inclusion of</w:t>
            </w:r>
            <w:r w:rsidRPr="00B7032F">
              <w:rPr>
                <w:rFonts w:ascii="Verdana" w:hAnsi="Verdana" w:cs="Arial"/>
              </w:rPr>
              <w:t xml:space="preserve"> catch</w:t>
            </w:r>
            <w:r>
              <w:rPr>
                <w:rFonts w:ascii="Verdana" w:hAnsi="Verdana" w:cs="Arial"/>
              </w:rPr>
              <w:t>-</w:t>
            </w:r>
            <w:r w:rsidRPr="00B7032F">
              <w:rPr>
                <w:rFonts w:ascii="Verdana" w:hAnsi="Verdana" w:cs="Arial"/>
              </w:rPr>
              <w:t xml:space="preserve">up costs and 71.5% after </w:t>
            </w:r>
            <w:r>
              <w:rPr>
                <w:rFonts w:ascii="Verdana" w:hAnsi="Verdana" w:cs="Arial"/>
              </w:rPr>
              <w:t>their inclusion</w:t>
            </w:r>
            <w:r w:rsidRPr="00B7032F">
              <w:rPr>
                <w:rFonts w:ascii="Verdana" w:hAnsi="Verdana" w:cs="Arial"/>
              </w:rPr>
              <w:t xml:space="preserve">.  70% is the benchmark upper limit for the </w:t>
            </w:r>
            <w:r w:rsidRPr="004C3140">
              <w:rPr>
                <w:rFonts w:ascii="Verdana" w:hAnsi="Verdana" w:cs="Arial"/>
              </w:rPr>
              <w:t>sector and the College intends to continue progress towards meeting this target in 2022-23.</w:t>
            </w:r>
          </w:p>
          <w:p w14:paraId="40A76D35" w14:textId="72155CE6" w:rsidR="00B7032F" w:rsidRPr="004C3140" w:rsidRDefault="00B7032F" w:rsidP="00B7032F">
            <w:pPr>
              <w:rPr>
                <w:rFonts w:ascii="Verdana" w:hAnsi="Verdana" w:cs="Arial"/>
              </w:rPr>
            </w:pPr>
          </w:p>
          <w:p w14:paraId="573286E3" w14:textId="046785C1" w:rsidR="004C3140" w:rsidRPr="004C3140" w:rsidRDefault="004C3140" w:rsidP="004C3140">
            <w:pPr>
              <w:rPr>
                <w:rFonts w:ascii="Verdana" w:hAnsi="Verdana" w:cs="Arial"/>
              </w:rPr>
            </w:pPr>
            <w:r w:rsidRPr="004C3140">
              <w:rPr>
                <w:rFonts w:ascii="Verdana" w:hAnsi="Verdana" w:cs="Arial"/>
              </w:rPr>
              <w:t xml:space="preserve">The </w:t>
            </w:r>
            <w:r>
              <w:rPr>
                <w:rFonts w:ascii="Verdana" w:hAnsi="Verdana" w:cs="Arial"/>
              </w:rPr>
              <w:t>continu</w:t>
            </w:r>
            <w:r w:rsidRPr="004C3140">
              <w:rPr>
                <w:rFonts w:ascii="Verdana" w:hAnsi="Verdana" w:cs="Arial"/>
              </w:rPr>
              <w:t xml:space="preserve">ing impact of the </w:t>
            </w:r>
            <w:r>
              <w:rPr>
                <w:rFonts w:ascii="Verdana" w:hAnsi="Verdana" w:cs="Arial"/>
              </w:rPr>
              <w:t>pub</w:t>
            </w:r>
            <w:r w:rsidR="00304F82">
              <w:rPr>
                <w:rFonts w:ascii="Verdana" w:hAnsi="Verdana" w:cs="Arial"/>
              </w:rPr>
              <w:t>l</w:t>
            </w:r>
            <w:r>
              <w:rPr>
                <w:rFonts w:ascii="Verdana" w:hAnsi="Verdana" w:cs="Arial"/>
              </w:rPr>
              <w:t>ic health emergency</w:t>
            </w:r>
            <w:r w:rsidRPr="004C3140">
              <w:rPr>
                <w:rFonts w:ascii="Verdana" w:hAnsi="Verdana" w:cs="Arial"/>
              </w:rPr>
              <w:t xml:space="preserve"> in 2021</w:t>
            </w:r>
            <w:r>
              <w:rPr>
                <w:rFonts w:ascii="Verdana" w:hAnsi="Verdana" w:cs="Arial"/>
              </w:rPr>
              <w:t>-</w:t>
            </w:r>
            <w:r w:rsidRPr="004C3140">
              <w:rPr>
                <w:rFonts w:ascii="Verdana" w:hAnsi="Verdana" w:cs="Arial"/>
              </w:rPr>
              <w:t xml:space="preserve">22 will leave many students </w:t>
            </w:r>
            <w:r w:rsidR="00304F82">
              <w:rPr>
                <w:rFonts w:ascii="Verdana" w:hAnsi="Verdana" w:cs="Arial"/>
              </w:rPr>
              <w:t>experiencing</w:t>
            </w:r>
            <w:r w:rsidRPr="004C3140">
              <w:rPr>
                <w:rFonts w:ascii="Verdana" w:hAnsi="Verdana" w:cs="Arial"/>
              </w:rPr>
              <w:t xml:space="preserve"> welfare needs </w:t>
            </w:r>
            <w:r w:rsidR="00304F82">
              <w:rPr>
                <w:rFonts w:ascii="Verdana" w:hAnsi="Verdana" w:cs="Arial"/>
              </w:rPr>
              <w:t xml:space="preserve">as well as being </w:t>
            </w:r>
            <w:r>
              <w:rPr>
                <w:rFonts w:ascii="Verdana" w:hAnsi="Verdana" w:cs="Arial"/>
              </w:rPr>
              <w:t xml:space="preserve">in need of </w:t>
            </w:r>
            <w:r w:rsidRPr="004C3140">
              <w:rPr>
                <w:rFonts w:ascii="Verdana" w:hAnsi="Verdana" w:cs="Arial"/>
              </w:rPr>
              <w:t xml:space="preserve">help to </w:t>
            </w:r>
            <w:r>
              <w:rPr>
                <w:rFonts w:ascii="Verdana" w:hAnsi="Verdana" w:cs="Arial"/>
              </w:rPr>
              <w:t xml:space="preserve">catch </w:t>
            </w:r>
            <w:r w:rsidRPr="004C3140">
              <w:rPr>
                <w:rFonts w:ascii="Verdana" w:hAnsi="Verdana" w:cs="Arial"/>
              </w:rPr>
              <w:t xml:space="preserve">up </w:t>
            </w:r>
            <w:r>
              <w:rPr>
                <w:rFonts w:ascii="Verdana" w:hAnsi="Verdana" w:cs="Arial"/>
              </w:rPr>
              <w:t>with missed study</w:t>
            </w:r>
            <w:r w:rsidRPr="004C3140">
              <w:rPr>
                <w:rFonts w:ascii="Verdana" w:hAnsi="Verdana" w:cs="Arial"/>
              </w:rPr>
              <w:t>.  The College would like to provide £74,000 for additional pay costs in these areas.  This would give a temporary deficit budget, but keep pay as a percentage of income below 71.5%.</w:t>
            </w:r>
            <w:r>
              <w:rPr>
                <w:rFonts w:ascii="Verdana" w:hAnsi="Verdana" w:cs="Arial"/>
              </w:rPr>
              <w:t xml:space="preserve">  </w:t>
            </w:r>
            <w:r w:rsidRPr="004C3140">
              <w:rPr>
                <w:rFonts w:ascii="Verdana" w:hAnsi="Verdana" w:cs="Arial"/>
              </w:rPr>
              <w:t xml:space="preserve">This money would ensure that the College is able to provide the necessary personal support, coaching and counselling </w:t>
            </w:r>
            <w:r>
              <w:rPr>
                <w:rFonts w:ascii="Verdana" w:hAnsi="Verdana" w:cs="Arial"/>
              </w:rPr>
              <w:t>needed by s</w:t>
            </w:r>
            <w:r w:rsidRPr="004C3140">
              <w:rPr>
                <w:rFonts w:ascii="Verdana" w:hAnsi="Verdana" w:cs="Arial"/>
              </w:rPr>
              <w:t>tudent</w:t>
            </w:r>
            <w:r>
              <w:rPr>
                <w:rFonts w:ascii="Verdana" w:hAnsi="Verdana" w:cs="Arial"/>
              </w:rPr>
              <w:t>s</w:t>
            </w:r>
            <w:r w:rsidRPr="004C3140">
              <w:rPr>
                <w:rFonts w:ascii="Verdana" w:hAnsi="Verdana" w:cs="Arial"/>
              </w:rPr>
              <w:t>.</w:t>
            </w:r>
            <w:r>
              <w:rPr>
                <w:rFonts w:ascii="Verdana" w:hAnsi="Verdana" w:cs="Arial"/>
              </w:rPr>
              <w:t xml:space="preserve">  It would result in an operating deficit for </w:t>
            </w:r>
            <w:r w:rsidRPr="004C3140">
              <w:rPr>
                <w:rFonts w:ascii="Verdana" w:hAnsi="Verdana" w:cs="Arial"/>
              </w:rPr>
              <w:t xml:space="preserve">the year </w:t>
            </w:r>
            <w:r w:rsidR="00175B7D">
              <w:rPr>
                <w:rFonts w:ascii="Verdana" w:hAnsi="Verdana" w:cs="Arial"/>
              </w:rPr>
              <w:t xml:space="preserve">(£68,000) </w:t>
            </w:r>
            <w:r w:rsidRPr="004C3140">
              <w:rPr>
                <w:rFonts w:ascii="Verdana" w:hAnsi="Verdana" w:cs="Arial"/>
              </w:rPr>
              <w:t>rather than the otherwise projected surplus of £6,000.</w:t>
            </w:r>
          </w:p>
          <w:p w14:paraId="085FFBDB" w14:textId="654DC2F1" w:rsidR="004C3140" w:rsidRPr="004C3140" w:rsidRDefault="004C3140" w:rsidP="004C3140">
            <w:pPr>
              <w:rPr>
                <w:rFonts w:ascii="Verdana" w:hAnsi="Verdana" w:cs="Arial"/>
              </w:rPr>
            </w:pPr>
          </w:p>
          <w:p w14:paraId="733C9534" w14:textId="489EC278" w:rsidR="004C3140" w:rsidRDefault="004C3140" w:rsidP="004C3140">
            <w:pPr>
              <w:rPr>
                <w:rFonts w:ascii="Verdana" w:hAnsi="Verdana" w:cs="Arial"/>
              </w:rPr>
            </w:pPr>
            <w:r w:rsidRPr="004C3140">
              <w:rPr>
                <w:rFonts w:ascii="Verdana" w:hAnsi="Verdana" w:cs="Arial"/>
              </w:rPr>
              <w:t>Non</w:t>
            </w:r>
            <w:r>
              <w:rPr>
                <w:rFonts w:ascii="Verdana" w:hAnsi="Verdana" w:cs="Arial"/>
              </w:rPr>
              <w:t>-</w:t>
            </w:r>
            <w:r w:rsidRPr="004C3140">
              <w:rPr>
                <w:rFonts w:ascii="Verdana" w:hAnsi="Verdana" w:cs="Arial"/>
              </w:rPr>
              <w:t>pay cost costs ha</w:t>
            </w:r>
            <w:r>
              <w:rPr>
                <w:rFonts w:ascii="Verdana" w:hAnsi="Verdana" w:cs="Arial"/>
              </w:rPr>
              <w:t>d</w:t>
            </w:r>
            <w:r w:rsidRPr="004C3140">
              <w:rPr>
                <w:rFonts w:ascii="Verdana" w:hAnsi="Verdana" w:cs="Arial"/>
              </w:rPr>
              <w:t xml:space="preserve"> been reviewed</w:t>
            </w:r>
            <w:r>
              <w:rPr>
                <w:rFonts w:ascii="Verdana" w:hAnsi="Verdana" w:cs="Arial"/>
              </w:rPr>
              <w:t>.</w:t>
            </w:r>
            <w:r w:rsidRPr="004C3140">
              <w:rPr>
                <w:rFonts w:ascii="Verdana" w:hAnsi="Verdana" w:cs="Arial"/>
              </w:rPr>
              <w:t xml:space="preserve">  There will be detailed discussions with budget holders in the next three months, but th</w:t>
            </w:r>
            <w:r>
              <w:rPr>
                <w:rFonts w:ascii="Verdana" w:hAnsi="Verdana" w:cs="Arial"/>
              </w:rPr>
              <w:t>e</w:t>
            </w:r>
            <w:r w:rsidRPr="004C3140">
              <w:rPr>
                <w:rFonts w:ascii="Verdana" w:hAnsi="Verdana" w:cs="Arial"/>
              </w:rPr>
              <w:t xml:space="preserve"> cost envelope</w:t>
            </w:r>
            <w:r>
              <w:rPr>
                <w:rFonts w:ascii="Verdana" w:hAnsi="Verdana" w:cs="Arial"/>
              </w:rPr>
              <w:t xml:space="preserve"> provided</w:t>
            </w:r>
            <w:r w:rsidRPr="004C3140">
              <w:rPr>
                <w:rFonts w:ascii="Verdana" w:hAnsi="Verdana" w:cs="Arial"/>
              </w:rPr>
              <w:t xml:space="preserve"> </w:t>
            </w:r>
            <w:r w:rsidR="00304F82">
              <w:rPr>
                <w:rFonts w:ascii="Verdana" w:hAnsi="Verdana" w:cs="Arial"/>
              </w:rPr>
              <w:t>will not be exceeded</w:t>
            </w:r>
            <w:r>
              <w:rPr>
                <w:rFonts w:ascii="Verdana" w:hAnsi="Verdana" w:cs="Arial"/>
              </w:rPr>
              <w:t>.</w:t>
            </w:r>
          </w:p>
          <w:p w14:paraId="15FED3A6" w14:textId="6C0A3456" w:rsidR="004C3140" w:rsidRDefault="004C3140" w:rsidP="004C3140">
            <w:pPr>
              <w:rPr>
                <w:rFonts w:ascii="Verdana" w:hAnsi="Verdana" w:cs="Arial"/>
              </w:rPr>
            </w:pPr>
          </w:p>
          <w:p w14:paraId="0DCEE153" w14:textId="6660934E" w:rsidR="00147665" w:rsidRPr="004C3140" w:rsidRDefault="004C3140" w:rsidP="004F4C55">
            <w:pPr>
              <w:rPr>
                <w:rFonts w:ascii="Verdana" w:hAnsi="Verdana" w:cs="Arial"/>
              </w:rPr>
            </w:pPr>
            <w:r>
              <w:rPr>
                <w:rFonts w:ascii="Verdana" w:hAnsi="Verdana" w:cs="Arial"/>
              </w:rPr>
              <w:t xml:space="preserve">The most significant risks </w:t>
            </w:r>
            <w:r w:rsidR="00706FC7">
              <w:rPr>
                <w:rFonts w:ascii="Verdana" w:hAnsi="Verdana" w:cs="Arial"/>
              </w:rPr>
              <w:t xml:space="preserve">with the potential to impinge on </w:t>
            </w:r>
            <w:r>
              <w:rPr>
                <w:rFonts w:ascii="Verdana" w:hAnsi="Verdana" w:cs="Arial"/>
              </w:rPr>
              <w:t>College</w:t>
            </w:r>
            <w:r w:rsidR="00706FC7">
              <w:rPr>
                <w:rFonts w:ascii="Verdana" w:hAnsi="Verdana" w:cs="Arial"/>
              </w:rPr>
              <w:t xml:space="preserve"> financial performance</w:t>
            </w:r>
            <w:r>
              <w:rPr>
                <w:rFonts w:ascii="Verdana" w:hAnsi="Verdana" w:cs="Arial"/>
              </w:rPr>
              <w:t xml:space="preserve"> were noted as:</w:t>
            </w:r>
          </w:p>
        </w:tc>
      </w:tr>
    </w:tbl>
    <w:p w14:paraId="2D602A9C" w14:textId="052835DC" w:rsidR="00EB1910" w:rsidRPr="00B7032F" w:rsidRDefault="00EB1910"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54"/>
        <w:gridCol w:w="8363"/>
      </w:tblGrid>
      <w:tr w:rsidR="004C3140" w:rsidRPr="004C3140" w14:paraId="597336F8" w14:textId="77777777" w:rsidTr="00FF4453">
        <w:tc>
          <w:tcPr>
            <w:tcW w:w="534" w:type="dxa"/>
          </w:tcPr>
          <w:p w14:paraId="21EEA29D" w14:textId="77777777" w:rsidR="004C3140" w:rsidRPr="00706FC7" w:rsidRDefault="004C3140" w:rsidP="004C3140">
            <w:pPr>
              <w:rPr>
                <w:rFonts w:ascii="Verdana" w:hAnsi="Verdana"/>
                <w:i/>
                <w:iCs/>
              </w:rPr>
            </w:pPr>
          </w:p>
        </w:tc>
        <w:tc>
          <w:tcPr>
            <w:tcW w:w="454" w:type="dxa"/>
          </w:tcPr>
          <w:p w14:paraId="5AE12512" w14:textId="6590724F" w:rsidR="004C3140" w:rsidRPr="00706FC7" w:rsidRDefault="004C3140" w:rsidP="004C3140">
            <w:pPr>
              <w:rPr>
                <w:rFonts w:ascii="Verdana" w:hAnsi="Verdana"/>
                <w:b/>
                <w:bCs/>
                <w:i/>
                <w:iCs/>
              </w:rPr>
            </w:pPr>
            <w:r w:rsidRPr="00706FC7">
              <w:rPr>
                <w:rFonts w:ascii="Verdana" w:hAnsi="Verdana"/>
                <w:b/>
                <w:bCs/>
                <w:i/>
                <w:iCs/>
              </w:rPr>
              <w:t>.</w:t>
            </w:r>
          </w:p>
        </w:tc>
        <w:tc>
          <w:tcPr>
            <w:tcW w:w="8363" w:type="dxa"/>
          </w:tcPr>
          <w:p w14:paraId="59D08AD0" w14:textId="77777777" w:rsidR="004C3140" w:rsidRPr="00706FC7" w:rsidRDefault="004C3140" w:rsidP="004C3140">
            <w:pPr>
              <w:contextualSpacing/>
              <w:rPr>
                <w:rFonts w:ascii="Verdana" w:hAnsi="Verdana"/>
              </w:rPr>
            </w:pPr>
            <w:r w:rsidRPr="00706FC7">
              <w:rPr>
                <w:rFonts w:ascii="Verdana" w:hAnsi="Verdana"/>
              </w:rPr>
              <w:t>failure to recruit the forecast number of students;</w:t>
            </w:r>
          </w:p>
          <w:p w14:paraId="6C38C890" w14:textId="4F0A50F4" w:rsidR="00706FC7" w:rsidRPr="00706FC7" w:rsidRDefault="00706FC7" w:rsidP="004C3140">
            <w:pPr>
              <w:contextualSpacing/>
              <w:rPr>
                <w:rFonts w:ascii="Verdana" w:hAnsi="Verdana"/>
              </w:rPr>
            </w:pPr>
          </w:p>
        </w:tc>
      </w:tr>
      <w:tr w:rsidR="004C3140" w:rsidRPr="004C3140" w14:paraId="0A7ED470" w14:textId="77777777" w:rsidTr="00FF4453">
        <w:tc>
          <w:tcPr>
            <w:tcW w:w="534" w:type="dxa"/>
          </w:tcPr>
          <w:p w14:paraId="1C8B068F" w14:textId="77777777" w:rsidR="004C3140" w:rsidRPr="00706FC7" w:rsidRDefault="004C3140" w:rsidP="004C3140">
            <w:pPr>
              <w:rPr>
                <w:rFonts w:ascii="Verdana" w:hAnsi="Verdana"/>
                <w:i/>
                <w:iCs/>
              </w:rPr>
            </w:pPr>
          </w:p>
        </w:tc>
        <w:tc>
          <w:tcPr>
            <w:tcW w:w="454" w:type="dxa"/>
          </w:tcPr>
          <w:p w14:paraId="1C876143" w14:textId="717E38A8" w:rsidR="004C3140" w:rsidRPr="00706FC7" w:rsidRDefault="004C3140" w:rsidP="004C3140">
            <w:pPr>
              <w:rPr>
                <w:rFonts w:ascii="Verdana" w:hAnsi="Verdana"/>
                <w:b/>
                <w:bCs/>
                <w:i/>
                <w:iCs/>
              </w:rPr>
            </w:pPr>
            <w:r w:rsidRPr="00706FC7">
              <w:rPr>
                <w:rFonts w:ascii="Verdana" w:hAnsi="Verdana"/>
                <w:b/>
                <w:bCs/>
                <w:i/>
                <w:iCs/>
              </w:rPr>
              <w:t>.</w:t>
            </w:r>
          </w:p>
        </w:tc>
        <w:tc>
          <w:tcPr>
            <w:tcW w:w="8363" w:type="dxa"/>
          </w:tcPr>
          <w:p w14:paraId="75ACB29C" w14:textId="22D28EC0" w:rsidR="004C3140" w:rsidRPr="00706FC7" w:rsidRDefault="004C3140" w:rsidP="004C3140">
            <w:pPr>
              <w:contextualSpacing/>
              <w:rPr>
                <w:rFonts w:ascii="Verdana" w:hAnsi="Verdana" w:cs="Arial"/>
              </w:rPr>
            </w:pPr>
            <w:r w:rsidRPr="00706FC7">
              <w:rPr>
                <w:rFonts w:ascii="Verdana" w:hAnsi="Verdana" w:cs="Arial"/>
              </w:rPr>
              <w:t xml:space="preserve">failure to deal with the consequences of the </w:t>
            </w:r>
            <w:r w:rsidR="00706FC7">
              <w:rPr>
                <w:rFonts w:ascii="Verdana" w:hAnsi="Verdana" w:cs="Arial"/>
              </w:rPr>
              <w:t>public health emergency</w:t>
            </w:r>
            <w:r w:rsidRPr="00706FC7">
              <w:rPr>
                <w:rFonts w:ascii="Verdana" w:hAnsi="Verdana" w:cs="Arial"/>
              </w:rPr>
              <w:t>;</w:t>
            </w:r>
          </w:p>
          <w:p w14:paraId="10AAFB7E" w14:textId="306A362A" w:rsidR="00706FC7" w:rsidRPr="00706FC7" w:rsidRDefault="00706FC7" w:rsidP="004C3140">
            <w:pPr>
              <w:contextualSpacing/>
              <w:rPr>
                <w:rFonts w:ascii="Verdana" w:hAnsi="Verdana"/>
              </w:rPr>
            </w:pPr>
          </w:p>
        </w:tc>
      </w:tr>
      <w:tr w:rsidR="004C3140" w:rsidRPr="004C3140" w14:paraId="0A25ADCB" w14:textId="77777777" w:rsidTr="00FF4453">
        <w:tc>
          <w:tcPr>
            <w:tcW w:w="534" w:type="dxa"/>
          </w:tcPr>
          <w:p w14:paraId="727DFEA6" w14:textId="77777777" w:rsidR="004C3140" w:rsidRPr="00706FC7" w:rsidRDefault="004C3140" w:rsidP="004C3140">
            <w:pPr>
              <w:rPr>
                <w:rFonts w:ascii="Verdana" w:hAnsi="Verdana"/>
                <w:i/>
                <w:iCs/>
              </w:rPr>
            </w:pPr>
          </w:p>
        </w:tc>
        <w:tc>
          <w:tcPr>
            <w:tcW w:w="454" w:type="dxa"/>
          </w:tcPr>
          <w:p w14:paraId="669F180B" w14:textId="12507DD2" w:rsidR="004C3140" w:rsidRPr="00706FC7" w:rsidRDefault="004C3140" w:rsidP="004C3140">
            <w:pPr>
              <w:rPr>
                <w:rFonts w:ascii="Verdana" w:hAnsi="Verdana"/>
                <w:b/>
                <w:bCs/>
                <w:i/>
                <w:iCs/>
              </w:rPr>
            </w:pPr>
            <w:r w:rsidRPr="00706FC7">
              <w:rPr>
                <w:rFonts w:ascii="Verdana" w:hAnsi="Verdana"/>
                <w:b/>
                <w:bCs/>
                <w:i/>
                <w:iCs/>
              </w:rPr>
              <w:t>.</w:t>
            </w:r>
          </w:p>
        </w:tc>
        <w:tc>
          <w:tcPr>
            <w:tcW w:w="8363" w:type="dxa"/>
          </w:tcPr>
          <w:p w14:paraId="0EA730B6" w14:textId="77777777" w:rsidR="004C3140" w:rsidRPr="00706FC7" w:rsidRDefault="00706FC7" w:rsidP="004C3140">
            <w:pPr>
              <w:contextualSpacing/>
              <w:rPr>
                <w:rFonts w:ascii="Verdana" w:hAnsi="Verdana" w:cs="Arial"/>
              </w:rPr>
            </w:pPr>
            <w:r w:rsidRPr="00706FC7">
              <w:rPr>
                <w:rFonts w:ascii="Verdana" w:hAnsi="Verdana" w:cs="Arial"/>
              </w:rPr>
              <w:t>f</w:t>
            </w:r>
            <w:r w:rsidR="004C3140" w:rsidRPr="00706FC7">
              <w:rPr>
                <w:rFonts w:ascii="Verdana" w:hAnsi="Verdana" w:cs="Arial"/>
              </w:rPr>
              <w:t>ailure to maintain or improve</w:t>
            </w:r>
            <w:r w:rsidRPr="00706FC7">
              <w:rPr>
                <w:rFonts w:ascii="Verdana" w:hAnsi="Verdana" w:cs="Arial"/>
              </w:rPr>
              <w:t xml:space="preserve"> </w:t>
            </w:r>
            <w:r w:rsidR="004C3140" w:rsidRPr="00706FC7">
              <w:rPr>
                <w:rFonts w:ascii="Verdana" w:hAnsi="Verdana" w:cs="Arial"/>
              </w:rPr>
              <w:t>the College’s academic performance;</w:t>
            </w:r>
          </w:p>
          <w:p w14:paraId="006A5403" w14:textId="7D4D0434" w:rsidR="00706FC7" w:rsidRPr="00706FC7" w:rsidRDefault="00706FC7" w:rsidP="004C3140">
            <w:pPr>
              <w:contextualSpacing/>
              <w:rPr>
                <w:rFonts w:ascii="Verdana" w:hAnsi="Verdana"/>
              </w:rPr>
            </w:pPr>
          </w:p>
        </w:tc>
      </w:tr>
      <w:tr w:rsidR="004C3140" w:rsidRPr="004C3140" w14:paraId="51CCA872" w14:textId="77777777" w:rsidTr="00FF4453">
        <w:tc>
          <w:tcPr>
            <w:tcW w:w="534" w:type="dxa"/>
          </w:tcPr>
          <w:p w14:paraId="7F902139" w14:textId="77777777" w:rsidR="004C3140" w:rsidRPr="00706FC7" w:rsidRDefault="004C3140" w:rsidP="004C3140">
            <w:pPr>
              <w:rPr>
                <w:rFonts w:ascii="Verdana" w:hAnsi="Verdana"/>
                <w:i/>
                <w:iCs/>
              </w:rPr>
            </w:pPr>
          </w:p>
        </w:tc>
        <w:tc>
          <w:tcPr>
            <w:tcW w:w="454" w:type="dxa"/>
          </w:tcPr>
          <w:p w14:paraId="57577866" w14:textId="34F78D46" w:rsidR="004C3140" w:rsidRPr="00706FC7" w:rsidRDefault="004C3140" w:rsidP="004C3140">
            <w:pPr>
              <w:rPr>
                <w:rFonts w:ascii="Verdana" w:hAnsi="Verdana"/>
                <w:b/>
                <w:bCs/>
                <w:i/>
                <w:iCs/>
              </w:rPr>
            </w:pPr>
            <w:r w:rsidRPr="00706FC7">
              <w:rPr>
                <w:rFonts w:ascii="Verdana" w:hAnsi="Verdana"/>
                <w:b/>
                <w:bCs/>
                <w:i/>
                <w:iCs/>
              </w:rPr>
              <w:t>.</w:t>
            </w:r>
          </w:p>
        </w:tc>
        <w:tc>
          <w:tcPr>
            <w:tcW w:w="8363" w:type="dxa"/>
          </w:tcPr>
          <w:p w14:paraId="26D54395" w14:textId="77777777" w:rsidR="004C3140" w:rsidRPr="00706FC7" w:rsidRDefault="00706FC7" w:rsidP="004C3140">
            <w:pPr>
              <w:contextualSpacing/>
              <w:rPr>
                <w:rFonts w:ascii="Verdana" w:hAnsi="Verdana" w:cs="Arial"/>
              </w:rPr>
            </w:pPr>
            <w:r w:rsidRPr="00706FC7">
              <w:rPr>
                <w:rFonts w:ascii="Verdana" w:hAnsi="Verdana" w:cs="Arial"/>
              </w:rPr>
              <w:t>changes to funding that adversely affect the College’s allocation;</w:t>
            </w:r>
          </w:p>
          <w:p w14:paraId="51B2C216" w14:textId="3F04664C" w:rsidR="00706FC7" w:rsidRPr="00706FC7" w:rsidRDefault="00706FC7" w:rsidP="004C3140">
            <w:pPr>
              <w:contextualSpacing/>
              <w:rPr>
                <w:rFonts w:ascii="Verdana" w:hAnsi="Verdana"/>
              </w:rPr>
            </w:pPr>
          </w:p>
        </w:tc>
      </w:tr>
      <w:tr w:rsidR="004C3140" w:rsidRPr="004C3140" w14:paraId="512386D1" w14:textId="77777777" w:rsidTr="00FF4453">
        <w:tc>
          <w:tcPr>
            <w:tcW w:w="534" w:type="dxa"/>
          </w:tcPr>
          <w:p w14:paraId="14123E08" w14:textId="77777777" w:rsidR="004C3140" w:rsidRPr="00706FC7" w:rsidRDefault="004C3140" w:rsidP="004C3140">
            <w:pPr>
              <w:rPr>
                <w:rFonts w:ascii="Verdana" w:hAnsi="Verdana"/>
                <w:i/>
                <w:iCs/>
              </w:rPr>
            </w:pPr>
          </w:p>
        </w:tc>
        <w:tc>
          <w:tcPr>
            <w:tcW w:w="454" w:type="dxa"/>
          </w:tcPr>
          <w:p w14:paraId="1AE26797" w14:textId="17F381CF" w:rsidR="004C3140" w:rsidRPr="00706FC7" w:rsidRDefault="004C3140" w:rsidP="004C3140">
            <w:pPr>
              <w:rPr>
                <w:rFonts w:ascii="Verdana" w:hAnsi="Verdana"/>
                <w:b/>
                <w:bCs/>
                <w:i/>
                <w:iCs/>
              </w:rPr>
            </w:pPr>
            <w:r w:rsidRPr="00706FC7">
              <w:rPr>
                <w:rFonts w:ascii="Verdana" w:hAnsi="Verdana"/>
                <w:b/>
                <w:bCs/>
                <w:i/>
                <w:iCs/>
              </w:rPr>
              <w:t>.</w:t>
            </w:r>
          </w:p>
        </w:tc>
        <w:tc>
          <w:tcPr>
            <w:tcW w:w="8363" w:type="dxa"/>
          </w:tcPr>
          <w:p w14:paraId="7A0F9B81" w14:textId="40618624" w:rsidR="004C3140" w:rsidRPr="00706FC7" w:rsidRDefault="00706FC7" w:rsidP="004C3140">
            <w:pPr>
              <w:contextualSpacing/>
              <w:rPr>
                <w:rFonts w:ascii="Verdana" w:hAnsi="Verdana"/>
              </w:rPr>
            </w:pPr>
            <w:r w:rsidRPr="00706FC7">
              <w:rPr>
                <w:rFonts w:ascii="Verdana" w:hAnsi="Verdana"/>
              </w:rPr>
              <w:t xml:space="preserve">lack of funding diversity (95% ESFA, 3% </w:t>
            </w:r>
            <w:r w:rsidR="00304F82">
              <w:rPr>
                <w:rFonts w:ascii="Verdana" w:hAnsi="Verdana"/>
              </w:rPr>
              <w:t>L</w:t>
            </w:r>
            <w:r w:rsidRPr="00706FC7">
              <w:rPr>
                <w:rFonts w:ascii="Verdana" w:hAnsi="Verdana"/>
              </w:rPr>
              <w:t xml:space="preserve">ocal </w:t>
            </w:r>
            <w:r w:rsidR="00304F82">
              <w:rPr>
                <w:rFonts w:ascii="Verdana" w:hAnsi="Verdana"/>
              </w:rPr>
              <w:t>A</w:t>
            </w:r>
            <w:r w:rsidRPr="00706FC7">
              <w:rPr>
                <w:rFonts w:ascii="Verdana" w:hAnsi="Verdana"/>
              </w:rPr>
              <w:t>uthority</w:t>
            </w:r>
            <w:r w:rsidR="00304F82">
              <w:rPr>
                <w:rFonts w:ascii="Verdana" w:hAnsi="Verdana"/>
              </w:rPr>
              <w:t xml:space="preserve"> re.</w:t>
            </w:r>
            <w:r w:rsidRPr="00706FC7">
              <w:rPr>
                <w:rFonts w:ascii="Verdana" w:hAnsi="Verdana"/>
              </w:rPr>
              <w:t xml:space="preserve"> ALA, other 2%);</w:t>
            </w:r>
          </w:p>
          <w:p w14:paraId="7AACC58C" w14:textId="2DB7AA5E" w:rsidR="00706FC7" w:rsidRPr="00706FC7" w:rsidRDefault="00706FC7" w:rsidP="004C3140">
            <w:pPr>
              <w:contextualSpacing/>
              <w:rPr>
                <w:rFonts w:ascii="Verdana" w:hAnsi="Verdana"/>
              </w:rPr>
            </w:pPr>
          </w:p>
        </w:tc>
      </w:tr>
      <w:tr w:rsidR="004C3140" w:rsidRPr="004C3140" w14:paraId="0A2B6276" w14:textId="77777777" w:rsidTr="00FF4453">
        <w:tc>
          <w:tcPr>
            <w:tcW w:w="534" w:type="dxa"/>
          </w:tcPr>
          <w:p w14:paraId="69058435" w14:textId="77777777" w:rsidR="004C3140" w:rsidRPr="00706FC7" w:rsidRDefault="004C3140" w:rsidP="004C3140">
            <w:pPr>
              <w:rPr>
                <w:rFonts w:ascii="Verdana" w:hAnsi="Verdana"/>
                <w:i/>
                <w:iCs/>
              </w:rPr>
            </w:pPr>
          </w:p>
        </w:tc>
        <w:tc>
          <w:tcPr>
            <w:tcW w:w="454" w:type="dxa"/>
          </w:tcPr>
          <w:p w14:paraId="13ADCB9C" w14:textId="73C7B1B2" w:rsidR="004C3140" w:rsidRPr="00706FC7" w:rsidRDefault="004C3140" w:rsidP="004C3140">
            <w:pPr>
              <w:rPr>
                <w:rFonts w:ascii="Verdana" w:hAnsi="Verdana"/>
                <w:b/>
                <w:bCs/>
                <w:i/>
                <w:iCs/>
              </w:rPr>
            </w:pPr>
            <w:r w:rsidRPr="00706FC7">
              <w:rPr>
                <w:rFonts w:ascii="Verdana" w:hAnsi="Verdana"/>
                <w:b/>
                <w:bCs/>
                <w:i/>
                <w:iCs/>
              </w:rPr>
              <w:t>.</w:t>
            </w:r>
          </w:p>
        </w:tc>
        <w:tc>
          <w:tcPr>
            <w:tcW w:w="8363" w:type="dxa"/>
          </w:tcPr>
          <w:p w14:paraId="5D58617F" w14:textId="77777777" w:rsidR="004C3140" w:rsidRPr="00706FC7" w:rsidRDefault="00706FC7" w:rsidP="004C3140">
            <w:pPr>
              <w:contextualSpacing/>
              <w:rPr>
                <w:rFonts w:ascii="Verdana" w:hAnsi="Verdana" w:cs="Arial"/>
              </w:rPr>
            </w:pPr>
            <w:r w:rsidRPr="00706FC7">
              <w:rPr>
                <w:rFonts w:ascii="Verdana" w:hAnsi="Verdana" w:cs="Arial"/>
              </w:rPr>
              <w:t>early termination of the Teachers’ Pension Grant;</w:t>
            </w:r>
          </w:p>
          <w:p w14:paraId="0D68D7CC" w14:textId="5314BB0A" w:rsidR="00706FC7" w:rsidRPr="00706FC7" w:rsidRDefault="00706FC7" w:rsidP="004C3140">
            <w:pPr>
              <w:contextualSpacing/>
              <w:rPr>
                <w:rFonts w:ascii="Verdana" w:hAnsi="Verdana"/>
              </w:rPr>
            </w:pPr>
          </w:p>
        </w:tc>
      </w:tr>
      <w:tr w:rsidR="004C3140" w:rsidRPr="004C3140" w14:paraId="37D826BC" w14:textId="77777777" w:rsidTr="00FF4453">
        <w:tc>
          <w:tcPr>
            <w:tcW w:w="534" w:type="dxa"/>
          </w:tcPr>
          <w:p w14:paraId="750F8B61" w14:textId="77777777" w:rsidR="004C3140" w:rsidRPr="00706FC7" w:rsidRDefault="004C3140" w:rsidP="004C3140">
            <w:pPr>
              <w:rPr>
                <w:rFonts w:ascii="Verdana" w:hAnsi="Verdana"/>
                <w:i/>
                <w:iCs/>
              </w:rPr>
            </w:pPr>
          </w:p>
        </w:tc>
        <w:tc>
          <w:tcPr>
            <w:tcW w:w="454" w:type="dxa"/>
          </w:tcPr>
          <w:p w14:paraId="70631088" w14:textId="4EF8EF27" w:rsidR="004C3140" w:rsidRPr="00706FC7" w:rsidRDefault="004C3140" w:rsidP="004C3140">
            <w:pPr>
              <w:rPr>
                <w:rFonts w:ascii="Verdana" w:hAnsi="Verdana"/>
                <w:b/>
                <w:bCs/>
                <w:i/>
                <w:iCs/>
              </w:rPr>
            </w:pPr>
            <w:r w:rsidRPr="00706FC7">
              <w:rPr>
                <w:rFonts w:ascii="Verdana" w:hAnsi="Verdana"/>
                <w:b/>
                <w:bCs/>
                <w:i/>
                <w:iCs/>
              </w:rPr>
              <w:t>.</w:t>
            </w:r>
          </w:p>
        </w:tc>
        <w:tc>
          <w:tcPr>
            <w:tcW w:w="8363" w:type="dxa"/>
          </w:tcPr>
          <w:p w14:paraId="41FB40FF" w14:textId="52D74ED1" w:rsidR="004C3140" w:rsidRPr="00706FC7" w:rsidRDefault="00706FC7" w:rsidP="004C3140">
            <w:pPr>
              <w:contextualSpacing/>
              <w:rPr>
                <w:rFonts w:ascii="Verdana" w:hAnsi="Verdana" w:cs="Arial"/>
                <w:i/>
                <w:iCs/>
              </w:rPr>
            </w:pPr>
            <w:r w:rsidRPr="00706FC7">
              <w:rPr>
                <w:rFonts w:ascii="Verdana" w:hAnsi="Verdana" w:cs="Arial"/>
              </w:rPr>
              <w:t xml:space="preserve">pay rises greater than forecast; </w:t>
            </w:r>
            <w:r w:rsidRPr="00706FC7">
              <w:rPr>
                <w:rFonts w:ascii="Verdana" w:hAnsi="Verdana" w:cs="Arial"/>
                <w:i/>
                <w:iCs/>
              </w:rPr>
              <w:t>and</w:t>
            </w:r>
          </w:p>
          <w:p w14:paraId="237E1AD5" w14:textId="4C7F12A6" w:rsidR="00706FC7" w:rsidRPr="00706FC7" w:rsidRDefault="00706FC7" w:rsidP="004C3140">
            <w:pPr>
              <w:contextualSpacing/>
              <w:rPr>
                <w:rFonts w:ascii="Verdana" w:hAnsi="Verdana"/>
              </w:rPr>
            </w:pPr>
          </w:p>
        </w:tc>
      </w:tr>
      <w:tr w:rsidR="004C3140" w:rsidRPr="004C3140" w14:paraId="40DF3949" w14:textId="77777777" w:rsidTr="00FF4453">
        <w:tc>
          <w:tcPr>
            <w:tcW w:w="534" w:type="dxa"/>
          </w:tcPr>
          <w:p w14:paraId="46DAB61C" w14:textId="77777777" w:rsidR="004C3140" w:rsidRPr="00706FC7" w:rsidRDefault="004C3140" w:rsidP="004C3140">
            <w:pPr>
              <w:rPr>
                <w:rFonts w:ascii="Verdana" w:hAnsi="Verdana"/>
                <w:i/>
                <w:iCs/>
              </w:rPr>
            </w:pPr>
          </w:p>
        </w:tc>
        <w:tc>
          <w:tcPr>
            <w:tcW w:w="454" w:type="dxa"/>
          </w:tcPr>
          <w:p w14:paraId="4F891E52" w14:textId="3EFB7DD0" w:rsidR="004C3140" w:rsidRPr="00706FC7" w:rsidRDefault="004C3140" w:rsidP="004C3140">
            <w:pPr>
              <w:rPr>
                <w:rFonts w:ascii="Verdana" w:hAnsi="Verdana"/>
                <w:b/>
                <w:bCs/>
                <w:i/>
                <w:iCs/>
              </w:rPr>
            </w:pPr>
            <w:r w:rsidRPr="00706FC7">
              <w:rPr>
                <w:rFonts w:ascii="Verdana" w:hAnsi="Verdana"/>
                <w:b/>
                <w:bCs/>
                <w:i/>
                <w:iCs/>
              </w:rPr>
              <w:t>.</w:t>
            </w:r>
          </w:p>
        </w:tc>
        <w:tc>
          <w:tcPr>
            <w:tcW w:w="8363" w:type="dxa"/>
          </w:tcPr>
          <w:p w14:paraId="5A5D1AEF" w14:textId="361F4CD7" w:rsidR="004C3140" w:rsidRPr="00706FC7" w:rsidRDefault="00706FC7" w:rsidP="004C3140">
            <w:pPr>
              <w:contextualSpacing/>
              <w:rPr>
                <w:rFonts w:ascii="Verdana" w:hAnsi="Verdana"/>
              </w:rPr>
            </w:pPr>
            <w:r w:rsidRPr="00706FC7">
              <w:rPr>
                <w:rFonts w:ascii="Verdana" w:hAnsi="Verdana" w:cs="Arial"/>
              </w:rPr>
              <w:t>failure to maintain or improve teaching deployment efficiency</w:t>
            </w:r>
            <w:r>
              <w:rPr>
                <w:rFonts w:ascii="Verdana" w:hAnsi="Verdana" w:cs="Arial"/>
              </w:rPr>
              <w:t>.</w:t>
            </w:r>
          </w:p>
        </w:tc>
      </w:tr>
    </w:tbl>
    <w:p w14:paraId="3D5321C8" w14:textId="67D1A043" w:rsidR="00C54211" w:rsidRPr="004C3140" w:rsidRDefault="00C54211" w:rsidP="004C3140">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706FC7" w:rsidRPr="004C3140" w14:paraId="5E49C3F1" w14:textId="77777777" w:rsidTr="00FF4453">
        <w:tc>
          <w:tcPr>
            <w:tcW w:w="562" w:type="dxa"/>
          </w:tcPr>
          <w:p w14:paraId="2DE7D3DD" w14:textId="3CFD26A5" w:rsidR="00706FC7" w:rsidRPr="00B7032F" w:rsidRDefault="00706FC7" w:rsidP="00C255F9">
            <w:pPr>
              <w:rPr>
                <w:rFonts w:ascii="Verdana" w:hAnsi="Verdana"/>
                <w:b/>
                <w:bCs/>
              </w:rPr>
            </w:pPr>
          </w:p>
        </w:tc>
        <w:tc>
          <w:tcPr>
            <w:tcW w:w="8789" w:type="dxa"/>
          </w:tcPr>
          <w:p w14:paraId="27E24EC5" w14:textId="73D0E1CA" w:rsidR="00706FC7" w:rsidRDefault="00845E9D" w:rsidP="00C255F9">
            <w:pPr>
              <w:rPr>
                <w:rFonts w:ascii="Verdana" w:hAnsi="Verdana" w:cs="Arial"/>
              </w:rPr>
            </w:pPr>
            <w:r>
              <w:rPr>
                <w:rFonts w:ascii="Verdana" w:hAnsi="Verdana" w:cs="Arial"/>
              </w:rPr>
              <w:t xml:space="preserve">In response to a question from the Committee Chair, it was noted that with the inclusion of Covid-19 catch-up costs the College would be budgeting for a third consecutive annual deficit, although the underlying position would otherwise yield a surplus in 2021-22.  The ESFA’s stance in relation to the impact of such </w:t>
            </w:r>
            <w:r w:rsidR="00175B7D">
              <w:rPr>
                <w:rFonts w:ascii="Verdana" w:hAnsi="Verdana" w:cs="Arial"/>
              </w:rPr>
              <w:t xml:space="preserve">exceptional </w:t>
            </w:r>
            <w:r>
              <w:rPr>
                <w:rFonts w:ascii="Verdana" w:hAnsi="Verdana" w:cs="Arial"/>
              </w:rPr>
              <w:t xml:space="preserve">costs on the projected financial out-turn is not yet known, but should be reportable to the next meeting of the Committee.  In any event, the effect of catch-up costs can be </w:t>
            </w:r>
            <w:r w:rsidR="00175B7D">
              <w:rPr>
                <w:rFonts w:ascii="Verdana" w:hAnsi="Verdana" w:cs="Arial"/>
              </w:rPr>
              <w:t>independently</w:t>
            </w:r>
            <w:r>
              <w:rPr>
                <w:rFonts w:ascii="Verdana" w:hAnsi="Verdana" w:cs="Arial"/>
              </w:rPr>
              <w:t xml:space="preserve"> shown</w:t>
            </w:r>
            <w:r w:rsidR="00175B7D">
              <w:rPr>
                <w:rFonts w:ascii="Verdana" w:hAnsi="Verdana" w:cs="Arial"/>
              </w:rPr>
              <w:t xml:space="preserve"> in forecasts submitted to the ESFA</w:t>
            </w:r>
            <w:r>
              <w:rPr>
                <w:rFonts w:ascii="Verdana" w:hAnsi="Verdana" w:cs="Arial"/>
              </w:rPr>
              <w:t>.</w:t>
            </w:r>
          </w:p>
          <w:p w14:paraId="575C456C" w14:textId="77777777" w:rsidR="00845E9D" w:rsidRDefault="00845E9D" w:rsidP="00C255F9">
            <w:pPr>
              <w:rPr>
                <w:rFonts w:ascii="Verdana" w:hAnsi="Verdana" w:cs="Arial"/>
              </w:rPr>
            </w:pPr>
          </w:p>
          <w:p w14:paraId="1AB73CBC" w14:textId="2F72FFAA" w:rsidR="00845E9D" w:rsidRDefault="00845E9D" w:rsidP="00C255F9">
            <w:pPr>
              <w:rPr>
                <w:rFonts w:ascii="Verdana" w:hAnsi="Verdana" w:cs="Arial"/>
              </w:rPr>
            </w:pPr>
            <w:r>
              <w:rPr>
                <w:rFonts w:ascii="Verdana" w:hAnsi="Verdana" w:cs="Arial"/>
              </w:rPr>
              <w:t>In response to a further question from the Committee Chair, it was confirmed that budgeted provision had been made for a 2.5% cost of living increase for all staff but that, were it not to exceed 1.5%, the pay ratio would be reduced close to 70%.</w:t>
            </w:r>
          </w:p>
          <w:p w14:paraId="114185D8" w14:textId="77777777" w:rsidR="00845E9D" w:rsidRDefault="00845E9D" w:rsidP="00C255F9">
            <w:pPr>
              <w:rPr>
                <w:rFonts w:ascii="Verdana" w:hAnsi="Verdana" w:cs="Arial"/>
              </w:rPr>
            </w:pPr>
          </w:p>
          <w:p w14:paraId="574CBD59" w14:textId="111B5086" w:rsidR="00845E9D" w:rsidRDefault="00845E9D" w:rsidP="00C255F9">
            <w:pPr>
              <w:rPr>
                <w:rFonts w:ascii="Verdana" w:hAnsi="Verdana" w:cs="Arial"/>
              </w:rPr>
            </w:pPr>
            <w:r>
              <w:rPr>
                <w:rFonts w:ascii="Verdana" w:hAnsi="Verdana" w:cs="Arial"/>
              </w:rPr>
              <w:t>In response to a question from Sara Whittaker, it was confirmed that, although the second student counsellor post is not permanently established, it w</w:t>
            </w:r>
            <w:r w:rsidR="00175B7D">
              <w:rPr>
                <w:rFonts w:ascii="Verdana" w:hAnsi="Verdana" w:cs="Arial"/>
              </w:rPr>
              <w:t xml:space="preserve">ill </w:t>
            </w:r>
            <w:r>
              <w:rPr>
                <w:rFonts w:ascii="Verdana" w:hAnsi="Verdana" w:cs="Arial"/>
              </w:rPr>
              <w:t>be needed in 2021-22.</w:t>
            </w:r>
          </w:p>
          <w:p w14:paraId="0F1840C9" w14:textId="77777777" w:rsidR="00845E9D" w:rsidRDefault="00845E9D" w:rsidP="00C255F9">
            <w:pPr>
              <w:rPr>
                <w:rFonts w:ascii="Verdana" w:hAnsi="Verdana" w:cs="Arial"/>
              </w:rPr>
            </w:pPr>
          </w:p>
          <w:p w14:paraId="454AB68B" w14:textId="7680982E" w:rsidR="00845E9D" w:rsidRPr="004C3140" w:rsidRDefault="00845E9D" w:rsidP="00C255F9">
            <w:pPr>
              <w:rPr>
                <w:rFonts w:ascii="Verdana" w:hAnsi="Verdana" w:cs="Arial"/>
              </w:rPr>
            </w:pPr>
            <w:r>
              <w:rPr>
                <w:rFonts w:ascii="Verdana" w:hAnsi="Verdana" w:cs="Arial"/>
              </w:rPr>
              <w:t>The estimates were approved as the basis for further development and consideration at the meeting on 22 June.</w:t>
            </w:r>
          </w:p>
        </w:tc>
      </w:tr>
    </w:tbl>
    <w:p w14:paraId="3E8111B8" w14:textId="77777777" w:rsidR="0076515C" w:rsidRPr="00B7032F" w:rsidRDefault="0076515C" w:rsidP="00244E9A">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3F046E" w:rsidRPr="004C3140" w14:paraId="25938C62" w14:textId="77777777" w:rsidTr="00FF4453">
        <w:tc>
          <w:tcPr>
            <w:tcW w:w="562" w:type="dxa"/>
          </w:tcPr>
          <w:p w14:paraId="03E9D0F3" w14:textId="287D62AC" w:rsidR="003F046E" w:rsidRPr="00B7032F" w:rsidRDefault="003F046E" w:rsidP="00C255F9">
            <w:pPr>
              <w:rPr>
                <w:rFonts w:ascii="Verdana" w:hAnsi="Verdana"/>
                <w:b/>
                <w:bCs/>
              </w:rPr>
            </w:pPr>
            <w:r>
              <w:rPr>
                <w:rFonts w:ascii="Verdana" w:hAnsi="Verdana"/>
                <w:b/>
                <w:bCs/>
              </w:rPr>
              <w:t>8</w:t>
            </w:r>
          </w:p>
        </w:tc>
        <w:tc>
          <w:tcPr>
            <w:tcW w:w="8789" w:type="dxa"/>
          </w:tcPr>
          <w:p w14:paraId="73F0D8B9" w14:textId="7D0E5EAE" w:rsidR="003F046E" w:rsidRDefault="003F046E" w:rsidP="00C255F9">
            <w:pPr>
              <w:rPr>
                <w:rFonts w:ascii="Verdana" w:hAnsi="Verdana" w:cs="Arial"/>
                <w:b/>
                <w:bCs/>
              </w:rPr>
            </w:pPr>
            <w:r w:rsidRPr="003F046E">
              <w:rPr>
                <w:rFonts w:ascii="Verdana" w:hAnsi="Verdana" w:cs="Arial"/>
                <w:b/>
                <w:bCs/>
              </w:rPr>
              <w:t>Financial Health Scoring by the Education and Skills Funding Agency (ESFA)</w:t>
            </w:r>
          </w:p>
          <w:p w14:paraId="02727C12" w14:textId="77777777" w:rsidR="003F046E" w:rsidRDefault="003F046E" w:rsidP="00C255F9">
            <w:pPr>
              <w:rPr>
                <w:rFonts w:ascii="Verdana" w:hAnsi="Verdana" w:cs="Arial"/>
                <w:b/>
                <w:bCs/>
              </w:rPr>
            </w:pPr>
          </w:p>
          <w:p w14:paraId="7170A664" w14:textId="77777777" w:rsidR="003F046E" w:rsidRDefault="003F046E" w:rsidP="00C255F9">
            <w:pPr>
              <w:rPr>
                <w:rFonts w:ascii="Verdana" w:hAnsi="Verdana" w:cs="Arial"/>
              </w:rPr>
            </w:pPr>
            <w:r>
              <w:rPr>
                <w:rFonts w:ascii="Verdana" w:hAnsi="Verdana" w:cs="Arial"/>
              </w:rPr>
              <w:t>A paper prepared by the Vice-Principal: Corporate Services was received and considered.</w:t>
            </w:r>
          </w:p>
          <w:p w14:paraId="2D6446D1" w14:textId="77777777" w:rsidR="003F046E" w:rsidRDefault="003F046E" w:rsidP="00C255F9">
            <w:pPr>
              <w:rPr>
                <w:rFonts w:ascii="Verdana" w:hAnsi="Verdana" w:cs="Arial"/>
              </w:rPr>
            </w:pPr>
          </w:p>
          <w:p w14:paraId="3C01A13E" w14:textId="477E1005" w:rsidR="003F046E" w:rsidRPr="003F046E" w:rsidRDefault="003F046E" w:rsidP="00C255F9">
            <w:pPr>
              <w:rPr>
                <w:rFonts w:ascii="Verdana" w:hAnsi="Verdana" w:cs="Arial"/>
              </w:rPr>
            </w:pPr>
            <w:r>
              <w:rPr>
                <w:rFonts w:ascii="Verdana" w:hAnsi="Verdana" w:cs="Arial"/>
              </w:rPr>
              <w:t xml:space="preserve">It was noted that the current system </w:t>
            </w:r>
            <w:r w:rsidR="00304F82">
              <w:rPr>
                <w:rFonts w:ascii="Verdana" w:hAnsi="Verdana" w:cs="Arial"/>
              </w:rPr>
              <w:t>assesse</w:t>
            </w:r>
            <w:r>
              <w:rPr>
                <w:rFonts w:ascii="Verdana" w:hAnsi="Verdana" w:cs="Arial"/>
              </w:rPr>
              <w:t>s</w:t>
            </w:r>
            <w:r w:rsidR="00304F82">
              <w:rPr>
                <w:rFonts w:ascii="Verdana" w:hAnsi="Verdana" w:cs="Arial"/>
              </w:rPr>
              <w:t xml:space="preserve"> and categorises</w:t>
            </w:r>
            <w:r>
              <w:rPr>
                <w:rFonts w:ascii="Verdana" w:hAnsi="Verdana" w:cs="Arial"/>
              </w:rPr>
              <w:t xml:space="preserve"> colleges according to:</w:t>
            </w:r>
          </w:p>
        </w:tc>
      </w:tr>
    </w:tbl>
    <w:p w14:paraId="1BA73CEB" w14:textId="79D8BD5D" w:rsidR="00C54211" w:rsidRPr="00B7032F" w:rsidRDefault="00C54211" w:rsidP="00244E9A">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54"/>
        <w:gridCol w:w="8363"/>
      </w:tblGrid>
      <w:tr w:rsidR="003F046E" w:rsidRPr="0028229F" w14:paraId="5DA96172" w14:textId="77777777" w:rsidTr="00FF4453">
        <w:tc>
          <w:tcPr>
            <w:tcW w:w="534" w:type="dxa"/>
          </w:tcPr>
          <w:p w14:paraId="03C635DF" w14:textId="77777777" w:rsidR="003F046E" w:rsidRPr="0028229F" w:rsidRDefault="003F046E" w:rsidP="00C255F9">
            <w:pPr>
              <w:rPr>
                <w:rFonts w:ascii="Verdana" w:hAnsi="Verdana"/>
                <w:i/>
                <w:iCs/>
              </w:rPr>
            </w:pPr>
          </w:p>
        </w:tc>
        <w:tc>
          <w:tcPr>
            <w:tcW w:w="454" w:type="dxa"/>
          </w:tcPr>
          <w:p w14:paraId="660D5FA3" w14:textId="77777777" w:rsidR="003F046E" w:rsidRPr="0028229F" w:rsidRDefault="003F046E" w:rsidP="00C255F9">
            <w:pPr>
              <w:rPr>
                <w:rFonts w:ascii="Verdana" w:hAnsi="Verdana"/>
                <w:b/>
                <w:bCs/>
                <w:i/>
                <w:iCs/>
              </w:rPr>
            </w:pPr>
            <w:r w:rsidRPr="0028229F">
              <w:rPr>
                <w:rFonts w:ascii="Verdana" w:hAnsi="Verdana"/>
                <w:b/>
                <w:bCs/>
                <w:i/>
                <w:iCs/>
              </w:rPr>
              <w:t>.</w:t>
            </w:r>
          </w:p>
        </w:tc>
        <w:tc>
          <w:tcPr>
            <w:tcW w:w="8363" w:type="dxa"/>
          </w:tcPr>
          <w:p w14:paraId="1005AA8F" w14:textId="177B421C" w:rsidR="003F046E" w:rsidRPr="0028229F" w:rsidRDefault="00304F82" w:rsidP="003F046E">
            <w:pPr>
              <w:contextualSpacing/>
              <w:rPr>
                <w:rFonts w:ascii="Verdana" w:hAnsi="Verdana" w:cs="Arial"/>
              </w:rPr>
            </w:pPr>
            <w:r>
              <w:rPr>
                <w:rFonts w:ascii="Verdana" w:hAnsi="Verdana" w:cs="Arial"/>
              </w:rPr>
              <w:t xml:space="preserve">EBITDA - </w:t>
            </w:r>
            <w:r w:rsidR="003F046E" w:rsidRPr="0028229F">
              <w:rPr>
                <w:rFonts w:ascii="Verdana" w:hAnsi="Verdana" w:cs="Arial"/>
              </w:rPr>
              <w:t>earnings before interest, tax, depreciation and amortisations as a percentage of income (</w:t>
            </w:r>
            <w:r w:rsidR="00C44ABF">
              <w:rPr>
                <w:rFonts w:ascii="Verdana" w:hAnsi="Verdana" w:cs="Arial"/>
              </w:rPr>
              <w:t>measuring p</w:t>
            </w:r>
            <w:r w:rsidR="003F046E" w:rsidRPr="0028229F">
              <w:rPr>
                <w:rFonts w:ascii="Verdana" w:hAnsi="Verdana" w:cs="Arial"/>
              </w:rPr>
              <w:t>rofitability);</w:t>
            </w:r>
          </w:p>
          <w:p w14:paraId="61A3A2CC" w14:textId="77777777" w:rsidR="003F046E" w:rsidRPr="0028229F" w:rsidRDefault="003F046E" w:rsidP="00C255F9">
            <w:pPr>
              <w:contextualSpacing/>
              <w:rPr>
                <w:rFonts w:ascii="Verdana" w:hAnsi="Verdana"/>
              </w:rPr>
            </w:pPr>
          </w:p>
        </w:tc>
      </w:tr>
      <w:tr w:rsidR="003F046E" w:rsidRPr="0028229F" w14:paraId="6B3415A2" w14:textId="77777777" w:rsidTr="00FF4453">
        <w:tc>
          <w:tcPr>
            <w:tcW w:w="534" w:type="dxa"/>
          </w:tcPr>
          <w:p w14:paraId="460C3D7D" w14:textId="77777777" w:rsidR="003F046E" w:rsidRPr="0028229F" w:rsidRDefault="003F046E" w:rsidP="00C255F9">
            <w:pPr>
              <w:rPr>
                <w:rFonts w:ascii="Verdana" w:hAnsi="Verdana"/>
                <w:i/>
                <w:iCs/>
              </w:rPr>
            </w:pPr>
          </w:p>
        </w:tc>
        <w:tc>
          <w:tcPr>
            <w:tcW w:w="454" w:type="dxa"/>
          </w:tcPr>
          <w:p w14:paraId="5E9FAD8A" w14:textId="77777777" w:rsidR="003F046E" w:rsidRPr="0028229F" w:rsidRDefault="003F046E" w:rsidP="00C255F9">
            <w:pPr>
              <w:rPr>
                <w:rFonts w:ascii="Verdana" w:hAnsi="Verdana"/>
                <w:b/>
                <w:bCs/>
                <w:i/>
                <w:iCs/>
              </w:rPr>
            </w:pPr>
            <w:r w:rsidRPr="0028229F">
              <w:rPr>
                <w:rFonts w:ascii="Verdana" w:hAnsi="Verdana"/>
                <w:b/>
                <w:bCs/>
                <w:i/>
                <w:iCs/>
              </w:rPr>
              <w:t>.</w:t>
            </w:r>
          </w:p>
        </w:tc>
        <w:tc>
          <w:tcPr>
            <w:tcW w:w="8363" w:type="dxa"/>
          </w:tcPr>
          <w:p w14:paraId="473D111D" w14:textId="4D004107" w:rsidR="003F046E" w:rsidRPr="0028229F" w:rsidRDefault="0028229F" w:rsidP="0028229F">
            <w:pPr>
              <w:contextualSpacing/>
              <w:rPr>
                <w:rFonts w:ascii="Verdana" w:hAnsi="Verdana" w:cs="Arial"/>
                <w:i/>
                <w:iCs/>
              </w:rPr>
            </w:pPr>
            <w:r w:rsidRPr="0028229F">
              <w:rPr>
                <w:rFonts w:ascii="Verdana" w:hAnsi="Verdana" w:cs="Arial"/>
              </w:rPr>
              <w:t>the a</w:t>
            </w:r>
            <w:r w:rsidR="003F046E" w:rsidRPr="0028229F">
              <w:rPr>
                <w:rFonts w:ascii="Verdana" w:hAnsi="Verdana" w:cs="Arial"/>
              </w:rPr>
              <w:t>djusted current ratio (</w:t>
            </w:r>
            <w:r w:rsidR="00C44ABF">
              <w:rPr>
                <w:rFonts w:ascii="Verdana" w:hAnsi="Verdana" w:cs="Arial"/>
              </w:rPr>
              <w:t xml:space="preserve">measuring </w:t>
            </w:r>
            <w:r w:rsidR="00304F82">
              <w:rPr>
                <w:rFonts w:ascii="Verdana" w:hAnsi="Verdana" w:cs="Arial"/>
              </w:rPr>
              <w:t>l</w:t>
            </w:r>
            <w:r w:rsidR="003F046E" w:rsidRPr="0028229F">
              <w:rPr>
                <w:rFonts w:ascii="Verdana" w:hAnsi="Verdana" w:cs="Arial"/>
              </w:rPr>
              <w:t xml:space="preserve">iquidity), </w:t>
            </w:r>
            <w:r w:rsidR="003F046E" w:rsidRPr="0028229F">
              <w:rPr>
                <w:rFonts w:ascii="Verdana" w:hAnsi="Verdana" w:cs="Arial"/>
                <w:i/>
                <w:iCs/>
              </w:rPr>
              <w:t>and</w:t>
            </w:r>
          </w:p>
          <w:p w14:paraId="331FEF82" w14:textId="77777777" w:rsidR="003F046E" w:rsidRPr="0028229F" w:rsidRDefault="003F046E" w:rsidP="00C255F9">
            <w:pPr>
              <w:contextualSpacing/>
              <w:rPr>
                <w:rFonts w:ascii="Verdana" w:hAnsi="Verdana"/>
              </w:rPr>
            </w:pPr>
          </w:p>
        </w:tc>
      </w:tr>
      <w:tr w:rsidR="003F046E" w:rsidRPr="0028229F" w14:paraId="645B3DC2" w14:textId="77777777" w:rsidTr="00FF4453">
        <w:tc>
          <w:tcPr>
            <w:tcW w:w="534" w:type="dxa"/>
          </w:tcPr>
          <w:p w14:paraId="482EC5A9" w14:textId="77777777" w:rsidR="003F046E" w:rsidRPr="0028229F" w:rsidRDefault="003F046E" w:rsidP="00C255F9">
            <w:pPr>
              <w:rPr>
                <w:rFonts w:ascii="Verdana" w:hAnsi="Verdana"/>
                <w:i/>
                <w:iCs/>
              </w:rPr>
            </w:pPr>
          </w:p>
        </w:tc>
        <w:tc>
          <w:tcPr>
            <w:tcW w:w="454" w:type="dxa"/>
          </w:tcPr>
          <w:p w14:paraId="4561CE1E" w14:textId="77777777" w:rsidR="003F046E" w:rsidRPr="0028229F" w:rsidRDefault="003F046E" w:rsidP="00C255F9">
            <w:pPr>
              <w:rPr>
                <w:rFonts w:ascii="Verdana" w:hAnsi="Verdana"/>
                <w:b/>
                <w:bCs/>
                <w:i/>
                <w:iCs/>
              </w:rPr>
            </w:pPr>
            <w:r w:rsidRPr="0028229F">
              <w:rPr>
                <w:rFonts w:ascii="Verdana" w:hAnsi="Verdana"/>
                <w:b/>
                <w:bCs/>
                <w:i/>
                <w:iCs/>
              </w:rPr>
              <w:t>.</w:t>
            </w:r>
          </w:p>
        </w:tc>
        <w:tc>
          <w:tcPr>
            <w:tcW w:w="8363" w:type="dxa"/>
          </w:tcPr>
          <w:p w14:paraId="6618E6CD" w14:textId="4F850305" w:rsidR="003F046E" w:rsidRPr="0028229F" w:rsidRDefault="0028229F" w:rsidP="00C255F9">
            <w:pPr>
              <w:contextualSpacing/>
              <w:rPr>
                <w:rFonts w:ascii="Verdana" w:hAnsi="Verdana" w:cs="Arial"/>
              </w:rPr>
            </w:pPr>
            <w:r w:rsidRPr="0028229F">
              <w:rPr>
                <w:rFonts w:ascii="Verdana" w:hAnsi="Verdana" w:cs="Arial"/>
              </w:rPr>
              <w:t>the borrowing ratio to revenue income (</w:t>
            </w:r>
            <w:r w:rsidR="00C44ABF">
              <w:rPr>
                <w:rFonts w:ascii="Verdana" w:hAnsi="Verdana" w:cs="Arial"/>
              </w:rPr>
              <w:t>g</w:t>
            </w:r>
            <w:r w:rsidRPr="0028229F">
              <w:rPr>
                <w:rFonts w:ascii="Verdana" w:hAnsi="Verdana" w:cs="Arial"/>
              </w:rPr>
              <w:t>earing).</w:t>
            </w:r>
          </w:p>
        </w:tc>
      </w:tr>
    </w:tbl>
    <w:p w14:paraId="0AE58942" w14:textId="22CF4ED1" w:rsidR="00C54211" w:rsidRPr="0028229F" w:rsidRDefault="00C54211" w:rsidP="00244E9A">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9"/>
      </w:tblGrid>
      <w:tr w:rsidR="0028229F" w:rsidRPr="0028229F" w14:paraId="2130D638" w14:textId="77777777" w:rsidTr="00FF4453">
        <w:tc>
          <w:tcPr>
            <w:tcW w:w="562" w:type="dxa"/>
          </w:tcPr>
          <w:p w14:paraId="1589F1B3" w14:textId="5B8CDFD6" w:rsidR="0028229F" w:rsidRPr="0028229F" w:rsidRDefault="0028229F" w:rsidP="00C255F9">
            <w:pPr>
              <w:rPr>
                <w:rFonts w:ascii="Verdana" w:hAnsi="Verdana"/>
                <w:b/>
                <w:bCs/>
              </w:rPr>
            </w:pPr>
          </w:p>
        </w:tc>
        <w:tc>
          <w:tcPr>
            <w:tcW w:w="8789" w:type="dxa"/>
          </w:tcPr>
          <w:p w14:paraId="5E81C7FC" w14:textId="4534B82F" w:rsidR="0028229F" w:rsidRPr="00C44ABF" w:rsidRDefault="0028229F" w:rsidP="00C255F9">
            <w:pPr>
              <w:rPr>
                <w:rFonts w:ascii="Verdana" w:hAnsi="Verdana" w:cs="Arial"/>
                <w:lang w:eastAsia="en-GB"/>
              </w:rPr>
            </w:pPr>
            <w:r w:rsidRPr="00C44ABF">
              <w:rPr>
                <w:rFonts w:ascii="Verdana" w:hAnsi="Verdana" w:cs="Arial"/>
                <w:lang w:eastAsia="en-GB"/>
              </w:rPr>
              <w:t>Each of the above is scored from 0 to 100, with a</w:t>
            </w:r>
            <w:r w:rsidR="00F33769">
              <w:rPr>
                <w:rFonts w:ascii="Verdana" w:hAnsi="Verdana" w:cs="Arial"/>
                <w:lang w:eastAsia="en-GB"/>
              </w:rPr>
              <w:t>n allocated</w:t>
            </w:r>
            <w:r w:rsidRPr="00C44ABF">
              <w:rPr>
                <w:rFonts w:ascii="Verdana" w:hAnsi="Verdana" w:cs="Arial"/>
                <w:lang w:eastAsia="en-GB"/>
              </w:rPr>
              <w:t xml:space="preserve"> health score of 1-4 based on the aggregate of the scores</w:t>
            </w:r>
            <w:r w:rsidR="008C1F45">
              <w:rPr>
                <w:rFonts w:ascii="Verdana" w:hAnsi="Verdana" w:cs="Arial"/>
                <w:lang w:eastAsia="en-GB"/>
              </w:rPr>
              <w:t xml:space="preserve"> thereby derived</w:t>
            </w:r>
            <w:r w:rsidRPr="00C44ABF">
              <w:rPr>
                <w:rFonts w:ascii="Verdana" w:hAnsi="Verdana" w:cs="Arial"/>
                <w:lang w:eastAsia="en-GB"/>
              </w:rPr>
              <w:t xml:space="preserve">.  There are some limiting factors, such as one ratio being so low </w:t>
            </w:r>
            <w:r w:rsidR="008C1F45">
              <w:rPr>
                <w:rFonts w:ascii="Verdana" w:hAnsi="Verdana" w:cs="Arial"/>
                <w:lang w:eastAsia="en-GB"/>
              </w:rPr>
              <w:t>as to</w:t>
            </w:r>
            <w:r w:rsidRPr="00C44ABF">
              <w:rPr>
                <w:rFonts w:ascii="Verdana" w:hAnsi="Verdana" w:cs="Arial"/>
                <w:lang w:eastAsia="en-GB"/>
              </w:rPr>
              <w:t xml:space="preserve"> automatically trigger a</w:t>
            </w:r>
            <w:r w:rsidR="008C1F45">
              <w:rPr>
                <w:rFonts w:ascii="Verdana" w:hAnsi="Verdana" w:cs="Arial"/>
                <w:lang w:eastAsia="en-GB"/>
              </w:rPr>
              <w:t>n overall</w:t>
            </w:r>
            <w:r w:rsidRPr="00C44ABF">
              <w:rPr>
                <w:rFonts w:ascii="Verdana" w:hAnsi="Verdana" w:cs="Arial"/>
                <w:lang w:eastAsia="en-GB"/>
              </w:rPr>
              <w:t xml:space="preserve"> grade 3, even if the points score</w:t>
            </w:r>
            <w:r w:rsidR="00F33769">
              <w:rPr>
                <w:rFonts w:ascii="Verdana" w:hAnsi="Verdana" w:cs="Arial"/>
                <w:lang w:eastAsia="en-GB"/>
              </w:rPr>
              <w:t xml:space="preserve"> would otherwise</w:t>
            </w:r>
            <w:r w:rsidRPr="00C44ABF">
              <w:rPr>
                <w:rFonts w:ascii="Verdana" w:hAnsi="Verdana" w:cs="Arial"/>
                <w:lang w:eastAsia="en-GB"/>
              </w:rPr>
              <w:t xml:space="preserve"> indicate a higher </w:t>
            </w:r>
            <w:r w:rsidR="00F33769">
              <w:rPr>
                <w:rFonts w:ascii="Verdana" w:hAnsi="Verdana" w:cs="Arial"/>
                <w:lang w:eastAsia="en-GB"/>
              </w:rPr>
              <w:t>category</w:t>
            </w:r>
            <w:r w:rsidRPr="00C44ABF">
              <w:rPr>
                <w:rFonts w:ascii="Verdana" w:hAnsi="Verdana" w:cs="Arial"/>
                <w:lang w:eastAsia="en-GB"/>
              </w:rPr>
              <w:t>.</w:t>
            </w:r>
          </w:p>
          <w:p w14:paraId="7FEA099C" w14:textId="77777777" w:rsidR="0028229F" w:rsidRPr="00C44ABF" w:rsidRDefault="0028229F" w:rsidP="00C255F9">
            <w:pPr>
              <w:rPr>
                <w:rFonts w:ascii="Verdana" w:hAnsi="Verdana" w:cs="Arial"/>
                <w:lang w:eastAsia="en-GB"/>
              </w:rPr>
            </w:pPr>
          </w:p>
          <w:p w14:paraId="2A73A544" w14:textId="3FA01E2F" w:rsidR="0028229F" w:rsidRPr="00C44ABF" w:rsidRDefault="0028229F" w:rsidP="0028229F">
            <w:pPr>
              <w:rPr>
                <w:rFonts w:ascii="Verdana" w:hAnsi="Verdana" w:cs="Arial"/>
                <w:lang w:eastAsia="en-GB"/>
              </w:rPr>
            </w:pPr>
            <w:r w:rsidRPr="00C44ABF">
              <w:rPr>
                <w:rFonts w:ascii="Verdana" w:hAnsi="Verdana" w:cs="Arial"/>
                <w:lang w:eastAsia="en-GB"/>
              </w:rPr>
              <w:t xml:space="preserve">In particular, colleges without debt can achieve high health scores even though they do not </w:t>
            </w:r>
            <w:r w:rsidR="00F33769">
              <w:rPr>
                <w:rFonts w:ascii="Verdana" w:hAnsi="Verdana" w:cs="Arial"/>
                <w:lang w:eastAsia="en-GB"/>
              </w:rPr>
              <w:t xml:space="preserve">always </w:t>
            </w:r>
            <w:r w:rsidRPr="00C44ABF">
              <w:rPr>
                <w:rFonts w:ascii="Verdana" w:hAnsi="Verdana" w:cs="Arial"/>
                <w:lang w:eastAsia="en-GB"/>
              </w:rPr>
              <w:t xml:space="preserve">have adequate resources to maintain and invest in their provision.  Typically, these colleges have high scores for liquidity and gearing, </w:t>
            </w:r>
            <w:r w:rsidR="00F33769">
              <w:rPr>
                <w:rFonts w:ascii="Verdana" w:hAnsi="Verdana" w:cs="Arial"/>
                <w:lang w:eastAsia="en-GB"/>
              </w:rPr>
              <w:t>but</w:t>
            </w:r>
            <w:r w:rsidRPr="00C44ABF">
              <w:rPr>
                <w:rFonts w:ascii="Verdana" w:hAnsi="Verdana" w:cs="Arial"/>
                <w:lang w:eastAsia="en-GB"/>
              </w:rPr>
              <w:t xml:space="preserve"> a low score </w:t>
            </w:r>
            <w:r w:rsidR="00E55344" w:rsidRPr="00C44ABF">
              <w:rPr>
                <w:rFonts w:ascii="Verdana" w:hAnsi="Verdana" w:cs="Arial"/>
                <w:lang w:eastAsia="en-GB"/>
              </w:rPr>
              <w:t>for</w:t>
            </w:r>
            <w:r w:rsidR="00E67CB8" w:rsidRPr="00C44ABF">
              <w:rPr>
                <w:rFonts w:ascii="Verdana" w:hAnsi="Verdana" w:cs="Arial"/>
                <w:lang w:eastAsia="en-GB"/>
              </w:rPr>
              <w:t xml:space="preserve"> </w:t>
            </w:r>
            <w:r w:rsidRPr="00C44ABF">
              <w:rPr>
                <w:rFonts w:ascii="Verdana" w:hAnsi="Verdana" w:cs="Arial"/>
                <w:lang w:eastAsia="en-GB"/>
              </w:rPr>
              <w:t xml:space="preserve">profitability.  </w:t>
            </w:r>
          </w:p>
          <w:p w14:paraId="2E2C9A15" w14:textId="77777777" w:rsidR="0028229F" w:rsidRPr="00C44ABF" w:rsidRDefault="0028229F" w:rsidP="0028229F">
            <w:pPr>
              <w:rPr>
                <w:rFonts w:ascii="Verdana" w:hAnsi="Verdana"/>
              </w:rPr>
            </w:pPr>
          </w:p>
          <w:p w14:paraId="37511249" w14:textId="1F72C45F" w:rsidR="0028229F" w:rsidRPr="00C44ABF" w:rsidRDefault="0028229F" w:rsidP="0028229F">
            <w:pPr>
              <w:rPr>
                <w:rFonts w:ascii="Verdana" w:hAnsi="Verdana"/>
              </w:rPr>
            </w:pPr>
            <w:r w:rsidRPr="00C44ABF">
              <w:rPr>
                <w:rFonts w:ascii="Verdana" w:hAnsi="Verdana"/>
              </w:rPr>
              <w:t>A possible new system under consideration would measure colleges’ performance, solvency and financing</w:t>
            </w:r>
            <w:r w:rsidR="00E67CB8" w:rsidRPr="00C44ABF">
              <w:rPr>
                <w:rFonts w:ascii="Verdana" w:hAnsi="Verdana"/>
              </w:rPr>
              <w:t xml:space="preserve"> by, respectively, measuring  EBITDA (as at present), the current ratio with sector-specific adjustments (rather than cash days in hand), and either the debt servicing cover ratio (</w:t>
            </w:r>
            <w:r w:rsidR="00C44ABF" w:rsidRPr="00C44ABF">
              <w:rPr>
                <w:rFonts w:ascii="Verdana" w:hAnsi="Verdana"/>
              </w:rPr>
              <w:t>i.e. c</w:t>
            </w:r>
            <w:r w:rsidR="00C44ABF" w:rsidRPr="00C44ABF">
              <w:rPr>
                <w:rFonts w:ascii="Verdana" w:hAnsi="Verdana" w:cs="Arial"/>
                <w:lang w:eastAsia="en-GB"/>
              </w:rPr>
              <w:t xml:space="preserve">ash generated from operations divided by debt obligations - interest expense and principal repayments for </w:t>
            </w:r>
            <w:r w:rsidR="00162278">
              <w:rPr>
                <w:rFonts w:ascii="Verdana" w:hAnsi="Verdana" w:cs="Arial"/>
                <w:lang w:eastAsia="en-GB"/>
              </w:rPr>
              <w:t xml:space="preserve">the </w:t>
            </w:r>
            <w:r w:rsidR="00C44ABF" w:rsidRPr="00C44ABF">
              <w:rPr>
                <w:rFonts w:ascii="Verdana" w:hAnsi="Verdana" w:cs="Arial"/>
                <w:lang w:eastAsia="en-GB"/>
              </w:rPr>
              <w:t>year -</w:t>
            </w:r>
            <w:r w:rsidR="00C44ABF" w:rsidRPr="00C44ABF">
              <w:rPr>
                <w:rFonts w:ascii="Verdana" w:hAnsi="Verdana"/>
              </w:rPr>
              <w:t xml:space="preserve"> </w:t>
            </w:r>
            <w:r w:rsidR="00E67CB8" w:rsidRPr="00C44ABF">
              <w:rPr>
                <w:rFonts w:ascii="Verdana" w:hAnsi="Verdana"/>
              </w:rPr>
              <w:t>measuring the ability to afford current debt levels whilst continuing to invest in the college) or, where a college has no debt, cash generated from operations (</w:t>
            </w:r>
            <w:r w:rsidR="00C44ABF" w:rsidRPr="00C44ABF">
              <w:rPr>
                <w:rFonts w:ascii="Verdana" w:hAnsi="Verdana"/>
              </w:rPr>
              <w:t>i.e. c</w:t>
            </w:r>
            <w:r w:rsidR="00C44ABF" w:rsidRPr="00C44ABF">
              <w:rPr>
                <w:rFonts w:ascii="Verdana" w:hAnsi="Verdana" w:cs="Arial"/>
                <w:lang w:eastAsia="en-GB"/>
              </w:rPr>
              <w:t>ash flow from operations as a percentage of revenue income</w:t>
            </w:r>
            <w:r w:rsidR="008C1F45">
              <w:rPr>
                <w:rFonts w:ascii="Verdana" w:hAnsi="Verdana" w:cs="Arial"/>
                <w:lang w:eastAsia="en-GB"/>
              </w:rPr>
              <w:t>)</w:t>
            </w:r>
            <w:r w:rsidR="00C44ABF" w:rsidRPr="00C44ABF">
              <w:rPr>
                <w:rFonts w:ascii="Verdana" w:hAnsi="Verdana" w:cs="Arial"/>
                <w:lang w:eastAsia="en-GB"/>
              </w:rPr>
              <w:t xml:space="preserve"> - </w:t>
            </w:r>
            <w:r w:rsidR="00E67CB8" w:rsidRPr="00C44ABF">
              <w:rPr>
                <w:rFonts w:ascii="Verdana" w:hAnsi="Verdana"/>
              </w:rPr>
              <w:t>measuring a college’s investment capacity.</w:t>
            </w:r>
          </w:p>
          <w:p w14:paraId="321C3A0D" w14:textId="77777777" w:rsidR="00C44ABF" w:rsidRPr="00C44ABF" w:rsidRDefault="00C44ABF" w:rsidP="0028229F">
            <w:pPr>
              <w:rPr>
                <w:rFonts w:ascii="Verdana" w:hAnsi="Verdana"/>
              </w:rPr>
            </w:pPr>
          </w:p>
          <w:p w14:paraId="77F15FEB" w14:textId="6DBBF66A" w:rsidR="00C44ABF" w:rsidRDefault="00C44ABF" w:rsidP="004146B2">
            <w:pPr>
              <w:rPr>
                <w:rFonts w:ascii="Verdana" w:hAnsi="Verdana" w:cs="Arial"/>
                <w:lang w:eastAsia="en-GB"/>
              </w:rPr>
            </w:pPr>
            <w:r w:rsidRPr="00C44ABF">
              <w:rPr>
                <w:rFonts w:ascii="Verdana" w:hAnsi="Verdana" w:cs="Arial"/>
                <w:lang w:eastAsia="en-GB"/>
              </w:rPr>
              <w:t xml:space="preserve">Because there are no details of how a scoring system would be used to </w:t>
            </w:r>
            <w:r w:rsidR="008374A8">
              <w:rPr>
                <w:rFonts w:ascii="Verdana" w:hAnsi="Verdana" w:cs="Arial"/>
                <w:lang w:eastAsia="en-GB"/>
              </w:rPr>
              <w:t>derive</w:t>
            </w:r>
            <w:r w:rsidRPr="00C44ABF">
              <w:rPr>
                <w:rFonts w:ascii="Verdana" w:hAnsi="Verdana" w:cs="Arial"/>
                <w:lang w:eastAsia="en-GB"/>
              </w:rPr>
              <w:t xml:space="preserve"> ratios, the impact of such changes on the College is impossible to estimate.  </w:t>
            </w:r>
            <w:r>
              <w:rPr>
                <w:rFonts w:ascii="Verdana" w:hAnsi="Verdana" w:cs="Arial"/>
                <w:lang w:eastAsia="en-GB"/>
              </w:rPr>
              <w:t>N</w:t>
            </w:r>
            <w:r w:rsidRPr="00C44ABF">
              <w:rPr>
                <w:rFonts w:ascii="Verdana" w:hAnsi="Verdana" w:cs="Arial"/>
                <w:lang w:eastAsia="en-GB"/>
              </w:rPr>
              <w:t>o</w:t>
            </w:r>
            <w:r>
              <w:rPr>
                <w:rFonts w:ascii="Verdana" w:hAnsi="Verdana" w:cs="Arial"/>
                <w:lang w:eastAsia="en-GB"/>
              </w:rPr>
              <w:t xml:space="preserve"> current</w:t>
            </w:r>
            <w:r w:rsidRPr="00C44ABF">
              <w:rPr>
                <w:rFonts w:ascii="Verdana" w:hAnsi="Verdana" w:cs="Arial"/>
                <w:lang w:eastAsia="en-GB"/>
              </w:rPr>
              <w:t xml:space="preserve"> implementation date</w:t>
            </w:r>
            <w:r w:rsidR="008374A8">
              <w:rPr>
                <w:rFonts w:ascii="Verdana" w:hAnsi="Verdana" w:cs="Arial"/>
                <w:lang w:eastAsia="en-GB"/>
              </w:rPr>
              <w:t xml:space="preserve"> for a revised scoring system</w:t>
            </w:r>
            <w:r w:rsidRPr="00C44ABF">
              <w:rPr>
                <w:rFonts w:ascii="Verdana" w:hAnsi="Verdana" w:cs="Arial"/>
                <w:lang w:eastAsia="en-GB"/>
              </w:rPr>
              <w:t xml:space="preserve"> </w:t>
            </w:r>
            <w:r>
              <w:rPr>
                <w:rFonts w:ascii="Verdana" w:hAnsi="Verdana" w:cs="Arial"/>
                <w:lang w:eastAsia="en-GB"/>
              </w:rPr>
              <w:t>has been set.</w:t>
            </w:r>
          </w:p>
          <w:p w14:paraId="6538197C" w14:textId="77777777" w:rsidR="0076515C" w:rsidRDefault="0076515C" w:rsidP="004146B2">
            <w:pPr>
              <w:rPr>
                <w:rFonts w:ascii="Verdana" w:hAnsi="Verdana" w:cs="Arial"/>
                <w:lang w:eastAsia="en-GB"/>
              </w:rPr>
            </w:pPr>
          </w:p>
          <w:p w14:paraId="6A3CAF10" w14:textId="1C4E0378" w:rsidR="0076515C" w:rsidRDefault="0076515C" w:rsidP="004146B2">
            <w:pPr>
              <w:rPr>
                <w:rFonts w:ascii="Verdana" w:hAnsi="Verdana" w:cs="Arial"/>
                <w:lang w:eastAsia="en-GB"/>
              </w:rPr>
            </w:pPr>
            <w:r>
              <w:rPr>
                <w:rFonts w:ascii="Verdana" w:hAnsi="Verdana" w:cs="Arial"/>
                <w:lang w:eastAsia="en-GB"/>
              </w:rPr>
              <w:lastRenderedPageBreak/>
              <w:t xml:space="preserve">It was suggested that the present and any revised method of calculating financial health </w:t>
            </w:r>
            <w:r w:rsidR="008374A8">
              <w:rPr>
                <w:rFonts w:ascii="Verdana" w:hAnsi="Verdana" w:cs="Arial"/>
                <w:lang w:eastAsia="en-GB"/>
              </w:rPr>
              <w:t>might</w:t>
            </w:r>
            <w:r>
              <w:rPr>
                <w:rFonts w:ascii="Verdana" w:hAnsi="Verdana" w:cs="Arial"/>
                <w:lang w:eastAsia="en-GB"/>
              </w:rPr>
              <w:t xml:space="preserve"> be run in parallel to assess the effect of the revision.</w:t>
            </w:r>
          </w:p>
          <w:p w14:paraId="7E771915" w14:textId="77777777" w:rsidR="0076515C" w:rsidRDefault="0076515C" w:rsidP="004146B2">
            <w:pPr>
              <w:rPr>
                <w:rFonts w:ascii="Verdana" w:hAnsi="Verdana" w:cs="Arial"/>
                <w:lang w:eastAsia="en-GB"/>
              </w:rPr>
            </w:pPr>
          </w:p>
          <w:p w14:paraId="2AA1EDE9" w14:textId="6379D992" w:rsidR="0076515C" w:rsidRPr="00C44ABF" w:rsidRDefault="0076515C" w:rsidP="004146B2">
            <w:pPr>
              <w:rPr>
                <w:rFonts w:ascii="Verdana" w:hAnsi="Verdana" w:cs="Arial"/>
                <w:lang w:eastAsia="en-GB"/>
              </w:rPr>
            </w:pPr>
            <w:r>
              <w:rPr>
                <w:rFonts w:ascii="Verdana" w:hAnsi="Verdana" w:cs="Arial"/>
                <w:lang w:eastAsia="en-GB"/>
              </w:rPr>
              <w:t>At the request of the Committee Chair, it was agreed that, for information, the effect of any change, once officially published, will be retrospectively calculated for the years 2018-19, 2019-20 and 2020-21.</w:t>
            </w:r>
          </w:p>
        </w:tc>
      </w:tr>
    </w:tbl>
    <w:p w14:paraId="562A124D" w14:textId="77777777" w:rsidR="0076515C" w:rsidRDefault="0076515C" w:rsidP="004F4C55"/>
    <w:tbl>
      <w:tblPr>
        <w:tblW w:w="9322" w:type="dxa"/>
        <w:tblLook w:val="04A0" w:firstRow="1" w:lastRow="0" w:firstColumn="1" w:lastColumn="0" w:noHBand="0" w:noVBand="1"/>
      </w:tblPr>
      <w:tblGrid>
        <w:gridCol w:w="534"/>
        <w:gridCol w:w="8788"/>
      </w:tblGrid>
      <w:tr w:rsidR="002D189E" w:rsidRPr="00F97EF9" w14:paraId="6B663425" w14:textId="77777777" w:rsidTr="00FF4453">
        <w:tc>
          <w:tcPr>
            <w:tcW w:w="534" w:type="dxa"/>
          </w:tcPr>
          <w:p w14:paraId="5A19FB96" w14:textId="3A147252" w:rsidR="002D189E" w:rsidRDefault="000B0F76" w:rsidP="00721161">
            <w:pPr>
              <w:rPr>
                <w:rFonts w:ascii="Verdana" w:hAnsi="Verdana"/>
                <w:b/>
              </w:rPr>
            </w:pPr>
            <w:r>
              <w:rPr>
                <w:rFonts w:ascii="Verdana" w:hAnsi="Verdana"/>
                <w:b/>
              </w:rPr>
              <w:t>1</w:t>
            </w:r>
            <w:r w:rsidR="005356BF">
              <w:rPr>
                <w:rFonts w:ascii="Verdana" w:hAnsi="Verdana"/>
                <w:b/>
              </w:rPr>
              <w:t>3</w:t>
            </w:r>
          </w:p>
        </w:tc>
        <w:tc>
          <w:tcPr>
            <w:tcW w:w="8788" w:type="dxa"/>
          </w:tcPr>
          <w:p w14:paraId="732CD594" w14:textId="550C13BE" w:rsidR="00400A03" w:rsidRPr="00896864" w:rsidRDefault="00400A03" w:rsidP="00400A03">
            <w:pPr>
              <w:pStyle w:val="NoSpacing"/>
              <w:rPr>
                <w:rFonts w:ascii="Verdana" w:hAnsi="Verdana"/>
                <w:b/>
              </w:rPr>
            </w:pPr>
            <w:r w:rsidRPr="00896864">
              <w:rPr>
                <w:rFonts w:ascii="Verdana" w:hAnsi="Verdana"/>
                <w:b/>
              </w:rPr>
              <w:t>Dates</w:t>
            </w:r>
            <w:r>
              <w:rPr>
                <w:rFonts w:ascii="Verdana" w:hAnsi="Verdana"/>
                <w:b/>
              </w:rPr>
              <w:t xml:space="preserve"> and Times</w:t>
            </w:r>
            <w:r w:rsidRPr="00896864">
              <w:rPr>
                <w:rFonts w:ascii="Verdana" w:hAnsi="Verdana"/>
                <w:b/>
              </w:rPr>
              <w:t xml:space="preserve"> of </w:t>
            </w:r>
            <w:r>
              <w:rPr>
                <w:rFonts w:ascii="Verdana" w:hAnsi="Verdana"/>
                <w:b/>
              </w:rPr>
              <w:t>Remaining</w:t>
            </w:r>
            <w:r w:rsidRPr="00896864">
              <w:rPr>
                <w:rFonts w:ascii="Verdana" w:hAnsi="Verdana"/>
                <w:b/>
              </w:rPr>
              <w:t xml:space="preserve"> Meeting</w:t>
            </w:r>
            <w:r>
              <w:rPr>
                <w:rFonts w:ascii="Verdana" w:hAnsi="Verdana"/>
                <w:b/>
              </w:rPr>
              <w:t xml:space="preserve"> </w:t>
            </w:r>
            <w:r w:rsidR="00EF575B">
              <w:rPr>
                <w:rFonts w:ascii="Verdana" w:hAnsi="Verdana"/>
                <w:b/>
              </w:rPr>
              <w:t>2020-21</w:t>
            </w:r>
          </w:p>
          <w:p w14:paraId="79D85125" w14:textId="77777777" w:rsidR="002D189E" w:rsidRDefault="002D189E" w:rsidP="002D189E">
            <w:pPr>
              <w:rPr>
                <w:rFonts w:ascii="Verdana" w:hAnsi="Verdana"/>
              </w:rPr>
            </w:pPr>
          </w:p>
          <w:p w14:paraId="6F20B4E4" w14:textId="4532B801" w:rsidR="00EF575B" w:rsidRDefault="00EF575B" w:rsidP="00EF575B">
            <w:pPr>
              <w:rPr>
                <w:rFonts w:ascii="Verdana" w:hAnsi="Verdana"/>
              </w:rPr>
            </w:pPr>
            <w:r>
              <w:rPr>
                <w:rFonts w:ascii="Verdana" w:hAnsi="Verdana"/>
              </w:rPr>
              <w:t xml:space="preserve">The approved date and time </w:t>
            </w:r>
            <w:r w:rsidR="00162278">
              <w:rPr>
                <w:rFonts w:ascii="Verdana" w:hAnsi="Verdana"/>
              </w:rPr>
              <w:t>for a</w:t>
            </w:r>
            <w:r>
              <w:rPr>
                <w:rFonts w:ascii="Verdana" w:hAnsi="Verdana"/>
              </w:rPr>
              <w:t xml:space="preserve"> meeting of the Committee w</w:t>
            </w:r>
            <w:r w:rsidR="00162278">
              <w:rPr>
                <w:rFonts w:ascii="Verdana" w:hAnsi="Verdana"/>
              </w:rPr>
              <w:t>as</w:t>
            </w:r>
            <w:r>
              <w:rPr>
                <w:rFonts w:ascii="Verdana" w:hAnsi="Verdana"/>
              </w:rPr>
              <w:t xml:space="preserve"> noted, as shown below:</w:t>
            </w:r>
          </w:p>
          <w:p w14:paraId="54C88DC1" w14:textId="77777777" w:rsidR="00EF575B" w:rsidRDefault="00EF575B" w:rsidP="00EF575B">
            <w:pPr>
              <w:rPr>
                <w:rFonts w:ascii="Verdana" w:hAnsi="Verdana"/>
              </w:rPr>
            </w:pPr>
          </w:p>
          <w:p w14:paraId="053679C2" w14:textId="77777777" w:rsidR="00EF575B" w:rsidRPr="00DC65DB" w:rsidRDefault="00EF575B" w:rsidP="00EF575B">
            <w:pPr>
              <w:pStyle w:val="NoSpacing"/>
              <w:rPr>
                <w:rFonts w:ascii="Verdana" w:hAnsi="Verdana"/>
                <w:b/>
                <w:i/>
              </w:rPr>
            </w:pPr>
            <w:r w:rsidRPr="00DC65DB">
              <w:rPr>
                <w:rFonts w:ascii="Verdana" w:hAnsi="Verdana"/>
                <w:b/>
                <w:i/>
              </w:rPr>
              <w:t>Tuesday 22 June 2021 (8.30am)</w:t>
            </w:r>
          </w:p>
          <w:p w14:paraId="0E32D4F7" w14:textId="77777777" w:rsidR="003677BF" w:rsidRDefault="003677BF" w:rsidP="00044B16">
            <w:pPr>
              <w:pStyle w:val="NoSpacing"/>
              <w:rPr>
                <w:rFonts w:ascii="Verdana" w:hAnsi="Verdana"/>
                <w:b/>
              </w:rPr>
            </w:pPr>
          </w:p>
          <w:p w14:paraId="7B10416A" w14:textId="77777777" w:rsidR="005356BF" w:rsidRDefault="005356BF" w:rsidP="0076515C">
            <w:pPr>
              <w:rPr>
                <w:rFonts w:ascii="Verdana" w:hAnsi="Verdana"/>
              </w:rPr>
            </w:pPr>
            <w:r>
              <w:rPr>
                <w:rFonts w:ascii="Verdana" w:hAnsi="Verdana"/>
              </w:rPr>
              <w:t xml:space="preserve">It was agreed that, for the protection of members and the College, the meeting will be held online.  </w:t>
            </w:r>
          </w:p>
          <w:p w14:paraId="31D59FF4" w14:textId="35683D9B" w:rsidR="0076515C" w:rsidRPr="0076515C" w:rsidRDefault="0076515C" w:rsidP="0076515C">
            <w:pPr>
              <w:rPr>
                <w:rFonts w:ascii="Verdana" w:hAnsi="Verdana"/>
              </w:rPr>
            </w:pPr>
          </w:p>
        </w:tc>
      </w:tr>
      <w:tr w:rsidR="002D189E" w:rsidRPr="00F97EF9" w14:paraId="30FDAEB6" w14:textId="77777777" w:rsidTr="00FF4453">
        <w:tc>
          <w:tcPr>
            <w:tcW w:w="534" w:type="dxa"/>
          </w:tcPr>
          <w:p w14:paraId="437B63C4" w14:textId="6F45A46F" w:rsidR="002D189E" w:rsidRDefault="000B0F76" w:rsidP="00721161">
            <w:pPr>
              <w:rPr>
                <w:rFonts w:ascii="Verdana" w:hAnsi="Verdana"/>
                <w:b/>
              </w:rPr>
            </w:pPr>
            <w:r>
              <w:rPr>
                <w:rFonts w:ascii="Verdana" w:hAnsi="Verdana"/>
                <w:b/>
              </w:rPr>
              <w:t>1</w:t>
            </w:r>
            <w:r w:rsidR="005356BF">
              <w:rPr>
                <w:rFonts w:ascii="Verdana" w:hAnsi="Verdana"/>
                <w:b/>
              </w:rPr>
              <w:t>4</w:t>
            </w:r>
          </w:p>
        </w:tc>
        <w:tc>
          <w:tcPr>
            <w:tcW w:w="8788" w:type="dxa"/>
          </w:tcPr>
          <w:p w14:paraId="60BE7BF9" w14:textId="77777777" w:rsidR="002D189E" w:rsidRPr="0090279D" w:rsidRDefault="002D189E" w:rsidP="002D189E">
            <w:pPr>
              <w:pStyle w:val="NoSpacing"/>
              <w:rPr>
                <w:rFonts w:ascii="Verdana" w:hAnsi="Verdana"/>
                <w:b/>
              </w:rPr>
            </w:pPr>
            <w:r w:rsidRPr="0090279D">
              <w:rPr>
                <w:rFonts w:ascii="Verdana" w:hAnsi="Verdana"/>
                <w:b/>
              </w:rPr>
              <w:t>Any Other Competent Business</w:t>
            </w:r>
          </w:p>
          <w:p w14:paraId="6C8292C8" w14:textId="77777777" w:rsidR="002D189E" w:rsidRDefault="002D189E" w:rsidP="002136ED">
            <w:pPr>
              <w:pStyle w:val="NoSpacing"/>
              <w:rPr>
                <w:rFonts w:ascii="Verdana" w:hAnsi="Verdana"/>
                <w:b/>
              </w:rPr>
            </w:pPr>
          </w:p>
          <w:p w14:paraId="6FAF3E80" w14:textId="6296F649" w:rsidR="002D189E" w:rsidRPr="002D189E" w:rsidRDefault="00044B16" w:rsidP="003F7322">
            <w:pPr>
              <w:pStyle w:val="NoSpacing"/>
              <w:rPr>
                <w:rFonts w:ascii="Verdana" w:hAnsi="Verdana"/>
              </w:rPr>
            </w:pPr>
            <w:r>
              <w:rPr>
                <w:rFonts w:ascii="Verdana" w:hAnsi="Verdana"/>
              </w:rPr>
              <w:t>None.</w:t>
            </w:r>
          </w:p>
        </w:tc>
      </w:tr>
    </w:tbl>
    <w:p w14:paraId="4F7F5C7A" w14:textId="42D3B459" w:rsidR="001218D1" w:rsidRDefault="001218D1" w:rsidP="004F4C55"/>
    <w:p w14:paraId="2127C95E" w14:textId="0E64D00D" w:rsidR="00593049" w:rsidRDefault="00593049" w:rsidP="004F4C55"/>
    <w:p w14:paraId="6737517D" w14:textId="6E6F13D1" w:rsidR="006A55DA" w:rsidRPr="00413682" w:rsidRDefault="006A55DA" w:rsidP="006A55DA">
      <w:pPr>
        <w:rPr>
          <w:rFonts w:ascii="Verdana" w:hAnsi="Verdana"/>
          <w:b/>
        </w:rPr>
      </w:pPr>
      <w:r w:rsidRPr="00413682">
        <w:rPr>
          <w:rFonts w:ascii="Verdana" w:hAnsi="Verdana"/>
          <w:b/>
        </w:rPr>
        <w:t xml:space="preserve">List of Actions Arising from </w:t>
      </w:r>
      <w:r>
        <w:rPr>
          <w:rFonts w:ascii="Verdana" w:hAnsi="Verdana"/>
          <w:b/>
        </w:rPr>
        <w:t xml:space="preserve">This Meeting </w:t>
      </w:r>
    </w:p>
    <w:p w14:paraId="503E2491" w14:textId="77777777" w:rsidR="006A55DA" w:rsidRDefault="006A55DA" w:rsidP="006A55DA">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6A55DA" w14:paraId="6D25274B" w14:textId="77777777" w:rsidTr="00FF4453">
        <w:tc>
          <w:tcPr>
            <w:tcW w:w="1060" w:type="dxa"/>
          </w:tcPr>
          <w:p w14:paraId="7B0DA7B0" w14:textId="57489576" w:rsidR="00593049" w:rsidRPr="00593049" w:rsidRDefault="006A55DA" w:rsidP="007D5E3C">
            <w:pPr>
              <w:rPr>
                <w:rFonts w:ascii="Verdana" w:hAnsi="Verdana"/>
                <w:b/>
                <w:i/>
              </w:rPr>
            </w:pPr>
            <w:r w:rsidRPr="00413682">
              <w:rPr>
                <w:rFonts w:ascii="Verdana" w:hAnsi="Verdana"/>
                <w:b/>
                <w:i/>
              </w:rPr>
              <w:t>Minute</w:t>
            </w:r>
          </w:p>
        </w:tc>
        <w:tc>
          <w:tcPr>
            <w:tcW w:w="3017" w:type="dxa"/>
          </w:tcPr>
          <w:p w14:paraId="33624299" w14:textId="00E31ABB" w:rsidR="006A55DA" w:rsidRDefault="006A55DA" w:rsidP="007D5E3C">
            <w:pPr>
              <w:rPr>
                <w:rFonts w:ascii="Verdana" w:hAnsi="Verdana"/>
                <w:b/>
                <w:i/>
              </w:rPr>
            </w:pPr>
            <w:r w:rsidRPr="00413682">
              <w:rPr>
                <w:rFonts w:ascii="Verdana" w:hAnsi="Verdana"/>
                <w:b/>
                <w:i/>
              </w:rPr>
              <w:t>Person Responsible</w:t>
            </w:r>
          </w:p>
          <w:p w14:paraId="2385396C" w14:textId="77777777" w:rsidR="00593049" w:rsidRDefault="00593049" w:rsidP="007D5E3C">
            <w:pPr>
              <w:rPr>
                <w:rFonts w:ascii="Verdana" w:hAnsi="Verdana"/>
                <w:b/>
                <w:i/>
              </w:rPr>
            </w:pPr>
          </w:p>
          <w:p w14:paraId="55E7030C" w14:textId="77191672" w:rsidR="00593049" w:rsidRPr="00593049" w:rsidRDefault="00593049" w:rsidP="007D5E3C">
            <w:pPr>
              <w:rPr>
                <w:rFonts w:ascii="Verdana" w:hAnsi="Verdana"/>
                <w:bCs/>
                <w:iCs/>
              </w:rPr>
            </w:pPr>
          </w:p>
        </w:tc>
        <w:tc>
          <w:tcPr>
            <w:tcW w:w="5387" w:type="dxa"/>
          </w:tcPr>
          <w:p w14:paraId="59A013D1" w14:textId="0C969E05" w:rsidR="006A55DA" w:rsidRPr="00413682" w:rsidRDefault="006A55DA" w:rsidP="00593049">
            <w:pPr>
              <w:rPr>
                <w:rFonts w:ascii="Verdana" w:hAnsi="Verdana"/>
                <w:b/>
                <w:i/>
              </w:rPr>
            </w:pPr>
            <w:r w:rsidRPr="00413682">
              <w:rPr>
                <w:rFonts w:ascii="Verdana" w:hAnsi="Verdana"/>
                <w:b/>
                <w:i/>
              </w:rPr>
              <w:t>Action</w:t>
            </w:r>
          </w:p>
        </w:tc>
      </w:tr>
      <w:tr w:rsidR="00467525" w14:paraId="26C79C5A" w14:textId="77777777" w:rsidTr="00FF4453">
        <w:tc>
          <w:tcPr>
            <w:tcW w:w="1060" w:type="dxa"/>
          </w:tcPr>
          <w:p w14:paraId="5611E3E0" w14:textId="39AA851B" w:rsidR="00467525" w:rsidRPr="0076515C" w:rsidRDefault="0076515C" w:rsidP="007D5E3C">
            <w:pPr>
              <w:rPr>
                <w:rFonts w:ascii="Verdana" w:hAnsi="Verdana"/>
                <w:b/>
                <w:iCs/>
              </w:rPr>
            </w:pPr>
            <w:r w:rsidRPr="0076515C">
              <w:rPr>
                <w:rFonts w:ascii="Verdana" w:hAnsi="Verdana"/>
                <w:b/>
                <w:iCs/>
              </w:rPr>
              <w:t>4</w:t>
            </w:r>
          </w:p>
        </w:tc>
        <w:tc>
          <w:tcPr>
            <w:tcW w:w="3017" w:type="dxa"/>
          </w:tcPr>
          <w:p w14:paraId="075FDBD9" w14:textId="705FD8BD" w:rsidR="00467525" w:rsidRPr="0076515C" w:rsidRDefault="0076515C" w:rsidP="007D5E3C">
            <w:pPr>
              <w:rPr>
                <w:rFonts w:ascii="Verdana" w:hAnsi="Verdana"/>
                <w:bCs/>
                <w:iCs/>
              </w:rPr>
            </w:pPr>
            <w:r w:rsidRPr="0076515C">
              <w:rPr>
                <w:rFonts w:ascii="Verdana" w:hAnsi="Verdana"/>
                <w:bCs/>
                <w:iCs/>
              </w:rPr>
              <w:t>Vice-Principal: Corporate Services</w:t>
            </w:r>
          </w:p>
        </w:tc>
        <w:tc>
          <w:tcPr>
            <w:tcW w:w="5387" w:type="dxa"/>
          </w:tcPr>
          <w:p w14:paraId="33099BF1" w14:textId="0D05115F" w:rsidR="00303364" w:rsidRDefault="0076515C" w:rsidP="007D5E3C">
            <w:pPr>
              <w:contextualSpacing/>
              <w:rPr>
                <w:rFonts w:ascii="Verdana" w:hAnsi="Verdana"/>
              </w:rPr>
            </w:pPr>
            <w:r>
              <w:rPr>
                <w:rFonts w:ascii="Verdana" w:hAnsi="Verdana"/>
              </w:rPr>
              <w:t xml:space="preserve">Provide a relevant note to future 2020-21 iterations of the management accounts to show how staff costs are divided between teaching, direct student support and other support staff, and amend the reporting format to include this information </w:t>
            </w:r>
            <w:r w:rsidR="008374A8">
              <w:rPr>
                <w:rFonts w:ascii="Verdana" w:hAnsi="Verdana"/>
              </w:rPr>
              <w:t xml:space="preserve">as standard </w:t>
            </w:r>
            <w:r>
              <w:rPr>
                <w:rFonts w:ascii="Verdana" w:hAnsi="Verdana"/>
              </w:rPr>
              <w:t>with effect from the</w:t>
            </w:r>
            <w:r w:rsidR="008374A8">
              <w:rPr>
                <w:rFonts w:ascii="Verdana" w:hAnsi="Verdana"/>
              </w:rPr>
              <w:t xml:space="preserve"> start of the</w:t>
            </w:r>
            <w:r>
              <w:rPr>
                <w:rFonts w:ascii="Verdana" w:hAnsi="Verdana"/>
              </w:rPr>
              <w:t xml:space="preserve"> 2021-22 year.</w:t>
            </w:r>
          </w:p>
          <w:p w14:paraId="0381D4A6" w14:textId="64A54309" w:rsidR="0076515C" w:rsidRPr="0076515C" w:rsidRDefault="0076515C" w:rsidP="007D5E3C">
            <w:pPr>
              <w:contextualSpacing/>
              <w:rPr>
                <w:rFonts w:ascii="Verdana" w:hAnsi="Verdana"/>
                <w:bCs/>
                <w:iCs/>
              </w:rPr>
            </w:pPr>
          </w:p>
        </w:tc>
      </w:tr>
      <w:tr w:rsidR="00303364" w14:paraId="0C68B706" w14:textId="77777777" w:rsidTr="00FF4453">
        <w:tc>
          <w:tcPr>
            <w:tcW w:w="1060" w:type="dxa"/>
          </w:tcPr>
          <w:p w14:paraId="1EC6E68D" w14:textId="12B04711" w:rsidR="00303364" w:rsidRPr="0076515C" w:rsidRDefault="0076515C" w:rsidP="007D5E3C">
            <w:pPr>
              <w:rPr>
                <w:rFonts w:ascii="Verdana" w:hAnsi="Verdana"/>
                <w:b/>
                <w:iCs/>
              </w:rPr>
            </w:pPr>
            <w:r>
              <w:rPr>
                <w:rFonts w:ascii="Verdana" w:hAnsi="Verdana"/>
                <w:b/>
                <w:iCs/>
              </w:rPr>
              <w:t>7</w:t>
            </w:r>
          </w:p>
        </w:tc>
        <w:tc>
          <w:tcPr>
            <w:tcW w:w="3017" w:type="dxa"/>
          </w:tcPr>
          <w:p w14:paraId="4F8772BC" w14:textId="3CB78D61" w:rsidR="00303364" w:rsidRPr="0076515C" w:rsidRDefault="0076515C" w:rsidP="007D5E3C">
            <w:pPr>
              <w:rPr>
                <w:rFonts w:ascii="Verdana" w:hAnsi="Verdana"/>
                <w:bCs/>
                <w:iCs/>
              </w:rPr>
            </w:pPr>
            <w:r w:rsidRPr="0076515C">
              <w:rPr>
                <w:rFonts w:ascii="Verdana" w:hAnsi="Verdana"/>
                <w:bCs/>
                <w:iCs/>
              </w:rPr>
              <w:t>Vice-Principal: Corporate Services</w:t>
            </w:r>
          </w:p>
        </w:tc>
        <w:tc>
          <w:tcPr>
            <w:tcW w:w="5387" w:type="dxa"/>
          </w:tcPr>
          <w:p w14:paraId="214C1E73" w14:textId="53A6306C" w:rsidR="00303364" w:rsidRDefault="0076515C" w:rsidP="007D5E3C">
            <w:pPr>
              <w:contextualSpacing/>
              <w:rPr>
                <w:rFonts w:ascii="Verdana" w:hAnsi="Verdana"/>
                <w:bCs/>
                <w:iCs/>
              </w:rPr>
            </w:pPr>
            <w:r>
              <w:rPr>
                <w:rFonts w:ascii="Verdana" w:hAnsi="Verdana"/>
                <w:bCs/>
                <w:iCs/>
              </w:rPr>
              <w:t xml:space="preserve">Show the differential effect of Covid-19 catch-up costs on the 2021-22 annual estimates of income and expenditure, subject to </w:t>
            </w:r>
            <w:r w:rsidR="0064695C">
              <w:rPr>
                <w:rFonts w:ascii="Verdana" w:hAnsi="Verdana"/>
                <w:bCs/>
                <w:iCs/>
              </w:rPr>
              <w:t xml:space="preserve">relevant </w:t>
            </w:r>
            <w:r>
              <w:rPr>
                <w:rFonts w:ascii="Verdana" w:hAnsi="Verdana"/>
                <w:bCs/>
                <w:iCs/>
              </w:rPr>
              <w:t>ESFA guidance</w:t>
            </w:r>
            <w:r w:rsidR="0064695C">
              <w:rPr>
                <w:rFonts w:ascii="Verdana" w:hAnsi="Verdana"/>
                <w:bCs/>
                <w:iCs/>
              </w:rPr>
              <w:t xml:space="preserve"> as and when it is published.</w:t>
            </w:r>
          </w:p>
          <w:p w14:paraId="1A496307" w14:textId="1BB246A0" w:rsidR="0076515C" w:rsidRPr="0076515C" w:rsidRDefault="0076515C" w:rsidP="007D5E3C">
            <w:pPr>
              <w:contextualSpacing/>
              <w:rPr>
                <w:rFonts w:ascii="Verdana" w:hAnsi="Verdana"/>
                <w:bCs/>
                <w:iCs/>
              </w:rPr>
            </w:pPr>
          </w:p>
        </w:tc>
      </w:tr>
      <w:tr w:rsidR="00162278" w14:paraId="0BDC717F" w14:textId="77777777" w:rsidTr="00FF4453">
        <w:tc>
          <w:tcPr>
            <w:tcW w:w="1060" w:type="dxa"/>
          </w:tcPr>
          <w:p w14:paraId="03CA4363" w14:textId="299C7DF2" w:rsidR="00162278" w:rsidRPr="0076515C" w:rsidRDefault="0064695C" w:rsidP="007D5E3C">
            <w:pPr>
              <w:rPr>
                <w:rFonts w:ascii="Verdana" w:hAnsi="Verdana"/>
                <w:b/>
                <w:iCs/>
              </w:rPr>
            </w:pPr>
            <w:r>
              <w:rPr>
                <w:rFonts w:ascii="Verdana" w:hAnsi="Verdana"/>
                <w:b/>
                <w:iCs/>
              </w:rPr>
              <w:t>8</w:t>
            </w:r>
          </w:p>
        </w:tc>
        <w:tc>
          <w:tcPr>
            <w:tcW w:w="3017" w:type="dxa"/>
          </w:tcPr>
          <w:p w14:paraId="0187CE03" w14:textId="69DBCE4C" w:rsidR="00162278" w:rsidRPr="0076515C" w:rsidRDefault="0064695C" w:rsidP="007D5E3C">
            <w:pPr>
              <w:rPr>
                <w:rFonts w:ascii="Verdana" w:hAnsi="Verdana"/>
                <w:bCs/>
                <w:iCs/>
              </w:rPr>
            </w:pPr>
            <w:r w:rsidRPr="0076515C">
              <w:rPr>
                <w:rFonts w:ascii="Verdana" w:hAnsi="Verdana"/>
                <w:bCs/>
                <w:iCs/>
              </w:rPr>
              <w:t>Vice-Principal: Corporate Services</w:t>
            </w:r>
          </w:p>
        </w:tc>
        <w:tc>
          <w:tcPr>
            <w:tcW w:w="5387" w:type="dxa"/>
          </w:tcPr>
          <w:p w14:paraId="51F70089" w14:textId="78A5196A" w:rsidR="00162278" w:rsidRPr="0076515C" w:rsidRDefault="0064695C" w:rsidP="007D5E3C">
            <w:pPr>
              <w:contextualSpacing/>
              <w:rPr>
                <w:rFonts w:ascii="Verdana" w:hAnsi="Verdana"/>
                <w:bCs/>
                <w:iCs/>
              </w:rPr>
            </w:pPr>
            <w:r>
              <w:rPr>
                <w:rFonts w:ascii="Verdana" w:hAnsi="Verdana"/>
                <w:bCs/>
                <w:iCs/>
              </w:rPr>
              <w:t>Retrospectively calculate for 2018-19, 2019-20 and 2020-21 the effect of any revision to the basis for calculating the College’s financial health, one once relevant guidance has been published by the ESFA.</w:t>
            </w:r>
          </w:p>
        </w:tc>
      </w:tr>
    </w:tbl>
    <w:p w14:paraId="6AB9712A" w14:textId="43D78B8C" w:rsidR="006A55DA" w:rsidRDefault="006A55DA" w:rsidP="004F4C55"/>
    <w:p w14:paraId="3F116070" w14:textId="18AD75B7" w:rsidR="00C54211" w:rsidRPr="00C54211" w:rsidRDefault="00C54211" w:rsidP="00C54211"/>
    <w:p w14:paraId="5189BCD4" w14:textId="2C1DF891" w:rsidR="00C54211" w:rsidRPr="00C54211" w:rsidRDefault="00C54211" w:rsidP="00C54211"/>
    <w:p w14:paraId="14D5AD91" w14:textId="647053D0" w:rsidR="00C54211" w:rsidRDefault="00C54211" w:rsidP="00C54211"/>
    <w:p w14:paraId="444C3EFC" w14:textId="3C191D04" w:rsidR="00C54211" w:rsidRPr="00C54211" w:rsidRDefault="00C54211" w:rsidP="00C54211">
      <w:pPr>
        <w:tabs>
          <w:tab w:val="left" w:pos="2685"/>
        </w:tabs>
      </w:pPr>
      <w:bookmarkStart w:id="0" w:name="_GoBack"/>
      <w:bookmarkEnd w:id="0"/>
      <w:r>
        <w:tab/>
      </w:r>
    </w:p>
    <w:sectPr w:rsidR="00C54211" w:rsidRPr="00C54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656EF"/>
    <w:multiLevelType w:val="hybridMultilevel"/>
    <w:tmpl w:val="9FBEC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4D961E2"/>
    <w:multiLevelType w:val="hybridMultilevel"/>
    <w:tmpl w:val="D714A7D2"/>
    <w:lvl w:ilvl="0" w:tplc="C060CC6A">
      <w:start w:val="1"/>
      <w:numFmt w:val="bullet"/>
      <w:lvlText w:val=""/>
      <w:lvlJc w:val="left"/>
      <w:pPr>
        <w:tabs>
          <w:tab w:val="num" w:pos="720"/>
        </w:tabs>
        <w:ind w:left="720" w:hanging="360"/>
      </w:pPr>
      <w:rPr>
        <w:rFonts w:ascii="Wingdings" w:hAnsi="Wingdings" w:hint="default"/>
      </w:rPr>
    </w:lvl>
    <w:lvl w:ilvl="1" w:tplc="A3847CDE" w:tentative="1">
      <w:start w:val="1"/>
      <w:numFmt w:val="bullet"/>
      <w:lvlText w:val=""/>
      <w:lvlJc w:val="left"/>
      <w:pPr>
        <w:tabs>
          <w:tab w:val="num" w:pos="1440"/>
        </w:tabs>
        <w:ind w:left="1440" w:hanging="360"/>
      </w:pPr>
      <w:rPr>
        <w:rFonts w:ascii="Wingdings" w:hAnsi="Wingdings" w:hint="default"/>
      </w:rPr>
    </w:lvl>
    <w:lvl w:ilvl="2" w:tplc="D4D4692C" w:tentative="1">
      <w:start w:val="1"/>
      <w:numFmt w:val="bullet"/>
      <w:lvlText w:val=""/>
      <w:lvlJc w:val="left"/>
      <w:pPr>
        <w:tabs>
          <w:tab w:val="num" w:pos="2160"/>
        </w:tabs>
        <w:ind w:left="2160" w:hanging="360"/>
      </w:pPr>
      <w:rPr>
        <w:rFonts w:ascii="Wingdings" w:hAnsi="Wingdings" w:hint="default"/>
      </w:rPr>
    </w:lvl>
    <w:lvl w:ilvl="3" w:tplc="2368BD86" w:tentative="1">
      <w:start w:val="1"/>
      <w:numFmt w:val="bullet"/>
      <w:lvlText w:val=""/>
      <w:lvlJc w:val="left"/>
      <w:pPr>
        <w:tabs>
          <w:tab w:val="num" w:pos="2880"/>
        </w:tabs>
        <w:ind w:left="2880" w:hanging="360"/>
      </w:pPr>
      <w:rPr>
        <w:rFonts w:ascii="Wingdings" w:hAnsi="Wingdings" w:hint="default"/>
      </w:rPr>
    </w:lvl>
    <w:lvl w:ilvl="4" w:tplc="2E4A1DE6" w:tentative="1">
      <w:start w:val="1"/>
      <w:numFmt w:val="bullet"/>
      <w:lvlText w:val=""/>
      <w:lvlJc w:val="left"/>
      <w:pPr>
        <w:tabs>
          <w:tab w:val="num" w:pos="3600"/>
        </w:tabs>
        <w:ind w:left="3600" w:hanging="360"/>
      </w:pPr>
      <w:rPr>
        <w:rFonts w:ascii="Wingdings" w:hAnsi="Wingdings" w:hint="default"/>
      </w:rPr>
    </w:lvl>
    <w:lvl w:ilvl="5" w:tplc="5F32727C" w:tentative="1">
      <w:start w:val="1"/>
      <w:numFmt w:val="bullet"/>
      <w:lvlText w:val=""/>
      <w:lvlJc w:val="left"/>
      <w:pPr>
        <w:tabs>
          <w:tab w:val="num" w:pos="4320"/>
        </w:tabs>
        <w:ind w:left="4320" w:hanging="360"/>
      </w:pPr>
      <w:rPr>
        <w:rFonts w:ascii="Wingdings" w:hAnsi="Wingdings" w:hint="default"/>
      </w:rPr>
    </w:lvl>
    <w:lvl w:ilvl="6" w:tplc="9C04D22E" w:tentative="1">
      <w:start w:val="1"/>
      <w:numFmt w:val="bullet"/>
      <w:lvlText w:val=""/>
      <w:lvlJc w:val="left"/>
      <w:pPr>
        <w:tabs>
          <w:tab w:val="num" w:pos="5040"/>
        </w:tabs>
        <w:ind w:left="5040" w:hanging="360"/>
      </w:pPr>
      <w:rPr>
        <w:rFonts w:ascii="Wingdings" w:hAnsi="Wingdings" w:hint="default"/>
      </w:rPr>
    </w:lvl>
    <w:lvl w:ilvl="7" w:tplc="D6A4C834" w:tentative="1">
      <w:start w:val="1"/>
      <w:numFmt w:val="bullet"/>
      <w:lvlText w:val=""/>
      <w:lvlJc w:val="left"/>
      <w:pPr>
        <w:tabs>
          <w:tab w:val="num" w:pos="5760"/>
        </w:tabs>
        <w:ind w:left="5760" w:hanging="360"/>
      </w:pPr>
      <w:rPr>
        <w:rFonts w:ascii="Wingdings" w:hAnsi="Wingdings" w:hint="default"/>
      </w:rPr>
    </w:lvl>
    <w:lvl w:ilvl="8" w:tplc="01F223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2A55F0"/>
    <w:multiLevelType w:val="hybridMultilevel"/>
    <w:tmpl w:val="678A8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17EDB"/>
    <w:multiLevelType w:val="hybridMultilevel"/>
    <w:tmpl w:val="DE2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C0030"/>
    <w:multiLevelType w:val="hybridMultilevel"/>
    <w:tmpl w:val="E416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9739E"/>
    <w:multiLevelType w:val="hybridMultilevel"/>
    <w:tmpl w:val="66E6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2143B"/>
    <w:multiLevelType w:val="hybridMultilevel"/>
    <w:tmpl w:val="7D7C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17D8D"/>
    <w:multiLevelType w:val="hybridMultilevel"/>
    <w:tmpl w:val="F36AB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E3A7C"/>
    <w:multiLevelType w:val="hybridMultilevel"/>
    <w:tmpl w:val="C6A64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72228"/>
    <w:multiLevelType w:val="hybridMultilevel"/>
    <w:tmpl w:val="FB6ACFCC"/>
    <w:lvl w:ilvl="0" w:tplc="35D465BA">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637EA"/>
    <w:multiLevelType w:val="hybridMultilevel"/>
    <w:tmpl w:val="70F6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F0825"/>
    <w:multiLevelType w:val="hybridMultilevel"/>
    <w:tmpl w:val="5438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36C55"/>
    <w:multiLevelType w:val="hybridMultilevel"/>
    <w:tmpl w:val="A4D4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E606D"/>
    <w:multiLevelType w:val="hybridMultilevel"/>
    <w:tmpl w:val="E472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773C5"/>
    <w:multiLevelType w:val="hybridMultilevel"/>
    <w:tmpl w:val="D93C6AB4"/>
    <w:lvl w:ilvl="0" w:tplc="08090001">
      <w:start w:val="1"/>
      <w:numFmt w:val="bullet"/>
      <w:lvlText w:val=""/>
      <w:lvlJc w:val="left"/>
      <w:pPr>
        <w:tabs>
          <w:tab w:val="num" w:pos="720"/>
        </w:tabs>
        <w:ind w:left="720" w:hanging="360"/>
      </w:pPr>
      <w:rPr>
        <w:rFonts w:ascii="Symbol" w:hAnsi="Symbol" w:hint="default"/>
      </w:rPr>
    </w:lvl>
    <w:lvl w:ilvl="1" w:tplc="6E2AA1E2">
      <w:start w:val="3"/>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271459"/>
    <w:multiLevelType w:val="hybridMultilevel"/>
    <w:tmpl w:val="BF44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71A1C"/>
    <w:multiLevelType w:val="hybridMultilevel"/>
    <w:tmpl w:val="D5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B5B87"/>
    <w:multiLevelType w:val="hybridMultilevel"/>
    <w:tmpl w:val="915E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E2DB0"/>
    <w:multiLevelType w:val="hybridMultilevel"/>
    <w:tmpl w:val="ED628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5"/>
  </w:num>
  <w:num w:numId="5">
    <w:abstractNumId w:val="17"/>
  </w:num>
  <w:num w:numId="6">
    <w:abstractNumId w:val="3"/>
  </w:num>
  <w:num w:numId="7">
    <w:abstractNumId w:val="6"/>
  </w:num>
  <w:num w:numId="8">
    <w:abstractNumId w:val="4"/>
  </w:num>
  <w:num w:numId="9">
    <w:abstractNumId w:val="18"/>
  </w:num>
  <w:num w:numId="10">
    <w:abstractNumId w:val="7"/>
  </w:num>
  <w:num w:numId="11">
    <w:abstractNumId w:val="12"/>
  </w:num>
  <w:num w:numId="12">
    <w:abstractNumId w:val="1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10"/>
  </w:num>
  <w:num w:numId="17">
    <w:abstractNumId w:val="8"/>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4E"/>
    <w:rsid w:val="00005B4A"/>
    <w:rsid w:val="00007FC0"/>
    <w:rsid w:val="00011CD9"/>
    <w:rsid w:val="00012BA4"/>
    <w:rsid w:val="00014529"/>
    <w:rsid w:val="000151A8"/>
    <w:rsid w:val="0001737C"/>
    <w:rsid w:val="000220A5"/>
    <w:rsid w:val="00026381"/>
    <w:rsid w:val="00032EF3"/>
    <w:rsid w:val="00035B29"/>
    <w:rsid w:val="00044B16"/>
    <w:rsid w:val="00044EF9"/>
    <w:rsid w:val="00052605"/>
    <w:rsid w:val="0005304E"/>
    <w:rsid w:val="00054296"/>
    <w:rsid w:val="0005695F"/>
    <w:rsid w:val="00062135"/>
    <w:rsid w:val="00066965"/>
    <w:rsid w:val="000734E6"/>
    <w:rsid w:val="00076AF1"/>
    <w:rsid w:val="00083F5C"/>
    <w:rsid w:val="00084126"/>
    <w:rsid w:val="00090F36"/>
    <w:rsid w:val="00091237"/>
    <w:rsid w:val="00094D85"/>
    <w:rsid w:val="0009514A"/>
    <w:rsid w:val="000955C7"/>
    <w:rsid w:val="00096317"/>
    <w:rsid w:val="00096EE9"/>
    <w:rsid w:val="000A3026"/>
    <w:rsid w:val="000A4701"/>
    <w:rsid w:val="000A5A31"/>
    <w:rsid w:val="000A7EB7"/>
    <w:rsid w:val="000B0F76"/>
    <w:rsid w:val="000B0F91"/>
    <w:rsid w:val="000B33A1"/>
    <w:rsid w:val="000B7F3D"/>
    <w:rsid w:val="000C15EE"/>
    <w:rsid w:val="000C31CC"/>
    <w:rsid w:val="000D081E"/>
    <w:rsid w:val="000D4683"/>
    <w:rsid w:val="000D4784"/>
    <w:rsid w:val="000D734E"/>
    <w:rsid w:val="000E2D15"/>
    <w:rsid w:val="000E718C"/>
    <w:rsid w:val="000E75C1"/>
    <w:rsid w:val="000F4119"/>
    <w:rsid w:val="000F7CAB"/>
    <w:rsid w:val="00100DB8"/>
    <w:rsid w:val="00112BC7"/>
    <w:rsid w:val="00113116"/>
    <w:rsid w:val="00114983"/>
    <w:rsid w:val="00114E16"/>
    <w:rsid w:val="0011601A"/>
    <w:rsid w:val="001218D1"/>
    <w:rsid w:val="001359BD"/>
    <w:rsid w:val="001434D1"/>
    <w:rsid w:val="00144B1A"/>
    <w:rsid w:val="00145538"/>
    <w:rsid w:val="00147665"/>
    <w:rsid w:val="00152971"/>
    <w:rsid w:val="00160261"/>
    <w:rsid w:val="00160959"/>
    <w:rsid w:val="00162278"/>
    <w:rsid w:val="001726DC"/>
    <w:rsid w:val="00173740"/>
    <w:rsid w:val="00173C78"/>
    <w:rsid w:val="00175B7D"/>
    <w:rsid w:val="0017770B"/>
    <w:rsid w:val="00181BFC"/>
    <w:rsid w:val="0018545A"/>
    <w:rsid w:val="0019046B"/>
    <w:rsid w:val="00192F99"/>
    <w:rsid w:val="001950A3"/>
    <w:rsid w:val="001A06BE"/>
    <w:rsid w:val="001A1D95"/>
    <w:rsid w:val="001A2738"/>
    <w:rsid w:val="001A2D89"/>
    <w:rsid w:val="001A36CA"/>
    <w:rsid w:val="001B0932"/>
    <w:rsid w:val="001B1365"/>
    <w:rsid w:val="001B4420"/>
    <w:rsid w:val="001B4AFA"/>
    <w:rsid w:val="001B63C7"/>
    <w:rsid w:val="001B739E"/>
    <w:rsid w:val="001C0A00"/>
    <w:rsid w:val="001C4DD3"/>
    <w:rsid w:val="001C558C"/>
    <w:rsid w:val="001C69C1"/>
    <w:rsid w:val="001C746E"/>
    <w:rsid w:val="001D0987"/>
    <w:rsid w:val="001D0EF6"/>
    <w:rsid w:val="001D3374"/>
    <w:rsid w:val="001D550C"/>
    <w:rsid w:val="001E1079"/>
    <w:rsid w:val="001E18F8"/>
    <w:rsid w:val="001E2C2D"/>
    <w:rsid w:val="001E2D8C"/>
    <w:rsid w:val="001E4EB2"/>
    <w:rsid w:val="001E5F8F"/>
    <w:rsid w:val="001F2500"/>
    <w:rsid w:val="001F2DC1"/>
    <w:rsid w:val="001F3083"/>
    <w:rsid w:val="001F760D"/>
    <w:rsid w:val="00200C66"/>
    <w:rsid w:val="002057D6"/>
    <w:rsid w:val="00205D8D"/>
    <w:rsid w:val="0020744E"/>
    <w:rsid w:val="00210A83"/>
    <w:rsid w:val="00210DDF"/>
    <w:rsid w:val="002136ED"/>
    <w:rsid w:val="00216092"/>
    <w:rsid w:val="00217ADB"/>
    <w:rsid w:val="00221E76"/>
    <w:rsid w:val="00222E73"/>
    <w:rsid w:val="00223BC3"/>
    <w:rsid w:val="00224BAE"/>
    <w:rsid w:val="0022757D"/>
    <w:rsid w:val="00232B9C"/>
    <w:rsid w:val="0024052E"/>
    <w:rsid w:val="00242A9A"/>
    <w:rsid w:val="00242F9C"/>
    <w:rsid w:val="00244E9A"/>
    <w:rsid w:val="002470A6"/>
    <w:rsid w:val="002478A6"/>
    <w:rsid w:val="00254878"/>
    <w:rsid w:val="00254F63"/>
    <w:rsid w:val="00256047"/>
    <w:rsid w:val="00260D64"/>
    <w:rsid w:val="00260E93"/>
    <w:rsid w:val="00263B29"/>
    <w:rsid w:val="00267515"/>
    <w:rsid w:val="00267FC6"/>
    <w:rsid w:val="00270409"/>
    <w:rsid w:val="0027151B"/>
    <w:rsid w:val="0027745A"/>
    <w:rsid w:val="0028229F"/>
    <w:rsid w:val="00283349"/>
    <w:rsid w:val="00283C9C"/>
    <w:rsid w:val="00285AED"/>
    <w:rsid w:val="00287ACA"/>
    <w:rsid w:val="00291A9A"/>
    <w:rsid w:val="00296A3A"/>
    <w:rsid w:val="002A08D9"/>
    <w:rsid w:val="002B0EB1"/>
    <w:rsid w:val="002B2F54"/>
    <w:rsid w:val="002B6900"/>
    <w:rsid w:val="002C3345"/>
    <w:rsid w:val="002C5665"/>
    <w:rsid w:val="002D019D"/>
    <w:rsid w:val="002D06EF"/>
    <w:rsid w:val="002D189E"/>
    <w:rsid w:val="002D2E7D"/>
    <w:rsid w:val="002D7F83"/>
    <w:rsid w:val="002E019A"/>
    <w:rsid w:val="002E39BF"/>
    <w:rsid w:val="002E49A5"/>
    <w:rsid w:val="002E73FD"/>
    <w:rsid w:val="002F4079"/>
    <w:rsid w:val="002F6DD1"/>
    <w:rsid w:val="00303364"/>
    <w:rsid w:val="003047BB"/>
    <w:rsid w:val="003048D4"/>
    <w:rsid w:val="00304F82"/>
    <w:rsid w:val="003051AF"/>
    <w:rsid w:val="0031164C"/>
    <w:rsid w:val="003158E4"/>
    <w:rsid w:val="00316763"/>
    <w:rsid w:val="003168E1"/>
    <w:rsid w:val="00323D47"/>
    <w:rsid w:val="003275B0"/>
    <w:rsid w:val="003332FB"/>
    <w:rsid w:val="00334682"/>
    <w:rsid w:val="003377CD"/>
    <w:rsid w:val="0034231B"/>
    <w:rsid w:val="00343A4E"/>
    <w:rsid w:val="003514A2"/>
    <w:rsid w:val="0036346D"/>
    <w:rsid w:val="003675F7"/>
    <w:rsid w:val="003677BF"/>
    <w:rsid w:val="00376A8E"/>
    <w:rsid w:val="00382376"/>
    <w:rsid w:val="003A4D45"/>
    <w:rsid w:val="003A711A"/>
    <w:rsid w:val="003B1C00"/>
    <w:rsid w:val="003B2119"/>
    <w:rsid w:val="003B4860"/>
    <w:rsid w:val="003B6572"/>
    <w:rsid w:val="003B6DF3"/>
    <w:rsid w:val="003B7E6E"/>
    <w:rsid w:val="003C23B2"/>
    <w:rsid w:val="003C407C"/>
    <w:rsid w:val="003C7785"/>
    <w:rsid w:val="003D170F"/>
    <w:rsid w:val="003D45B8"/>
    <w:rsid w:val="003D6982"/>
    <w:rsid w:val="003E1B0F"/>
    <w:rsid w:val="003E41ED"/>
    <w:rsid w:val="003E4B94"/>
    <w:rsid w:val="003E5024"/>
    <w:rsid w:val="003F046E"/>
    <w:rsid w:val="003F0E4B"/>
    <w:rsid w:val="003F5F19"/>
    <w:rsid w:val="003F6C09"/>
    <w:rsid w:val="003F7322"/>
    <w:rsid w:val="00400A03"/>
    <w:rsid w:val="00403178"/>
    <w:rsid w:val="00403CFD"/>
    <w:rsid w:val="004054DF"/>
    <w:rsid w:val="00410F2C"/>
    <w:rsid w:val="004146B2"/>
    <w:rsid w:val="00415400"/>
    <w:rsid w:val="00421A00"/>
    <w:rsid w:val="0042206F"/>
    <w:rsid w:val="0042394D"/>
    <w:rsid w:val="004241F0"/>
    <w:rsid w:val="00436F19"/>
    <w:rsid w:val="0044098C"/>
    <w:rsid w:val="004442F5"/>
    <w:rsid w:val="00446FEA"/>
    <w:rsid w:val="00450D96"/>
    <w:rsid w:val="004537E6"/>
    <w:rsid w:val="00453DDA"/>
    <w:rsid w:val="00463CDF"/>
    <w:rsid w:val="00464724"/>
    <w:rsid w:val="00466B92"/>
    <w:rsid w:val="00466CD1"/>
    <w:rsid w:val="00467525"/>
    <w:rsid w:val="004712C9"/>
    <w:rsid w:val="0047331C"/>
    <w:rsid w:val="0047706B"/>
    <w:rsid w:val="00483C6C"/>
    <w:rsid w:val="004849BE"/>
    <w:rsid w:val="00485D81"/>
    <w:rsid w:val="004919B3"/>
    <w:rsid w:val="00496CB0"/>
    <w:rsid w:val="004978F4"/>
    <w:rsid w:val="004A5540"/>
    <w:rsid w:val="004B0DDE"/>
    <w:rsid w:val="004B7094"/>
    <w:rsid w:val="004C13C1"/>
    <w:rsid w:val="004C18D3"/>
    <w:rsid w:val="004C308B"/>
    <w:rsid w:val="004C3140"/>
    <w:rsid w:val="004C390C"/>
    <w:rsid w:val="004D0F6A"/>
    <w:rsid w:val="004D4806"/>
    <w:rsid w:val="004D4D39"/>
    <w:rsid w:val="004D7DB1"/>
    <w:rsid w:val="004E6BBD"/>
    <w:rsid w:val="004E7128"/>
    <w:rsid w:val="004F2B66"/>
    <w:rsid w:val="004F4C55"/>
    <w:rsid w:val="005022F6"/>
    <w:rsid w:val="0050589F"/>
    <w:rsid w:val="005111D7"/>
    <w:rsid w:val="00513F35"/>
    <w:rsid w:val="005149C9"/>
    <w:rsid w:val="00515916"/>
    <w:rsid w:val="005167E8"/>
    <w:rsid w:val="00520C83"/>
    <w:rsid w:val="005256A7"/>
    <w:rsid w:val="00526961"/>
    <w:rsid w:val="00532624"/>
    <w:rsid w:val="00532B6B"/>
    <w:rsid w:val="00532C4D"/>
    <w:rsid w:val="00532D90"/>
    <w:rsid w:val="00532F99"/>
    <w:rsid w:val="005337A7"/>
    <w:rsid w:val="005356BF"/>
    <w:rsid w:val="0053720D"/>
    <w:rsid w:val="00541404"/>
    <w:rsid w:val="00541B61"/>
    <w:rsid w:val="00547F03"/>
    <w:rsid w:val="005550A6"/>
    <w:rsid w:val="00561C1E"/>
    <w:rsid w:val="005629AA"/>
    <w:rsid w:val="00563141"/>
    <w:rsid w:val="00566AC5"/>
    <w:rsid w:val="00567AED"/>
    <w:rsid w:val="00570086"/>
    <w:rsid w:val="00570821"/>
    <w:rsid w:val="005751EF"/>
    <w:rsid w:val="00585941"/>
    <w:rsid w:val="005902FA"/>
    <w:rsid w:val="00593049"/>
    <w:rsid w:val="00593B73"/>
    <w:rsid w:val="005A0135"/>
    <w:rsid w:val="005A1B5C"/>
    <w:rsid w:val="005A3352"/>
    <w:rsid w:val="005A4C8A"/>
    <w:rsid w:val="005A53DD"/>
    <w:rsid w:val="005B0912"/>
    <w:rsid w:val="005B55F3"/>
    <w:rsid w:val="005C4323"/>
    <w:rsid w:val="005C6552"/>
    <w:rsid w:val="005C72FE"/>
    <w:rsid w:val="005D0C11"/>
    <w:rsid w:val="005D1EDD"/>
    <w:rsid w:val="005D70D6"/>
    <w:rsid w:val="005E0D14"/>
    <w:rsid w:val="005E1FD6"/>
    <w:rsid w:val="005E20DC"/>
    <w:rsid w:val="005E3EB3"/>
    <w:rsid w:val="005E6D7D"/>
    <w:rsid w:val="005F29AB"/>
    <w:rsid w:val="005F710C"/>
    <w:rsid w:val="00612B3F"/>
    <w:rsid w:val="00615A25"/>
    <w:rsid w:val="00620A62"/>
    <w:rsid w:val="00624F38"/>
    <w:rsid w:val="00626B68"/>
    <w:rsid w:val="00627940"/>
    <w:rsid w:val="0063043F"/>
    <w:rsid w:val="006404F8"/>
    <w:rsid w:val="00640E6B"/>
    <w:rsid w:val="00640F7C"/>
    <w:rsid w:val="006418AB"/>
    <w:rsid w:val="00641963"/>
    <w:rsid w:val="0064695C"/>
    <w:rsid w:val="0065071C"/>
    <w:rsid w:val="00651B90"/>
    <w:rsid w:val="00656CB2"/>
    <w:rsid w:val="0066082E"/>
    <w:rsid w:val="00665CC3"/>
    <w:rsid w:val="00667DFF"/>
    <w:rsid w:val="006711BB"/>
    <w:rsid w:val="00677DC2"/>
    <w:rsid w:val="00686041"/>
    <w:rsid w:val="00686CE1"/>
    <w:rsid w:val="00692AD6"/>
    <w:rsid w:val="006954F5"/>
    <w:rsid w:val="006957D1"/>
    <w:rsid w:val="00695DDB"/>
    <w:rsid w:val="006A205C"/>
    <w:rsid w:val="006A55DA"/>
    <w:rsid w:val="006A620A"/>
    <w:rsid w:val="006B23E2"/>
    <w:rsid w:val="006B34CF"/>
    <w:rsid w:val="006B53B2"/>
    <w:rsid w:val="006B5E80"/>
    <w:rsid w:val="006B645D"/>
    <w:rsid w:val="006C1BD0"/>
    <w:rsid w:val="006C7448"/>
    <w:rsid w:val="006D00F2"/>
    <w:rsid w:val="006D43DB"/>
    <w:rsid w:val="006E19BB"/>
    <w:rsid w:val="006E357F"/>
    <w:rsid w:val="006E52DC"/>
    <w:rsid w:val="006F5AC3"/>
    <w:rsid w:val="00701B1A"/>
    <w:rsid w:val="00702927"/>
    <w:rsid w:val="00703FFE"/>
    <w:rsid w:val="00706434"/>
    <w:rsid w:val="00706FC7"/>
    <w:rsid w:val="0070775E"/>
    <w:rsid w:val="00715FA8"/>
    <w:rsid w:val="00717BD4"/>
    <w:rsid w:val="00721161"/>
    <w:rsid w:val="00722E12"/>
    <w:rsid w:val="0072391E"/>
    <w:rsid w:val="0072520F"/>
    <w:rsid w:val="0072769C"/>
    <w:rsid w:val="007332D8"/>
    <w:rsid w:val="0073486B"/>
    <w:rsid w:val="00734ABA"/>
    <w:rsid w:val="00735AC9"/>
    <w:rsid w:val="00737785"/>
    <w:rsid w:val="00743BF9"/>
    <w:rsid w:val="007625D6"/>
    <w:rsid w:val="007633FC"/>
    <w:rsid w:val="00764098"/>
    <w:rsid w:val="0076515C"/>
    <w:rsid w:val="007654B2"/>
    <w:rsid w:val="007702AA"/>
    <w:rsid w:val="007732D8"/>
    <w:rsid w:val="0077530B"/>
    <w:rsid w:val="00786B42"/>
    <w:rsid w:val="00787D4E"/>
    <w:rsid w:val="00796079"/>
    <w:rsid w:val="007A203E"/>
    <w:rsid w:val="007A4678"/>
    <w:rsid w:val="007A794E"/>
    <w:rsid w:val="007B3890"/>
    <w:rsid w:val="007B744C"/>
    <w:rsid w:val="007B761A"/>
    <w:rsid w:val="007C2965"/>
    <w:rsid w:val="007C4BB7"/>
    <w:rsid w:val="007D3B7D"/>
    <w:rsid w:val="007D5E3C"/>
    <w:rsid w:val="007E04D8"/>
    <w:rsid w:val="007E0889"/>
    <w:rsid w:val="007F4F26"/>
    <w:rsid w:val="007F783F"/>
    <w:rsid w:val="00804A50"/>
    <w:rsid w:val="00804C0C"/>
    <w:rsid w:val="00805210"/>
    <w:rsid w:val="00806EE1"/>
    <w:rsid w:val="00807E93"/>
    <w:rsid w:val="00807F5E"/>
    <w:rsid w:val="00812EAA"/>
    <w:rsid w:val="00813C96"/>
    <w:rsid w:val="008144FD"/>
    <w:rsid w:val="00814666"/>
    <w:rsid w:val="00816892"/>
    <w:rsid w:val="00817729"/>
    <w:rsid w:val="00820BA3"/>
    <w:rsid w:val="0082741F"/>
    <w:rsid w:val="0083078D"/>
    <w:rsid w:val="008325C3"/>
    <w:rsid w:val="00834D6E"/>
    <w:rsid w:val="008374A8"/>
    <w:rsid w:val="008401E0"/>
    <w:rsid w:val="008407A7"/>
    <w:rsid w:val="00845E9D"/>
    <w:rsid w:val="00851250"/>
    <w:rsid w:val="008547EF"/>
    <w:rsid w:val="008573E6"/>
    <w:rsid w:val="0086749B"/>
    <w:rsid w:val="008727AB"/>
    <w:rsid w:val="008739A9"/>
    <w:rsid w:val="00880795"/>
    <w:rsid w:val="008870B7"/>
    <w:rsid w:val="0089035F"/>
    <w:rsid w:val="008909C4"/>
    <w:rsid w:val="00894384"/>
    <w:rsid w:val="008956C6"/>
    <w:rsid w:val="008A3234"/>
    <w:rsid w:val="008A387B"/>
    <w:rsid w:val="008A3C02"/>
    <w:rsid w:val="008A6127"/>
    <w:rsid w:val="008B5829"/>
    <w:rsid w:val="008B62E7"/>
    <w:rsid w:val="008C1F45"/>
    <w:rsid w:val="008C3300"/>
    <w:rsid w:val="008D2564"/>
    <w:rsid w:val="008D3150"/>
    <w:rsid w:val="008D408C"/>
    <w:rsid w:val="008D4E49"/>
    <w:rsid w:val="008D6582"/>
    <w:rsid w:val="008D758D"/>
    <w:rsid w:val="008F05CA"/>
    <w:rsid w:val="008F41FB"/>
    <w:rsid w:val="00907F4F"/>
    <w:rsid w:val="00911BC5"/>
    <w:rsid w:val="00925ABC"/>
    <w:rsid w:val="0092623B"/>
    <w:rsid w:val="00926BAB"/>
    <w:rsid w:val="00926DF3"/>
    <w:rsid w:val="00927AFF"/>
    <w:rsid w:val="00933109"/>
    <w:rsid w:val="00936F69"/>
    <w:rsid w:val="0094113D"/>
    <w:rsid w:val="00941DFA"/>
    <w:rsid w:val="00942671"/>
    <w:rsid w:val="00945E8C"/>
    <w:rsid w:val="00947528"/>
    <w:rsid w:val="00947EEB"/>
    <w:rsid w:val="00951519"/>
    <w:rsid w:val="00961F4E"/>
    <w:rsid w:val="0096309F"/>
    <w:rsid w:val="009647F2"/>
    <w:rsid w:val="009673DA"/>
    <w:rsid w:val="00973AB2"/>
    <w:rsid w:val="00973C34"/>
    <w:rsid w:val="00976B39"/>
    <w:rsid w:val="009815B4"/>
    <w:rsid w:val="009917EB"/>
    <w:rsid w:val="00991D59"/>
    <w:rsid w:val="009948D8"/>
    <w:rsid w:val="009A0C3B"/>
    <w:rsid w:val="009A1EFC"/>
    <w:rsid w:val="009A6545"/>
    <w:rsid w:val="009B12C4"/>
    <w:rsid w:val="009B2C3E"/>
    <w:rsid w:val="009B2F50"/>
    <w:rsid w:val="009B7DF3"/>
    <w:rsid w:val="009D71AA"/>
    <w:rsid w:val="009E49F5"/>
    <w:rsid w:val="009F13D6"/>
    <w:rsid w:val="009F4315"/>
    <w:rsid w:val="00A06A12"/>
    <w:rsid w:val="00A07CB9"/>
    <w:rsid w:val="00A100E5"/>
    <w:rsid w:val="00A1087A"/>
    <w:rsid w:val="00A134A9"/>
    <w:rsid w:val="00A1529C"/>
    <w:rsid w:val="00A15C89"/>
    <w:rsid w:val="00A300E0"/>
    <w:rsid w:val="00A41ABE"/>
    <w:rsid w:val="00A43223"/>
    <w:rsid w:val="00A466EC"/>
    <w:rsid w:val="00A505E4"/>
    <w:rsid w:val="00A5082F"/>
    <w:rsid w:val="00A50968"/>
    <w:rsid w:val="00A52980"/>
    <w:rsid w:val="00A53EF7"/>
    <w:rsid w:val="00A63B80"/>
    <w:rsid w:val="00A649BB"/>
    <w:rsid w:val="00A71A30"/>
    <w:rsid w:val="00A74270"/>
    <w:rsid w:val="00A7491E"/>
    <w:rsid w:val="00A7544D"/>
    <w:rsid w:val="00A82D9F"/>
    <w:rsid w:val="00A84092"/>
    <w:rsid w:val="00A84B49"/>
    <w:rsid w:val="00A870EC"/>
    <w:rsid w:val="00A954BB"/>
    <w:rsid w:val="00AA02CF"/>
    <w:rsid w:val="00AA309E"/>
    <w:rsid w:val="00AA6014"/>
    <w:rsid w:val="00AB03CA"/>
    <w:rsid w:val="00AB0A71"/>
    <w:rsid w:val="00AB51C1"/>
    <w:rsid w:val="00AB56E0"/>
    <w:rsid w:val="00AB5853"/>
    <w:rsid w:val="00AB5C8F"/>
    <w:rsid w:val="00AC2456"/>
    <w:rsid w:val="00AC4B4E"/>
    <w:rsid w:val="00AC7FCA"/>
    <w:rsid w:val="00AD36A5"/>
    <w:rsid w:val="00AD59DD"/>
    <w:rsid w:val="00AE02AD"/>
    <w:rsid w:val="00AE293C"/>
    <w:rsid w:val="00AF25A7"/>
    <w:rsid w:val="00AF4683"/>
    <w:rsid w:val="00AF4E49"/>
    <w:rsid w:val="00AF6898"/>
    <w:rsid w:val="00AF7874"/>
    <w:rsid w:val="00AF7C4B"/>
    <w:rsid w:val="00B0018F"/>
    <w:rsid w:val="00B05E76"/>
    <w:rsid w:val="00B10337"/>
    <w:rsid w:val="00B13783"/>
    <w:rsid w:val="00B148D5"/>
    <w:rsid w:val="00B151ED"/>
    <w:rsid w:val="00B24658"/>
    <w:rsid w:val="00B24D05"/>
    <w:rsid w:val="00B4255F"/>
    <w:rsid w:val="00B506B9"/>
    <w:rsid w:val="00B53E8C"/>
    <w:rsid w:val="00B55328"/>
    <w:rsid w:val="00B575BF"/>
    <w:rsid w:val="00B57DFE"/>
    <w:rsid w:val="00B62B86"/>
    <w:rsid w:val="00B62F22"/>
    <w:rsid w:val="00B63FF8"/>
    <w:rsid w:val="00B66F0E"/>
    <w:rsid w:val="00B7032F"/>
    <w:rsid w:val="00B71115"/>
    <w:rsid w:val="00B74C08"/>
    <w:rsid w:val="00B75056"/>
    <w:rsid w:val="00B75301"/>
    <w:rsid w:val="00B814F2"/>
    <w:rsid w:val="00B84AD3"/>
    <w:rsid w:val="00B86006"/>
    <w:rsid w:val="00B91E93"/>
    <w:rsid w:val="00B92C85"/>
    <w:rsid w:val="00B93999"/>
    <w:rsid w:val="00BA229C"/>
    <w:rsid w:val="00BB110D"/>
    <w:rsid w:val="00BB4BA5"/>
    <w:rsid w:val="00BB4BB8"/>
    <w:rsid w:val="00BB6B34"/>
    <w:rsid w:val="00BC3E18"/>
    <w:rsid w:val="00BC7D00"/>
    <w:rsid w:val="00BD0B2E"/>
    <w:rsid w:val="00BD1EA8"/>
    <w:rsid w:val="00BE60A4"/>
    <w:rsid w:val="00BE6A09"/>
    <w:rsid w:val="00BE7A4E"/>
    <w:rsid w:val="00BF1465"/>
    <w:rsid w:val="00BF6A58"/>
    <w:rsid w:val="00BF7DCF"/>
    <w:rsid w:val="00C02B55"/>
    <w:rsid w:val="00C17AEC"/>
    <w:rsid w:val="00C23405"/>
    <w:rsid w:val="00C26D68"/>
    <w:rsid w:val="00C31648"/>
    <w:rsid w:val="00C338CD"/>
    <w:rsid w:val="00C34FDC"/>
    <w:rsid w:val="00C35325"/>
    <w:rsid w:val="00C36142"/>
    <w:rsid w:val="00C418EF"/>
    <w:rsid w:val="00C44ABF"/>
    <w:rsid w:val="00C54211"/>
    <w:rsid w:val="00C61B2A"/>
    <w:rsid w:val="00C6254F"/>
    <w:rsid w:val="00C63C57"/>
    <w:rsid w:val="00C661B3"/>
    <w:rsid w:val="00C666A5"/>
    <w:rsid w:val="00C674B3"/>
    <w:rsid w:val="00C73684"/>
    <w:rsid w:val="00C74803"/>
    <w:rsid w:val="00C83EA3"/>
    <w:rsid w:val="00C85B1E"/>
    <w:rsid w:val="00C90DFE"/>
    <w:rsid w:val="00C927E3"/>
    <w:rsid w:val="00C97818"/>
    <w:rsid w:val="00C978A6"/>
    <w:rsid w:val="00CA283B"/>
    <w:rsid w:val="00CA7196"/>
    <w:rsid w:val="00CB0EEB"/>
    <w:rsid w:val="00CB1A05"/>
    <w:rsid w:val="00CB761B"/>
    <w:rsid w:val="00CC6A1F"/>
    <w:rsid w:val="00CD41B8"/>
    <w:rsid w:val="00CD7DED"/>
    <w:rsid w:val="00CE3BB7"/>
    <w:rsid w:val="00CF4063"/>
    <w:rsid w:val="00CF4B42"/>
    <w:rsid w:val="00CF544C"/>
    <w:rsid w:val="00D05146"/>
    <w:rsid w:val="00D111BD"/>
    <w:rsid w:val="00D12177"/>
    <w:rsid w:val="00D1552C"/>
    <w:rsid w:val="00D2222C"/>
    <w:rsid w:val="00D24DA3"/>
    <w:rsid w:val="00D32D25"/>
    <w:rsid w:val="00D353B3"/>
    <w:rsid w:val="00D4438F"/>
    <w:rsid w:val="00D505D2"/>
    <w:rsid w:val="00D5267D"/>
    <w:rsid w:val="00D641AC"/>
    <w:rsid w:val="00D64923"/>
    <w:rsid w:val="00D73964"/>
    <w:rsid w:val="00D73FF4"/>
    <w:rsid w:val="00D77A9B"/>
    <w:rsid w:val="00D803D8"/>
    <w:rsid w:val="00D82A47"/>
    <w:rsid w:val="00D85377"/>
    <w:rsid w:val="00D95D0C"/>
    <w:rsid w:val="00D95E23"/>
    <w:rsid w:val="00DA262A"/>
    <w:rsid w:val="00DA2C0C"/>
    <w:rsid w:val="00DB0E6A"/>
    <w:rsid w:val="00DB255D"/>
    <w:rsid w:val="00DB28A3"/>
    <w:rsid w:val="00DC0158"/>
    <w:rsid w:val="00DC0766"/>
    <w:rsid w:val="00DC699D"/>
    <w:rsid w:val="00DD009B"/>
    <w:rsid w:val="00DD1792"/>
    <w:rsid w:val="00DD296A"/>
    <w:rsid w:val="00DD32E0"/>
    <w:rsid w:val="00DD5B38"/>
    <w:rsid w:val="00DE31A5"/>
    <w:rsid w:val="00DE3F0C"/>
    <w:rsid w:val="00DE41DD"/>
    <w:rsid w:val="00DE57A6"/>
    <w:rsid w:val="00DF095D"/>
    <w:rsid w:val="00DF16EF"/>
    <w:rsid w:val="00DF4DBD"/>
    <w:rsid w:val="00DF7E7A"/>
    <w:rsid w:val="00E0230F"/>
    <w:rsid w:val="00E051F8"/>
    <w:rsid w:val="00E07120"/>
    <w:rsid w:val="00E134A4"/>
    <w:rsid w:val="00E2304C"/>
    <w:rsid w:val="00E30E80"/>
    <w:rsid w:val="00E31582"/>
    <w:rsid w:val="00E34190"/>
    <w:rsid w:val="00E34B0E"/>
    <w:rsid w:val="00E35FB7"/>
    <w:rsid w:val="00E37A47"/>
    <w:rsid w:val="00E46245"/>
    <w:rsid w:val="00E51C21"/>
    <w:rsid w:val="00E5233D"/>
    <w:rsid w:val="00E53962"/>
    <w:rsid w:val="00E547C1"/>
    <w:rsid w:val="00E548B8"/>
    <w:rsid w:val="00E55344"/>
    <w:rsid w:val="00E63E7D"/>
    <w:rsid w:val="00E643AB"/>
    <w:rsid w:val="00E67157"/>
    <w:rsid w:val="00E6778E"/>
    <w:rsid w:val="00E67970"/>
    <w:rsid w:val="00E67CB8"/>
    <w:rsid w:val="00E73C35"/>
    <w:rsid w:val="00E747A4"/>
    <w:rsid w:val="00E85A71"/>
    <w:rsid w:val="00E85A8E"/>
    <w:rsid w:val="00E86578"/>
    <w:rsid w:val="00E87E61"/>
    <w:rsid w:val="00E92EB2"/>
    <w:rsid w:val="00E9352A"/>
    <w:rsid w:val="00E9402E"/>
    <w:rsid w:val="00E95636"/>
    <w:rsid w:val="00E95EA4"/>
    <w:rsid w:val="00EA0BDD"/>
    <w:rsid w:val="00EA3641"/>
    <w:rsid w:val="00EA55B0"/>
    <w:rsid w:val="00EA62D1"/>
    <w:rsid w:val="00EA7C89"/>
    <w:rsid w:val="00EB07EA"/>
    <w:rsid w:val="00EB1910"/>
    <w:rsid w:val="00EB29E4"/>
    <w:rsid w:val="00EB46BC"/>
    <w:rsid w:val="00EB56D2"/>
    <w:rsid w:val="00EC0866"/>
    <w:rsid w:val="00EC1802"/>
    <w:rsid w:val="00EC3203"/>
    <w:rsid w:val="00EC4C70"/>
    <w:rsid w:val="00EC50BF"/>
    <w:rsid w:val="00EC5755"/>
    <w:rsid w:val="00ED15EE"/>
    <w:rsid w:val="00ED41B4"/>
    <w:rsid w:val="00ED59B3"/>
    <w:rsid w:val="00ED5DDD"/>
    <w:rsid w:val="00EE1E38"/>
    <w:rsid w:val="00EE4D3C"/>
    <w:rsid w:val="00EE5DF7"/>
    <w:rsid w:val="00EE5EC5"/>
    <w:rsid w:val="00EF1733"/>
    <w:rsid w:val="00EF210C"/>
    <w:rsid w:val="00EF575B"/>
    <w:rsid w:val="00F02C24"/>
    <w:rsid w:val="00F068DE"/>
    <w:rsid w:val="00F1530F"/>
    <w:rsid w:val="00F17A35"/>
    <w:rsid w:val="00F23DDE"/>
    <w:rsid w:val="00F27149"/>
    <w:rsid w:val="00F33769"/>
    <w:rsid w:val="00F43253"/>
    <w:rsid w:val="00F51E9A"/>
    <w:rsid w:val="00F53F67"/>
    <w:rsid w:val="00F741B1"/>
    <w:rsid w:val="00F7502F"/>
    <w:rsid w:val="00F776EB"/>
    <w:rsid w:val="00F94A77"/>
    <w:rsid w:val="00FA26CF"/>
    <w:rsid w:val="00FA27F4"/>
    <w:rsid w:val="00FA32D3"/>
    <w:rsid w:val="00FA7247"/>
    <w:rsid w:val="00FB3403"/>
    <w:rsid w:val="00FB6845"/>
    <w:rsid w:val="00FC565E"/>
    <w:rsid w:val="00FC5B4F"/>
    <w:rsid w:val="00FC6C38"/>
    <w:rsid w:val="00FD1AA3"/>
    <w:rsid w:val="00FE1998"/>
    <w:rsid w:val="00FF2351"/>
    <w:rsid w:val="00FF4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5D13"/>
  <w15:docId w15:val="{CFC26CFB-E6FA-4A44-B035-E8C1E941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5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F4E"/>
    <w:pPr>
      <w:spacing w:after="0" w:line="240" w:lineRule="auto"/>
    </w:pPr>
  </w:style>
  <w:style w:type="paragraph" w:customStyle="1" w:styleId="Verdana">
    <w:name w:val="Verdana"/>
    <w:qFormat/>
    <w:rsid w:val="004F4C55"/>
    <w:pPr>
      <w:spacing w:after="0" w:line="240" w:lineRule="auto"/>
    </w:pPr>
    <w:rPr>
      <w:rFonts w:ascii="Verdana" w:eastAsia="Calibri" w:hAnsi="Verdana" w:cs="Times New Roman"/>
      <w:szCs w:val="24"/>
      <w:lang w:val="en-US"/>
    </w:rPr>
  </w:style>
  <w:style w:type="table" w:styleId="TableGrid">
    <w:name w:val="Table Grid"/>
    <w:basedOn w:val="TableNormal"/>
    <w:uiPriority w:val="59"/>
    <w:rsid w:val="004F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ADB"/>
    <w:pPr>
      <w:ind w:left="720"/>
    </w:pPr>
    <w:rPr>
      <w:rFonts w:eastAsiaTheme="minorHAnsi" w:cs="Calibri"/>
      <w:lang w:eastAsia="en-GB"/>
    </w:rPr>
  </w:style>
  <w:style w:type="character" w:customStyle="1" w:styleId="st1">
    <w:name w:val="st1"/>
    <w:basedOn w:val="DefaultParagraphFont"/>
    <w:rsid w:val="002D189E"/>
  </w:style>
  <w:style w:type="paragraph" w:styleId="BalloonText">
    <w:name w:val="Balloon Text"/>
    <w:basedOn w:val="Normal"/>
    <w:link w:val="BalloonTextChar"/>
    <w:uiPriority w:val="99"/>
    <w:semiHidden/>
    <w:unhideWhenUsed/>
    <w:rsid w:val="00FD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1334">
      <w:bodyDiv w:val="1"/>
      <w:marLeft w:val="0"/>
      <w:marRight w:val="0"/>
      <w:marTop w:val="0"/>
      <w:marBottom w:val="0"/>
      <w:divBdr>
        <w:top w:val="none" w:sz="0" w:space="0" w:color="auto"/>
        <w:left w:val="none" w:sz="0" w:space="0" w:color="auto"/>
        <w:bottom w:val="none" w:sz="0" w:space="0" w:color="auto"/>
        <w:right w:val="none" w:sz="0" w:space="0" w:color="auto"/>
      </w:divBdr>
    </w:div>
    <w:div w:id="208500001">
      <w:bodyDiv w:val="1"/>
      <w:marLeft w:val="0"/>
      <w:marRight w:val="0"/>
      <w:marTop w:val="0"/>
      <w:marBottom w:val="0"/>
      <w:divBdr>
        <w:top w:val="none" w:sz="0" w:space="0" w:color="auto"/>
        <w:left w:val="none" w:sz="0" w:space="0" w:color="auto"/>
        <w:bottom w:val="none" w:sz="0" w:space="0" w:color="auto"/>
        <w:right w:val="none" w:sz="0" w:space="0" w:color="auto"/>
      </w:divBdr>
    </w:div>
    <w:div w:id="845049791">
      <w:bodyDiv w:val="1"/>
      <w:marLeft w:val="0"/>
      <w:marRight w:val="0"/>
      <w:marTop w:val="0"/>
      <w:marBottom w:val="0"/>
      <w:divBdr>
        <w:top w:val="none" w:sz="0" w:space="0" w:color="auto"/>
        <w:left w:val="none" w:sz="0" w:space="0" w:color="auto"/>
        <w:bottom w:val="none" w:sz="0" w:space="0" w:color="auto"/>
        <w:right w:val="none" w:sz="0" w:space="0" w:color="auto"/>
      </w:divBdr>
    </w:div>
    <w:div w:id="19920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D4A8-FD3A-4F57-9E1C-DACAAE1C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TotalTime>
  <Pages>8</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552</cp:revision>
  <cp:lastPrinted>2019-11-26T15:40:00Z</cp:lastPrinted>
  <dcterms:created xsi:type="dcterms:W3CDTF">2016-11-24T14:30:00Z</dcterms:created>
  <dcterms:modified xsi:type="dcterms:W3CDTF">2021-03-19T10:54:00Z</dcterms:modified>
</cp:coreProperties>
</file>