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5D29" w14:textId="17A01F2A" w:rsidR="004F4C55" w:rsidRPr="00AE293C" w:rsidRDefault="004F4C55" w:rsidP="00AE293C">
      <w:pPr>
        <w:jc w:val="center"/>
        <w:rPr>
          <w:rFonts w:ascii="Verdana" w:hAnsi="Verdana"/>
        </w:rPr>
      </w:pPr>
      <w:r>
        <w:rPr>
          <w:rFonts w:ascii="Verdana" w:hAnsi="Verdana"/>
          <w:b/>
        </w:rPr>
        <w:t xml:space="preserve">CORPORATION OF </w:t>
      </w:r>
      <w:r w:rsidRPr="00F97EF9">
        <w:rPr>
          <w:rFonts w:ascii="Verdana" w:hAnsi="Verdana"/>
          <w:b/>
        </w:rPr>
        <w:t>SIR GEORGE MONOUX COLLEGE</w:t>
      </w:r>
    </w:p>
    <w:p w14:paraId="38715D2A" w14:textId="77777777" w:rsidR="004F4C55" w:rsidRPr="00F97EF9" w:rsidRDefault="004F4C55" w:rsidP="004F4C55">
      <w:pPr>
        <w:jc w:val="center"/>
        <w:rPr>
          <w:rFonts w:ascii="Verdana" w:hAnsi="Verdana"/>
          <w:b/>
        </w:rPr>
      </w:pPr>
    </w:p>
    <w:p w14:paraId="010842CE" w14:textId="77777777" w:rsidR="005511E8" w:rsidRDefault="004F4C55" w:rsidP="000D4683">
      <w:pPr>
        <w:jc w:val="center"/>
        <w:rPr>
          <w:rFonts w:ascii="Verdana" w:hAnsi="Verdana"/>
          <w:b/>
        </w:rPr>
      </w:pPr>
      <w:r w:rsidRPr="003475F7">
        <w:rPr>
          <w:rFonts w:ascii="Verdana" w:hAnsi="Verdana"/>
          <w:b/>
        </w:rPr>
        <w:t xml:space="preserve">Minutes of the Meeting of the </w:t>
      </w:r>
      <w:r>
        <w:rPr>
          <w:rFonts w:ascii="Verdana" w:hAnsi="Verdana"/>
          <w:b/>
        </w:rPr>
        <w:t>Resources</w:t>
      </w:r>
      <w:r w:rsidRPr="003475F7">
        <w:rPr>
          <w:rFonts w:ascii="Verdana" w:hAnsi="Verdana"/>
          <w:b/>
        </w:rPr>
        <w:t xml:space="preserve"> Committee held on </w:t>
      </w:r>
    </w:p>
    <w:p w14:paraId="38715D2B" w14:textId="1F7AD9C1" w:rsidR="004F4C55" w:rsidRDefault="00531359" w:rsidP="000D4683">
      <w:pPr>
        <w:jc w:val="center"/>
        <w:rPr>
          <w:rFonts w:ascii="Verdana" w:hAnsi="Verdana"/>
          <w:b/>
        </w:rPr>
      </w:pPr>
      <w:r>
        <w:rPr>
          <w:rFonts w:ascii="Verdana" w:hAnsi="Verdana"/>
          <w:b/>
        </w:rPr>
        <w:t>23 June</w:t>
      </w:r>
      <w:r w:rsidR="005D0C11">
        <w:rPr>
          <w:rFonts w:ascii="Verdana" w:hAnsi="Verdana"/>
          <w:b/>
        </w:rPr>
        <w:t xml:space="preserve"> 20</w:t>
      </w:r>
      <w:r w:rsidR="00FB3FEE">
        <w:rPr>
          <w:rFonts w:ascii="Verdana" w:hAnsi="Verdana"/>
          <w:b/>
        </w:rPr>
        <w:t>20</w:t>
      </w:r>
    </w:p>
    <w:p w14:paraId="38715D2C" w14:textId="77777777" w:rsidR="0022757D" w:rsidRDefault="0022757D" w:rsidP="004F4C55">
      <w:pPr>
        <w:jc w:val="center"/>
        <w:rPr>
          <w:rFonts w:ascii="Verdana" w:hAnsi="Verdana"/>
          <w:b/>
        </w:rPr>
      </w:pPr>
    </w:p>
    <w:tbl>
      <w:tblPr>
        <w:tblW w:w="9322" w:type="dxa"/>
        <w:tblLook w:val="04A0" w:firstRow="1" w:lastRow="0" w:firstColumn="1" w:lastColumn="0" w:noHBand="0" w:noVBand="1"/>
      </w:tblPr>
      <w:tblGrid>
        <w:gridCol w:w="2376"/>
        <w:gridCol w:w="6946"/>
      </w:tblGrid>
      <w:tr w:rsidR="004F4C55" w:rsidRPr="003D3002" w14:paraId="38715D31" w14:textId="77777777" w:rsidTr="00F16D6B">
        <w:tc>
          <w:tcPr>
            <w:tcW w:w="2376" w:type="dxa"/>
          </w:tcPr>
          <w:p w14:paraId="38715D2D" w14:textId="77777777" w:rsidR="004F4C55" w:rsidRPr="00485D81" w:rsidRDefault="004F4C55" w:rsidP="00721161">
            <w:pPr>
              <w:rPr>
                <w:rFonts w:ascii="Verdana" w:hAnsi="Verdana"/>
                <w:b/>
              </w:rPr>
            </w:pPr>
            <w:r w:rsidRPr="00485D81">
              <w:rPr>
                <w:rFonts w:ascii="Verdana" w:hAnsi="Verdana"/>
                <w:b/>
              </w:rPr>
              <w:t>Present</w:t>
            </w:r>
          </w:p>
          <w:p w14:paraId="38715D2E" w14:textId="77777777" w:rsidR="004F4C55" w:rsidRPr="00485D81" w:rsidRDefault="004F4C55" w:rsidP="00721161">
            <w:pPr>
              <w:rPr>
                <w:rFonts w:ascii="Verdana" w:hAnsi="Verdana"/>
                <w:b/>
              </w:rPr>
            </w:pPr>
          </w:p>
        </w:tc>
        <w:tc>
          <w:tcPr>
            <w:tcW w:w="6946" w:type="dxa"/>
          </w:tcPr>
          <w:p w14:paraId="1FA561A4" w14:textId="54CF9E8D" w:rsidR="004F4C55" w:rsidRDefault="004F4C55" w:rsidP="00260D64">
            <w:pPr>
              <w:rPr>
                <w:rFonts w:ascii="Verdana" w:hAnsi="Verdana"/>
              </w:rPr>
            </w:pPr>
            <w:r w:rsidRPr="00485D81">
              <w:rPr>
                <w:rFonts w:ascii="Verdana" w:hAnsi="Verdana"/>
              </w:rPr>
              <w:t>Jon</w:t>
            </w:r>
            <w:r w:rsidR="003377CD" w:rsidRPr="00485D81">
              <w:rPr>
                <w:rFonts w:ascii="Verdana" w:hAnsi="Verdana"/>
              </w:rPr>
              <w:t xml:space="preserve">athan Bush (Chair), </w:t>
            </w:r>
            <w:r w:rsidR="00485D81" w:rsidRPr="00485D81">
              <w:rPr>
                <w:rFonts w:ascii="Verdana" w:hAnsi="Verdana"/>
              </w:rPr>
              <w:t>Jagdev Kenth</w:t>
            </w:r>
            <w:r w:rsidR="00496B99">
              <w:rPr>
                <w:rFonts w:ascii="Verdana" w:hAnsi="Verdana"/>
              </w:rPr>
              <w:t xml:space="preserve"> (agenda 6-13)</w:t>
            </w:r>
            <w:r w:rsidR="00485D81" w:rsidRPr="00485D81">
              <w:rPr>
                <w:rFonts w:ascii="Verdana" w:hAnsi="Verdana"/>
              </w:rPr>
              <w:t xml:space="preserve">, </w:t>
            </w:r>
            <w:r w:rsidR="00FF4C1A">
              <w:rPr>
                <w:rFonts w:ascii="Verdana" w:hAnsi="Verdana"/>
              </w:rPr>
              <w:t xml:space="preserve">Nazia Shah, David </w:t>
            </w:r>
            <w:proofErr w:type="spellStart"/>
            <w:r w:rsidR="00FF4C1A">
              <w:rPr>
                <w:rFonts w:ascii="Verdana" w:hAnsi="Verdana"/>
              </w:rPr>
              <w:t>Vasse</w:t>
            </w:r>
            <w:proofErr w:type="spellEnd"/>
            <w:r w:rsidR="00FF4C1A">
              <w:rPr>
                <w:rFonts w:ascii="Verdana" w:hAnsi="Verdana"/>
              </w:rPr>
              <w:t xml:space="preserve">, </w:t>
            </w:r>
            <w:r w:rsidR="00485D81" w:rsidRPr="00485D81">
              <w:rPr>
                <w:rFonts w:ascii="Verdana" w:hAnsi="Verdana"/>
              </w:rPr>
              <w:t>Sara Whittaker</w:t>
            </w:r>
            <w:r w:rsidR="00260D64">
              <w:rPr>
                <w:rFonts w:ascii="Verdana" w:hAnsi="Verdana"/>
              </w:rPr>
              <w:t>.</w:t>
            </w:r>
          </w:p>
          <w:p w14:paraId="38715D30" w14:textId="5EB34D32" w:rsidR="00E1189F" w:rsidRPr="00485D81" w:rsidRDefault="00E1189F" w:rsidP="00260D64">
            <w:pPr>
              <w:rPr>
                <w:rFonts w:ascii="Verdana" w:hAnsi="Verdana"/>
              </w:rPr>
            </w:pPr>
          </w:p>
        </w:tc>
      </w:tr>
      <w:tr w:rsidR="004F4C55" w:rsidRPr="003D3002" w14:paraId="38715D38" w14:textId="77777777" w:rsidTr="00F16D6B">
        <w:tc>
          <w:tcPr>
            <w:tcW w:w="2376" w:type="dxa"/>
          </w:tcPr>
          <w:p w14:paraId="38715D36" w14:textId="3B025867" w:rsidR="004F4C55" w:rsidRPr="003D3002" w:rsidRDefault="00585941" w:rsidP="00721161">
            <w:pPr>
              <w:rPr>
                <w:rFonts w:ascii="Verdana" w:hAnsi="Verdana"/>
                <w:b/>
              </w:rPr>
            </w:pPr>
            <w:r>
              <w:rPr>
                <w:rFonts w:ascii="Verdana" w:hAnsi="Verdana"/>
                <w:b/>
              </w:rPr>
              <w:t>In Attendance</w:t>
            </w:r>
          </w:p>
        </w:tc>
        <w:tc>
          <w:tcPr>
            <w:tcW w:w="6946" w:type="dxa"/>
          </w:tcPr>
          <w:p w14:paraId="38715D37" w14:textId="57718823" w:rsidR="004F4C55" w:rsidRPr="003D3002" w:rsidRDefault="00FF4C1A" w:rsidP="00E95EA4">
            <w:pPr>
              <w:rPr>
                <w:rFonts w:ascii="Verdana" w:hAnsi="Verdana"/>
              </w:rPr>
            </w:pPr>
            <w:r>
              <w:rPr>
                <w:rFonts w:ascii="Verdana" w:hAnsi="Verdana"/>
              </w:rPr>
              <w:t xml:space="preserve">David Ball (Vice-Principal: Corporate Services), </w:t>
            </w:r>
            <w:r w:rsidR="00585941" w:rsidRPr="003D3002">
              <w:rPr>
                <w:rFonts w:ascii="Verdana" w:hAnsi="Verdana"/>
              </w:rPr>
              <w:t>Robert Smith (Clerk to the Corporation)</w:t>
            </w:r>
            <w:r w:rsidR="00585941">
              <w:rPr>
                <w:rFonts w:ascii="Verdana" w:hAnsi="Verdana"/>
              </w:rPr>
              <w:t>.</w:t>
            </w:r>
          </w:p>
        </w:tc>
      </w:tr>
    </w:tbl>
    <w:p w14:paraId="38715D39" w14:textId="77777777" w:rsidR="004F4C55" w:rsidRPr="00F97EF9" w:rsidRDefault="004F4C55" w:rsidP="004F4C55">
      <w:pPr>
        <w:rPr>
          <w:rFonts w:ascii="Verdana" w:hAnsi="Verdana"/>
          <w:b/>
        </w:rPr>
      </w:pPr>
    </w:p>
    <w:tbl>
      <w:tblPr>
        <w:tblW w:w="9322" w:type="dxa"/>
        <w:tblLook w:val="04A0" w:firstRow="1" w:lastRow="0" w:firstColumn="1" w:lastColumn="0" w:noHBand="0" w:noVBand="1"/>
      </w:tblPr>
      <w:tblGrid>
        <w:gridCol w:w="534"/>
        <w:gridCol w:w="8788"/>
      </w:tblGrid>
      <w:tr w:rsidR="004F4C55" w:rsidRPr="00F97EF9" w14:paraId="38715D41" w14:textId="77777777" w:rsidTr="00F16D6B">
        <w:tc>
          <w:tcPr>
            <w:tcW w:w="534" w:type="dxa"/>
          </w:tcPr>
          <w:p w14:paraId="38715D3A" w14:textId="77777777" w:rsidR="004F4C55" w:rsidRPr="00580B68" w:rsidRDefault="004F4C55" w:rsidP="00721161">
            <w:pPr>
              <w:rPr>
                <w:rFonts w:ascii="Verdana" w:hAnsi="Verdana"/>
                <w:b/>
              </w:rPr>
            </w:pPr>
            <w:r w:rsidRPr="00580B68">
              <w:rPr>
                <w:rFonts w:ascii="Verdana" w:hAnsi="Verdana"/>
                <w:b/>
              </w:rPr>
              <w:t>1</w:t>
            </w:r>
          </w:p>
        </w:tc>
        <w:tc>
          <w:tcPr>
            <w:tcW w:w="8788" w:type="dxa"/>
          </w:tcPr>
          <w:p w14:paraId="38715D3B" w14:textId="02547F9C" w:rsidR="004F4C55" w:rsidRDefault="004F4C55" w:rsidP="00721161">
            <w:pPr>
              <w:rPr>
                <w:rFonts w:ascii="Verdana" w:hAnsi="Verdana"/>
                <w:b/>
              </w:rPr>
            </w:pPr>
            <w:r w:rsidRPr="00F97EF9">
              <w:rPr>
                <w:rFonts w:ascii="Verdana" w:hAnsi="Verdana"/>
                <w:b/>
              </w:rPr>
              <w:t>Apologies for Absence</w:t>
            </w:r>
            <w:r>
              <w:rPr>
                <w:rFonts w:ascii="Verdana" w:hAnsi="Verdana"/>
                <w:b/>
              </w:rPr>
              <w:t xml:space="preserve"> and Quoracy</w:t>
            </w:r>
          </w:p>
          <w:p w14:paraId="38715D3C" w14:textId="77777777" w:rsidR="004F4C55" w:rsidRDefault="004F4C55" w:rsidP="00721161">
            <w:pPr>
              <w:rPr>
                <w:rFonts w:ascii="Verdana" w:hAnsi="Verdana"/>
                <w:b/>
              </w:rPr>
            </w:pPr>
          </w:p>
          <w:p w14:paraId="38715D3D" w14:textId="5DFB5B82" w:rsidR="003D45B8" w:rsidRDefault="00DD4AC5" w:rsidP="004F4C55">
            <w:pPr>
              <w:rPr>
                <w:rFonts w:ascii="Verdana" w:hAnsi="Verdana"/>
              </w:rPr>
            </w:pPr>
            <w:r>
              <w:rPr>
                <w:rFonts w:ascii="Verdana" w:hAnsi="Verdana"/>
              </w:rPr>
              <w:t xml:space="preserve">Apologies were received from the </w:t>
            </w:r>
            <w:r w:rsidR="00496B99">
              <w:rPr>
                <w:rFonts w:ascii="Verdana" w:hAnsi="Verdana"/>
              </w:rPr>
              <w:t>following external</w:t>
            </w:r>
            <w:r>
              <w:rPr>
                <w:rFonts w:ascii="Verdana" w:hAnsi="Verdana"/>
              </w:rPr>
              <w:t xml:space="preserve"> member</w:t>
            </w:r>
            <w:r w:rsidR="00496B99">
              <w:rPr>
                <w:rFonts w:ascii="Verdana" w:hAnsi="Verdana"/>
              </w:rPr>
              <w:t>s</w:t>
            </w:r>
            <w:r>
              <w:rPr>
                <w:rFonts w:ascii="Verdana" w:hAnsi="Verdana"/>
              </w:rPr>
              <w:t>, Ian Clay</w:t>
            </w:r>
            <w:r w:rsidR="00496B99">
              <w:rPr>
                <w:rFonts w:ascii="Verdana" w:hAnsi="Verdana"/>
              </w:rPr>
              <w:t>, Brian Westbury.</w:t>
            </w:r>
            <w:r w:rsidR="00096B47">
              <w:rPr>
                <w:rFonts w:ascii="Verdana" w:hAnsi="Verdana"/>
              </w:rPr>
              <w:t xml:space="preserve"> </w:t>
            </w:r>
            <w:r w:rsidR="002A5DE0">
              <w:rPr>
                <w:rFonts w:ascii="Verdana" w:hAnsi="Verdana"/>
              </w:rPr>
              <w:t xml:space="preserve"> </w:t>
            </w:r>
          </w:p>
          <w:p w14:paraId="162F20F2" w14:textId="290FA2DB" w:rsidR="00DD4AC5" w:rsidRDefault="00DD4AC5" w:rsidP="004F4C55">
            <w:pPr>
              <w:rPr>
                <w:rFonts w:ascii="Verdana" w:hAnsi="Verdana"/>
              </w:rPr>
            </w:pPr>
          </w:p>
          <w:p w14:paraId="57E77536" w14:textId="3477C498" w:rsidR="00DD4AC5" w:rsidRDefault="00DD4AC5" w:rsidP="004F4C55">
            <w:pPr>
              <w:rPr>
                <w:rFonts w:ascii="Verdana" w:hAnsi="Verdana"/>
              </w:rPr>
            </w:pPr>
            <w:r>
              <w:rPr>
                <w:rFonts w:ascii="Verdana" w:hAnsi="Verdana"/>
              </w:rPr>
              <w:t>The meeting was quorate.</w:t>
            </w:r>
          </w:p>
          <w:p w14:paraId="38715D40" w14:textId="0D43803B" w:rsidR="004F4C55" w:rsidRPr="00F97EF9" w:rsidRDefault="004F4C55" w:rsidP="00962DD1">
            <w:pPr>
              <w:rPr>
                <w:rFonts w:ascii="Verdana" w:hAnsi="Verdana"/>
              </w:rPr>
            </w:pPr>
          </w:p>
        </w:tc>
      </w:tr>
      <w:tr w:rsidR="004F4C55" w:rsidRPr="00F97EF9" w14:paraId="38715D47" w14:textId="77777777" w:rsidTr="00F16D6B">
        <w:tc>
          <w:tcPr>
            <w:tcW w:w="534" w:type="dxa"/>
          </w:tcPr>
          <w:p w14:paraId="38715D42" w14:textId="77777777" w:rsidR="004F4C55" w:rsidRPr="00580B68" w:rsidRDefault="004F4C55" w:rsidP="00721161">
            <w:pPr>
              <w:rPr>
                <w:rFonts w:ascii="Verdana" w:hAnsi="Verdana"/>
                <w:b/>
              </w:rPr>
            </w:pPr>
            <w:r w:rsidRPr="00580B68">
              <w:rPr>
                <w:rFonts w:ascii="Verdana" w:hAnsi="Verdana"/>
                <w:b/>
              </w:rPr>
              <w:t>2</w:t>
            </w:r>
          </w:p>
        </w:tc>
        <w:tc>
          <w:tcPr>
            <w:tcW w:w="8788" w:type="dxa"/>
          </w:tcPr>
          <w:p w14:paraId="38715D43" w14:textId="77777777" w:rsidR="004F4C55" w:rsidRPr="00F97EF9" w:rsidRDefault="004F4C55" w:rsidP="00721161">
            <w:pPr>
              <w:rPr>
                <w:rFonts w:ascii="Verdana" w:hAnsi="Verdana"/>
                <w:b/>
              </w:rPr>
            </w:pPr>
            <w:r w:rsidRPr="00F97EF9">
              <w:rPr>
                <w:rFonts w:ascii="Verdana" w:hAnsi="Verdana"/>
                <w:b/>
              </w:rPr>
              <w:t>Declarations of Interest</w:t>
            </w:r>
          </w:p>
          <w:p w14:paraId="38715D44" w14:textId="77777777" w:rsidR="004F4C55" w:rsidRPr="00F97EF9" w:rsidRDefault="004F4C55" w:rsidP="00721161">
            <w:pPr>
              <w:rPr>
                <w:rFonts w:ascii="Verdana" w:hAnsi="Verdana"/>
              </w:rPr>
            </w:pPr>
          </w:p>
          <w:p w14:paraId="38715D45" w14:textId="77777777" w:rsidR="004F4C55" w:rsidRPr="00580B68" w:rsidRDefault="004F4C55" w:rsidP="00721161">
            <w:pPr>
              <w:rPr>
                <w:rFonts w:ascii="Verdana" w:hAnsi="Verdana"/>
              </w:rPr>
            </w:pPr>
            <w:r>
              <w:rPr>
                <w:rFonts w:ascii="Verdana" w:hAnsi="Verdana"/>
              </w:rPr>
              <w:t>None.</w:t>
            </w:r>
          </w:p>
          <w:p w14:paraId="38715D46" w14:textId="77777777" w:rsidR="004F4C55" w:rsidRPr="00F97EF9" w:rsidRDefault="004F4C55" w:rsidP="00721161">
            <w:pPr>
              <w:rPr>
                <w:rFonts w:ascii="Verdana" w:hAnsi="Verdana"/>
              </w:rPr>
            </w:pPr>
          </w:p>
        </w:tc>
      </w:tr>
      <w:tr w:rsidR="004F4C55" w:rsidRPr="00F97EF9" w14:paraId="38715D4D" w14:textId="77777777" w:rsidTr="00F16D6B">
        <w:tc>
          <w:tcPr>
            <w:tcW w:w="534" w:type="dxa"/>
          </w:tcPr>
          <w:p w14:paraId="38715D48" w14:textId="77777777" w:rsidR="004F4C55" w:rsidRPr="00580B68" w:rsidRDefault="004F4C55" w:rsidP="00721161">
            <w:pPr>
              <w:rPr>
                <w:rFonts w:ascii="Verdana" w:hAnsi="Verdana"/>
                <w:b/>
              </w:rPr>
            </w:pPr>
            <w:r>
              <w:rPr>
                <w:rFonts w:ascii="Verdana" w:hAnsi="Verdana"/>
                <w:b/>
              </w:rPr>
              <w:t>3</w:t>
            </w:r>
          </w:p>
        </w:tc>
        <w:tc>
          <w:tcPr>
            <w:tcW w:w="8788" w:type="dxa"/>
          </w:tcPr>
          <w:p w14:paraId="38715D49" w14:textId="215D3B25" w:rsidR="004F4C55" w:rsidRPr="00F97EF9" w:rsidRDefault="004F4C55" w:rsidP="00721161">
            <w:pPr>
              <w:rPr>
                <w:rFonts w:ascii="Verdana" w:hAnsi="Verdana"/>
                <w:b/>
              </w:rPr>
            </w:pPr>
            <w:r w:rsidRPr="00F97EF9">
              <w:rPr>
                <w:rFonts w:ascii="Verdana" w:hAnsi="Verdana"/>
                <w:b/>
              </w:rPr>
              <w:t>Minutes of the Previous Meeting</w:t>
            </w:r>
            <w:r w:rsidRPr="00F97EF9">
              <w:rPr>
                <w:rFonts w:ascii="Verdana" w:hAnsi="Verdana"/>
              </w:rPr>
              <w:t xml:space="preserve"> </w:t>
            </w:r>
            <w:r w:rsidRPr="00F97EF9">
              <w:rPr>
                <w:rFonts w:ascii="Verdana" w:hAnsi="Verdana"/>
                <w:b/>
              </w:rPr>
              <w:t>(</w:t>
            </w:r>
            <w:r w:rsidR="00181A4F">
              <w:rPr>
                <w:rFonts w:ascii="Verdana" w:hAnsi="Verdana"/>
                <w:b/>
              </w:rPr>
              <w:t xml:space="preserve">6 </w:t>
            </w:r>
            <w:r w:rsidR="00531359">
              <w:rPr>
                <w:rFonts w:ascii="Verdana" w:hAnsi="Verdana"/>
                <w:b/>
              </w:rPr>
              <w:t>February</w:t>
            </w:r>
            <w:r w:rsidR="00181A4F">
              <w:rPr>
                <w:rFonts w:ascii="Verdana" w:hAnsi="Verdana"/>
                <w:b/>
              </w:rPr>
              <w:t xml:space="preserve"> 20</w:t>
            </w:r>
            <w:r w:rsidR="00531359">
              <w:rPr>
                <w:rFonts w:ascii="Verdana" w:hAnsi="Verdana"/>
                <w:b/>
              </w:rPr>
              <w:t>20</w:t>
            </w:r>
            <w:r w:rsidRPr="00F97EF9">
              <w:rPr>
                <w:rFonts w:ascii="Verdana" w:hAnsi="Verdana"/>
                <w:b/>
              </w:rPr>
              <w:t>)</w:t>
            </w:r>
          </w:p>
          <w:p w14:paraId="38715D4A" w14:textId="77777777" w:rsidR="004F4C55" w:rsidRDefault="004F4C55" w:rsidP="00721161">
            <w:pPr>
              <w:rPr>
                <w:rFonts w:ascii="Verdana" w:hAnsi="Verdana"/>
              </w:rPr>
            </w:pPr>
          </w:p>
          <w:p w14:paraId="57A72569" w14:textId="77777777" w:rsidR="00B75056" w:rsidRPr="00CA1B35" w:rsidRDefault="00B75056" w:rsidP="00B75056">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42531140" w14:textId="77777777" w:rsidR="00B75056" w:rsidRDefault="00B75056" w:rsidP="00B75056">
            <w:pPr>
              <w:pStyle w:val="NoSpacing"/>
              <w:rPr>
                <w:rFonts w:ascii="Verdana" w:hAnsi="Verdana"/>
              </w:rPr>
            </w:pPr>
          </w:p>
          <w:p w14:paraId="07C99181" w14:textId="77777777" w:rsidR="00B75056" w:rsidRDefault="00B75056" w:rsidP="00B75056">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38715D4C" w14:textId="77777777" w:rsidR="004F4C55" w:rsidRPr="00F97EF9" w:rsidRDefault="004F4C55" w:rsidP="00721161">
            <w:pPr>
              <w:rPr>
                <w:rFonts w:ascii="Verdana" w:hAnsi="Verdana"/>
              </w:rPr>
            </w:pPr>
          </w:p>
        </w:tc>
      </w:tr>
      <w:tr w:rsidR="004F4C55" w:rsidRPr="00F97EF9" w14:paraId="38715D52" w14:textId="77777777" w:rsidTr="00F16D6B">
        <w:tc>
          <w:tcPr>
            <w:tcW w:w="534" w:type="dxa"/>
          </w:tcPr>
          <w:p w14:paraId="38715D4E" w14:textId="77777777" w:rsidR="004F4C55" w:rsidRPr="00580B68" w:rsidRDefault="004F4C55" w:rsidP="00721161">
            <w:pPr>
              <w:rPr>
                <w:rFonts w:ascii="Verdana" w:hAnsi="Verdana"/>
                <w:b/>
              </w:rPr>
            </w:pPr>
            <w:r>
              <w:rPr>
                <w:rFonts w:ascii="Verdana" w:hAnsi="Verdana"/>
                <w:b/>
              </w:rPr>
              <w:t>4</w:t>
            </w:r>
          </w:p>
        </w:tc>
        <w:tc>
          <w:tcPr>
            <w:tcW w:w="8788" w:type="dxa"/>
          </w:tcPr>
          <w:p w14:paraId="38715D4F" w14:textId="319D7CE1" w:rsidR="004F4C55" w:rsidRPr="00F97EF9" w:rsidRDefault="004F4C55" w:rsidP="00721161">
            <w:pPr>
              <w:rPr>
                <w:rFonts w:ascii="Verdana" w:hAnsi="Verdana"/>
                <w:b/>
              </w:rPr>
            </w:pPr>
            <w:r w:rsidRPr="00F97EF9">
              <w:rPr>
                <w:rFonts w:ascii="Verdana" w:hAnsi="Verdana"/>
                <w:b/>
              </w:rPr>
              <w:t>Matters Arising from the Minutes</w:t>
            </w:r>
            <w:r w:rsidR="005D0C11">
              <w:rPr>
                <w:rFonts w:ascii="Verdana" w:hAnsi="Verdana"/>
                <w:b/>
              </w:rPr>
              <w:t xml:space="preserve"> </w:t>
            </w:r>
            <w:r w:rsidR="005D0C11" w:rsidRPr="00F97EF9">
              <w:rPr>
                <w:rFonts w:ascii="Verdana" w:hAnsi="Verdana"/>
                <w:b/>
              </w:rPr>
              <w:t>(</w:t>
            </w:r>
            <w:r w:rsidR="00531359">
              <w:rPr>
                <w:rFonts w:ascii="Verdana" w:hAnsi="Verdana"/>
                <w:b/>
              </w:rPr>
              <w:t>6 February 2020</w:t>
            </w:r>
            <w:r w:rsidR="005D0C11" w:rsidRPr="00F97EF9">
              <w:rPr>
                <w:rFonts w:ascii="Verdana" w:hAnsi="Verdana"/>
                <w:b/>
              </w:rPr>
              <w:t>)</w:t>
            </w:r>
          </w:p>
          <w:p w14:paraId="38715D50" w14:textId="77777777" w:rsidR="004F4C55" w:rsidRPr="00F97EF9" w:rsidRDefault="004F4C55" w:rsidP="00721161">
            <w:pPr>
              <w:rPr>
                <w:rFonts w:ascii="Verdana" w:hAnsi="Verdana"/>
              </w:rPr>
            </w:pPr>
          </w:p>
          <w:p w14:paraId="5F85E0B6" w14:textId="6BC028DB" w:rsidR="00734ABA" w:rsidRDefault="00531359" w:rsidP="00A1087A">
            <w:pPr>
              <w:rPr>
                <w:rFonts w:ascii="Verdana" w:hAnsi="Verdana"/>
                <w:bCs/>
                <w:iCs/>
              </w:rPr>
            </w:pPr>
            <w:r>
              <w:rPr>
                <w:rFonts w:ascii="Verdana" w:hAnsi="Verdana"/>
                <w:bCs/>
                <w:iCs/>
              </w:rPr>
              <w:t xml:space="preserve">Corporation agreement in principle to the Accelerated Learning Academy, due to have been considered at a meeting of the Corporation on 15 February 2020, </w:t>
            </w:r>
            <w:r w:rsidR="00962DD1">
              <w:rPr>
                <w:rFonts w:ascii="Verdana" w:hAnsi="Verdana"/>
                <w:bCs/>
                <w:iCs/>
              </w:rPr>
              <w:t>had been</w:t>
            </w:r>
            <w:r>
              <w:rPr>
                <w:rFonts w:ascii="Verdana" w:hAnsi="Verdana"/>
                <w:bCs/>
                <w:iCs/>
              </w:rPr>
              <w:t xml:space="preserve"> given on behalf of the Corporation by the Chair acting under the provisions of Chair’s Action. </w:t>
            </w:r>
          </w:p>
          <w:p w14:paraId="6248F963" w14:textId="24943285" w:rsidR="00531359" w:rsidRDefault="00531359" w:rsidP="00A1087A">
            <w:pPr>
              <w:rPr>
                <w:rFonts w:ascii="Verdana" w:hAnsi="Verdana"/>
                <w:bCs/>
                <w:iCs/>
              </w:rPr>
            </w:pPr>
          </w:p>
          <w:p w14:paraId="2FC7C843" w14:textId="6A60CE4C" w:rsidR="00531359" w:rsidRDefault="00531359" w:rsidP="00531359">
            <w:pPr>
              <w:contextualSpacing/>
              <w:rPr>
                <w:rFonts w:ascii="Verdana" w:hAnsi="Verdana" w:cs="Arial"/>
                <w:iCs/>
              </w:rPr>
            </w:pPr>
            <w:r>
              <w:rPr>
                <w:rFonts w:ascii="Verdana" w:hAnsi="Verdana"/>
                <w:iCs/>
              </w:rPr>
              <w:t>A standing</w:t>
            </w:r>
            <w:r>
              <w:rPr>
                <w:rFonts w:ascii="Verdana" w:hAnsi="Verdana" w:cs="Arial"/>
                <w:iCs/>
              </w:rPr>
              <w:t xml:space="preserve"> agendum ha</w:t>
            </w:r>
            <w:r w:rsidR="00962DD1">
              <w:rPr>
                <w:rFonts w:ascii="Verdana" w:hAnsi="Verdana" w:cs="Arial"/>
                <w:iCs/>
              </w:rPr>
              <w:t>d</w:t>
            </w:r>
            <w:r>
              <w:rPr>
                <w:rFonts w:ascii="Verdana" w:hAnsi="Verdana" w:cs="Arial"/>
                <w:iCs/>
              </w:rPr>
              <w:t xml:space="preserve"> been provided at each meeting of the External Relations Committee for reporting </w:t>
            </w:r>
            <w:r w:rsidRPr="00E114A5">
              <w:rPr>
                <w:rFonts w:ascii="Verdana" w:hAnsi="Verdana" w:cs="Arial"/>
                <w:iCs/>
              </w:rPr>
              <w:t>instances of corporate hospitality outside the College</w:t>
            </w:r>
            <w:r>
              <w:rPr>
                <w:rFonts w:ascii="Verdana" w:hAnsi="Verdana" w:cs="Arial"/>
                <w:iCs/>
              </w:rPr>
              <w:t>.</w:t>
            </w:r>
          </w:p>
          <w:p w14:paraId="2329EF83" w14:textId="1AD64750" w:rsidR="00531359" w:rsidRDefault="00531359" w:rsidP="00531359">
            <w:pPr>
              <w:contextualSpacing/>
              <w:rPr>
                <w:rFonts w:ascii="Verdana" w:hAnsi="Verdana" w:cs="Arial"/>
                <w:iCs/>
              </w:rPr>
            </w:pPr>
          </w:p>
          <w:p w14:paraId="6B24D3E6" w14:textId="77777777" w:rsidR="009C1A76" w:rsidRDefault="00531359" w:rsidP="00496B99">
            <w:pPr>
              <w:pStyle w:val="NoSpacing"/>
              <w:rPr>
                <w:rFonts w:ascii="Verdana" w:hAnsi="Verdana" w:cs="Arial"/>
                <w:bCs/>
              </w:rPr>
            </w:pPr>
            <w:r>
              <w:rPr>
                <w:rFonts w:ascii="Verdana" w:hAnsi="Verdana"/>
                <w:iCs/>
              </w:rPr>
              <w:t xml:space="preserve">The purpose of the Audit Committee’s recommendation that the Resources Committee receive and scrutinise </w:t>
            </w:r>
            <w:r w:rsidRPr="00E114A5">
              <w:rPr>
                <w:rFonts w:ascii="Verdana" w:hAnsi="Verdana" w:cs="Arial"/>
                <w:bCs/>
              </w:rPr>
              <w:t>an annual report o</w:t>
            </w:r>
            <w:r>
              <w:rPr>
                <w:rFonts w:ascii="Verdana" w:hAnsi="Verdana" w:cs="Arial"/>
                <w:bCs/>
              </w:rPr>
              <w:t>n the value of</w:t>
            </w:r>
            <w:r w:rsidRPr="00E114A5">
              <w:rPr>
                <w:rFonts w:ascii="Verdana" w:hAnsi="Verdana" w:cs="Arial"/>
                <w:bCs/>
              </w:rPr>
              <w:t xml:space="preserve"> turnover with suppliers</w:t>
            </w:r>
            <w:r>
              <w:rPr>
                <w:rFonts w:ascii="Verdana" w:hAnsi="Verdana"/>
                <w:iCs/>
              </w:rPr>
              <w:t xml:space="preserve"> had been raised with the Audit Committee at its meeting held on 10 March.  The Audit Committee had responded that </w:t>
            </w:r>
            <w:r w:rsidR="00962DD1">
              <w:rPr>
                <w:rFonts w:ascii="Verdana" w:hAnsi="Verdana" w:cs="Arial"/>
                <w:bCs/>
              </w:rPr>
              <w:t xml:space="preserve">the Corporation needs to have an overall view of the value of contracts, and the tender process attending them, for assurance that there are no loopholes as had been </w:t>
            </w:r>
            <w:r w:rsidR="00962DD1" w:rsidRPr="00A45C7F">
              <w:rPr>
                <w:rFonts w:ascii="Verdana" w:hAnsi="Verdana" w:cs="Arial"/>
                <w:bCs/>
              </w:rPr>
              <w:t>identified in the Bournville Report (e.g. two companies under common beneficial ownership having separate dealings with the College).  It had been agreed, however, that the Audit Committee is the proper organ for conducting such oversight.</w:t>
            </w:r>
          </w:p>
          <w:p w14:paraId="38715D51" w14:textId="2227C7B3" w:rsidR="00F16D6B" w:rsidRPr="00496B99" w:rsidRDefault="00F16D6B" w:rsidP="00496B99">
            <w:pPr>
              <w:pStyle w:val="NoSpacing"/>
              <w:rPr>
                <w:rFonts w:ascii="Verdana" w:hAnsi="Verdana" w:cs="Arial"/>
                <w:bCs/>
              </w:rPr>
            </w:pPr>
          </w:p>
        </w:tc>
      </w:tr>
      <w:tr w:rsidR="00485D81" w:rsidRPr="00F97EF9" w14:paraId="2E5DB226" w14:textId="77777777" w:rsidTr="00F16D6B">
        <w:tc>
          <w:tcPr>
            <w:tcW w:w="534" w:type="dxa"/>
          </w:tcPr>
          <w:p w14:paraId="684B0AB6" w14:textId="5D43181A" w:rsidR="00485D81" w:rsidRDefault="00B90F6E" w:rsidP="00734ABA">
            <w:pPr>
              <w:rPr>
                <w:rFonts w:ascii="Verdana" w:hAnsi="Verdana"/>
                <w:b/>
              </w:rPr>
            </w:pPr>
            <w:r>
              <w:rPr>
                <w:rFonts w:ascii="Verdana" w:hAnsi="Verdana"/>
                <w:b/>
              </w:rPr>
              <w:lastRenderedPageBreak/>
              <w:t>5</w:t>
            </w:r>
          </w:p>
        </w:tc>
        <w:tc>
          <w:tcPr>
            <w:tcW w:w="8788" w:type="dxa"/>
          </w:tcPr>
          <w:p w14:paraId="01A96789" w14:textId="77777777" w:rsidR="00485D81" w:rsidRDefault="00485D81" w:rsidP="00485D81">
            <w:pPr>
              <w:rPr>
                <w:rFonts w:ascii="Verdana" w:hAnsi="Verdana"/>
                <w:b/>
              </w:rPr>
            </w:pPr>
            <w:r>
              <w:rPr>
                <w:rFonts w:ascii="Verdana" w:hAnsi="Verdana"/>
                <w:b/>
              </w:rPr>
              <w:t>Risk Management Report</w:t>
            </w:r>
          </w:p>
          <w:p w14:paraId="19F81318" w14:textId="77777777" w:rsidR="00485D81" w:rsidRDefault="00485D81" w:rsidP="00F1530F">
            <w:pPr>
              <w:pStyle w:val="NoSpacing"/>
              <w:rPr>
                <w:rFonts w:ascii="Verdana" w:hAnsi="Verdana"/>
                <w:b/>
              </w:rPr>
            </w:pPr>
          </w:p>
          <w:p w14:paraId="23CCDD43" w14:textId="6C0B2226" w:rsidR="00962DD1" w:rsidRDefault="00962DD1" w:rsidP="00962DD1">
            <w:pPr>
              <w:rPr>
                <w:rFonts w:ascii="Verdana" w:hAnsi="Verdana"/>
                <w:bCs/>
              </w:rPr>
            </w:pPr>
            <w:r>
              <w:rPr>
                <w:rFonts w:ascii="Verdana" w:hAnsi="Verdana"/>
                <w:bCs/>
              </w:rPr>
              <w:t>T</w:t>
            </w:r>
            <w:r w:rsidRPr="00962DD1">
              <w:rPr>
                <w:rFonts w:ascii="Verdana" w:hAnsi="Verdana"/>
                <w:bCs/>
              </w:rPr>
              <w:t xml:space="preserve">he schedule of board level risks </w:t>
            </w:r>
            <w:r>
              <w:rPr>
                <w:rFonts w:ascii="Verdana" w:hAnsi="Verdana"/>
                <w:bCs/>
              </w:rPr>
              <w:t>was received for information</w:t>
            </w:r>
            <w:r w:rsidRPr="00962DD1">
              <w:rPr>
                <w:rFonts w:ascii="Verdana" w:hAnsi="Verdana"/>
                <w:bCs/>
              </w:rPr>
              <w:t xml:space="preserve">.  </w:t>
            </w:r>
            <w:r>
              <w:rPr>
                <w:rFonts w:ascii="Verdana" w:hAnsi="Verdana"/>
                <w:bCs/>
              </w:rPr>
              <w:t>It was noted that n</w:t>
            </w:r>
            <w:r w:rsidRPr="00962DD1">
              <w:rPr>
                <w:rFonts w:ascii="Verdana" w:hAnsi="Verdana"/>
                <w:bCs/>
              </w:rPr>
              <w:t>one are specifically overseen by t</w:t>
            </w:r>
            <w:r>
              <w:rPr>
                <w:rFonts w:ascii="Verdana" w:hAnsi="Verdana"/>
                <w:bCs/>
              </w:rPr>
              <w:t xml:space="preserve">he Resources </w:t>
            </w:r>
            <w:r w:rsidRPr="00962DD1">
              <w:rPr>
                <w:rFonts w:ascii="Verdana" w:hAnsi="Verdana"/>
                <w:bCs/>
              </w:rPr>
              <w:t>Committee</w:t>
            </w:r>
            <w:r w:rsidR="00496B99">
              <w:rPr>
                <w:rFonts w:ascii="Verdana" w:hAnsi="Verdana"/>
                <w:bCs/>
              </w:rPr>
              <w:t>, though it continues to monitor the College’s financial performance and attendant risks as part of its key remit.</w:t>
            </w:r>
          </w:p>
          <w:p w14:paraId="6DFE7944" w14:textId="567F1113" w:rsidR="00962DD1" w:rsidRDefault="00962DD1" w:rsidP="00962DD1">
            <w:pPr>
              <w:rPr>
                <w:rFonts w:ascii="Verdana" w:hAnsi="Verdana"/>
                <w:bCs/>
              </w:rPr>
            </w:pPr>
          </w:p>
          <w:p w14:paraId="0DBF9897" w14:textId="576856E1" w:rsidR="00962DD1" w:rsidRPr="00962DD1" w:rsidRDefault="00962DD1" w:rsidP="00962DD1">
            <w:pPr>
              <w:rPr>
                <w:rFonts w:ascii="Verdana" w:hAnsi="Verdana"/>
                <w:bCs/>
              </w:rPr>
            </w:pPr>
            <w:r>
              <w:rPr>
                <w:rFonts w:ascii="Verdana" w:hAnsi="Verdana"/>
                <w:bCs/>
              </w:rPr>
              <w:t xml:space="preserve">No hitherto unidentified risks falling within the Committee’s remit were identified in the course of the meeting as </w:t>
            </w:r>
            <w:r w:rsidR="007C4167">
              <w:rPr>
                <w:rFonts w:ascii="Verdana" w:hAnsi="Verdana"/>
                <w:bCs/>
              </w:rPr>
              <w:t>requiring</w:t>
            </w:r>
            <w:r>
              <w:rPr>
                <w:rFonts w:ascii="Verdana" w:hAnsi="Verdana"/>
                <w:bCs/>
              </w:rPr>
              <w:t xml:space="preserve"> the attention of the Audit Committee.</w:t>
            </w:r>
          </w:p>
          <w:p w14:paraId="21E6CD46" w14:textId="5702DC5E" w:rsidR="00B0018F" w:rsidRPr="00B90F6E" w:rsidRDefault="00B0018F" w:rsidP="00AA02CF">
            <w:pPr>
              <w:rPr>
                <w:rFonts w:ascii="Verdana" w:hAnsi="Verdana"/>
                <w:bCs/>
              </w:rPr>
            </w:pPr>
          </w:p>
        </w:tc>
      </w:tr>
      <w:tr w:rsidR="00832DCB" w:rsidRPr="00F97EF9" w14:paraId="710785AD" w14:textId="77777777" w:rsidTr="00F16D6B">
        <w:tc>
          <w:tcPr>
            <w:tcW w:w="534" w:type="dxa"/>
          </w:tcPr>
          <w:p w14:paraId="3EE1B145" w14:textId="48A02DDE" w:rsidR="00832DCB" w:rsidRDefault="00832DCB" w:rsidP="00734ABA">
            <w:pPr>
              <w:rPr>
                <w:rFonts w:ascii="Verdana" w:hAnsi="Verdana"/>
                <w:b/>
              </w:rPr>
            </w:pPr>
            <w:r>
              <w:rPr>
                <w:rFonts w:ascii="Verdana" w:hAnsi="Verdana"/>
                <w:b/>
              </w:rPr>
              <w:t>6</w:t>
            </w:r>
          </w:p>
        </w:tc>
        <w:tc>
          <w:tcPr>
            <w:tcW w:w="8788" w:type="dxa"/>
          </w:tcPr>
          <w:p w14:paraId="396E9801" w14:textId="77777777" w:rsidR="00832DCB" w:rsidRDefault="00832DCB" w:rsidP="00832DCB">
            <w:pPr>
              <w:pStyle w:val="NoSpacing"/>
            </w:pPr>
            <w:r>
              <w:rPr>
                <w:rFonts w:ascii="Verdana" w:hAnsi="Verdana"/>
                <w:b/>
              </w:rPr>
              <w:t>Management Accounts 2019-20</w:t>
            </w:r>
            <w:r w:rsidRPr="00126685">
              <w:rPr>
                <w:rFonts w:ascii="Verdana" w:hAnsi="Verdana"/>
                <w:b/>
              </w:rPr>
              <w:t xml:space="preserve"> </w:t>
            </w:r>
            <w:r>
              <w:rPr>
                <w:rFonts w:ascii="Verdana" w:hAnsi="Verdana"/>
                <w:b/>
              </w:rPr>
              <w:t>to Period 10</w:t>
            </w:r>
            <w:r w:rsidRPr="00CF3270">
              <w:rPr>
                <w:rFonts w:ascii="Verdana" w:hAnsi="Verdana"/>
                <w:b/>
              </w:rPr>
              <w:t xml:space="preserve">: </w:t>
            </w:r>
            <w:r>
              <w:rPr>
                <w:rFonts w:ascii="Verdana" w:hAnsi="Verdana"/>
                <w:b/>
              </w:rPr>
              <w:t>31 May 2020</w:t>
            </w:r>
          </w:p>
          <w:p w14:paraId="01F4FEEA" w14:textId="77777777" w:rsidR="00832DCB" w:rsidRDefault="00832DCB" w:rsidP="00485D81">
            <w:pPr>
              <w:rPr>
                <w:rFonts w:ascii="Verdana" w:hAnsi="Verdana"/>
                <w:b/>
              </w:rPr>
            </w:pPr>
          </w:p>
          <w:p w14:paraId="6E01F376" w14:textId="77777777" w:rsidR="00832DCB" w:rsidRDefault="00832DCB" w:rsidP="00832DCB">
            <w:pPr>
              <w:contextualSpacing/>
              <w:rPr>
                <w:rFonts w:ascii="Verdana" w:hAnsi="Verdana"/>
              </w:rPr>
            </w:pPr>
            <w:r w:rsidRPr="00D877EE">
              <w:rPr>
                <w:rFonts w:ascii="Verdana" w:hAnsi="Verdana"/>
              </w:rPr>
              <w:t>A report prepared by the Vice Principal: Corporate Services and the Finance Manager</w:t>
            </w:r>
            <w:r>
              <w:rPr>
                <w:rFonts w:ascii="Verdana" w:hAnsi="Verdana"/>
              </w:rPr>
              <w:t xml:space="preserve"> was</w:t>
            </w:r>
            <w:r w:rsidRPr="00D877EE">
              <w:rPr>
                <w:rFonts w:ascii="Verdana" w:hAnsi="Verdana"/>
              </w:rPr>
              <w:t xml:space="preserve"> received and considered. </w:t>
            </w:r>
          </w:p>
          <w:p w14:paraId="1B32DAEF" w14:textId="77777777" w:rsidR="00832DCB" w:rsidRDefault="00832DCB" w:rsidP="00832DCB">
            <w:pPr>
              <w:contextualSpacing/>
              <w:rPr>
                <w:rFonts w:ascii="Verdana" w:hAnsi="Verdana"/>
              </w:rPr>
            </w:pPr>
          </w:p>
          <w:p w14:paraId="735A7A02" w14:textId="4258C5CC" w:rsidR="00832DCB" w:rsidRPr="00832DCB" w:rsidRDefault="00832DCB" w:rsidP="00485D81">
            <w:pPr>
              <w:contextualSpacing/>
              <w:rPr>
                <w:rFonts w:ascii="Verdana" w:hAnsi="Verdana"/>
              </w:rPr>
            </w:pPr>
            <w:r>
              <w:rPr>
                <w:rFonts w:ascii="Verdana" w:hAnsi="Verdana"/>
              </w:rPr>
              <w:t>It was noted that:</w:t>
            </w:r>
            <w:r w:rsidRPr="00D877EE">
              <w:rPr>
                <w:rFonts w:ascii="Verdana" w:hAnsi="Verdana"/>
              </w:rPr>
              <w:t xml:space="preserve"> </w:t>
            </w:r>
          </w:p>
        </w:tc>
      </w:tr>
    </w:tbl>
    <w:p w14:paraId="2FB3F2C6" w14:textId="1CE80E79" w:rsidR="00FB3FEE" w:rsidRDefault="00FB3FEE"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903EF2" w:rsidRPr="00B446C1" w14:paraId="116B9C8C" w14:textId="77777777" w:rsidTr="00F16D6B">
        <w:tc>
          <w:tcPr>
            <w:tcW w:w="562" w:type="dxa"/>
          </w:tcPr>
          <w:p w14:paraId="32852F57" w14:textId="77777777" w:rsidR="00903EF2" w:rsidRPr="003638BE" w:rsidRDefault="00903EF2" w:rsidP="00903EF2">
            <w:pPr>
              <w:rPr>
                <w:rFonts w:ascii="Verdana" w:hAnsi="Verdana"/>
              </w:rPr>
            </w:pPr>
          </w:p>
        </w:tc>
        <w:tc>
          <w:tcPr>
            <w:tcW w:w="426" w:type="dxa"/>
          </w:tcPr>
          <w:p w14:paraId="3A75D926" w14:textId="77777777" w:rsidR="00903EF2" w:rsidRPr="003638BE" w:rsidRDefault="00903EF2" w:rsidP="00903EF2">
            <w:pPr>
              <w:rPr>
                <w:rFonts w:ascii="Verdana" w:hAnsi="Verdana"/>
                <w:b/>
                <w:bCs/>
              </w:rPr>
            </w:pPr>
            <w:r>
              <w:rPr>
                <w:rFonts w:ascii="Verdana" w:hAnsi="Verdana"/>
                <w:b/>
                <w:bCs/>
              </w:rPr>
              <w:t>.</w:t>
            </w:r>
          </w:p>
        </w:tc>
        <w:tc>
          <w:tcPr>
            <w:tcW w:w="8363" w:type="dxa"/>
          </w:tcPr>
          <w:p w14:paraId="6B5F4FC6" w14:textId="77777777" w:rsidR="00903EF2" w:rsidRPr="00832DCB" w:rsidRDefault="00903EF2" w:rsidP="00903EF2">
            <w:pPr>
              <w:contextualSpacing/>
              <w:rPr>
                <w:rFonts w:ascii="Verdana" w:hAnsi="Verdana" w:cs="Arial"/>
              </w:rPr>
            </w:pPr>
            <w:r w:rsidRPr="00832DCB">
              <w:rPr>
                <w:rFonts w:ascii="Verdana" w:hAnsi="Verdana" w:cs="Arial"/>
              </w:rPr>
              <w:t>a deficit of £250,000 is projected at 31 July 2020 (budget: £268,000);</w:t>
            </w:r>
          </w:p>
          <w:p w14:paraId="5D25FE77" w14:textId="77777777" w:rsidR="00903EF2" w:rsidRPr="00B446C1" w:rsidRDefault="00903EF2" w:rsidP="00903EF2">
            <w:pPr>
              <w:rPr>
                <w:rFonts w:ascii="Verdana" w:hAnsi="Verdana"/>
              </w:rPr>
            </w:pPr>
          </w:p>
        </w:tc>
      </w:tr>
      <w:tr w:rsidR="00903EF2" w:rsidRPr="00B446C1" w14:paraId="068DAE69" w14:textId="77777777" w:rsidTr="00F16D6B">
        <w:tc>
          <w:tcPr>
            <w:tcW w:w="562" w:type="dxa"/>
          </w:tcPr>
          <w:p w14:paraId="68616E90" w14:textId="77777777" w:rsidR="00903EF2" w:rsidRPr="003638BE" w:rsidRDefault="00903EF2" w:rsidP="00903EF2">
            <w:pPr>
              <w:rPr>
                <w:rFonts w:ascii="Verdana" w:hAnsi="Verdana"/>
              </w:rPr>
            </w:pPr>
          </w:p>
        </w:tc>
        <w:tc>
          <w:tcPr>
            <w:tcW w:w="426" w:type="dxa"/>
          </w:tcPr>
          <w:p w14:paraId="7CDB83FE" w14:textId="77777777" w:rsidR="00903EF2" w:rsidRDefault="00903EF2" w:rsidP="00903EF2">
            <w:pPr>
              <w:rPr>
                <w:rFonts w:ascii="Verdana" w:hAnsi="Verdana"/>
                <w:b/>
                <w:bCs/>
              </w:rPr>
            </w:pPr>
            <w:r>
              <w:rPr>
                <w:rFonts w:ascii="Verdana" w:hAnsi="Verdana"/>
                <w:b/>
                <w:bCs/>
              </w:rPr>
              <w:t>.</w:t>
            </w:r>
          </w:p>
        </w:tc>
        <w:tc>
          <w:tcPr>
            <w:tcW w:w="8363" w:type="dxa"/>
          </w:tcPr>
          <w:p w14:paraId="42846115" w14:textId="54EC7D69" w:rsidR="00903EF2" w:rsidRPr="00832DCB" w:rsidRDefault="00903EF2" w:rsidP="00903EF2">
            <w:pPr>
              <w:contextualSpacing/>
              <w:rPr>
                <w:rFonts w:ascii="Verdana" w:hAnsi="Verdana"/>
              </w:rPr>
            </w:pPr>
            <w:r w:rsidRPr="00832DCB">
              <w:rPr>
                <w:rFonts w:ascii="Verdana" w:hAnsi="Verdana"/>
              </w:rPr>
              <w:t>the ESFA fundable student numbers for 2019/20 are 1,709;</w:t>
            </w:r>
          </w:p>
          <w:p w14:paraId="1BFEE532" w14:textId="77777777" w:rsidR="00903EF2" w:rsidRPr="00B446C1" w:rsidRDefault="00903EF2" w:rsidP="00903EF2">
            <w:pPr>
              <w:rPr>
                <w:rFonts w:ascii="Verdana" w:hAnsi="Verdana"/>
              </w:rPr>
            </w:pPr>
          </w:p>
        </w:tc>
      </w:tr>
      <w:tr w:rsidR="00903EF2" w:rsidRPr="00B446C1" w14:paraId="0862E930" w14:textId="77777777" w:rsidTr="00F16D6B">
        <w:tc>
          <w:tcPr>
            <w:tcW w:w="562" w:type="dxa"/>
          </w:tcPr>
          <w:p w14:paraId="0468B941" w14:textId="77777777" w:rsidR="00903EF2" w:rsidRPr="003638BE" w:rsidRDefault="00903EF2" w:rsidP="00903EF2">
            <w:pPr>
              <w:rPr>
                <w:rFonts w:ascii="Verdana" w:hAnsi="Verdana"/>
              </w:rPr>
            </w:pPr>
          </w:p>
        </w:tc>
        <w:tc>
          <w:tcPr>
            <w:tcW w:w="426" w:type="dxa"/>
          </w:tcPr>
          <w:p w14:paraId="4097B48D" w14:textId="77777777" w:rsidR="00903EF2" w:rsidRPr="003638BE" w:rsidRDefault="00903EF2" w:rsidP="00903EF2">
            <w:pPr>
              <w:rPr>
                <w:rFonts w:ascii="Verdana" w:hAnsi="Verdana"/>
                <w:b/>
                <w:bCs/>
              </w:rPr>
            </w:pPr>
            <w:r>
              <w:rPr>
                <w:rFonts w:ascii="Verdana" w:hAnsi="Verdana"/>
                <w:b/>
                <w:bCs/>
              </w:rPr>
              <w:t>.</w:t>
            </w:r>
          </w:p>
        </w:tc>
        <w:tc>
          <w:tcPr>
            <w:tcW w:w="8363" w:type="dxa"/>
          </w:tcPr>
          <w:p w14:paraId="6B8D29BC" w14:textId="4E6EBAF8" w:rsidR="00903EF2" w:rsidRPr="00832DCB" w:rsidRDefault="00903EF2" w:rsidP="00903EF2">
            <w:pPr>
              <w:rPr>
                <w:rFonts w:ascii="Verdana" w:hAnsi="Verdana"/>
              </w:rPr>
            </w:pPr>
            <w:r w:rsidRPr="00832DCB">
              <w:rPr>
                <w:rFonts w:ascii="Verdana" w:hAnsi="Verdana"/>
              </w:rPr>
              <w:t>the College is fully compliant with bank loan covenants</w:t>
            </w:r>
            <w:r w:rsidR="00FD0576">
              <w:rPr>
                <w:rFonts w:ascii="Verdana" w:hAnsi="Verdana"/>
              </w:rPr>
              <w:t xml:space="preserve">, with </w:t>
            </w:r>
            <w:r w:rsidRPr="00832DCB">
              <w:rPr>
                <w:rFonts w:ascii="Verdana" w:hAnsi="Verdana"/>
              </w:rPr>
              <w:t xml:space="preserve">the loan </w:t>
            </w:r>
            <w:r w:rsidR="00FD0576">
              <w:rPr>
                <w:rFonts w:ascii="Verdana" w:hAnsi="Verdana"/>
              </w:rPr>
              <w:t>having been</w:t>
            </w:r>
            <w:r w:rsidRPr="00832DCB">
              <w:rPr>
                <w:rFonts w:ascii="Verdana" w:hAnsi="Verdana"/>
              </w:rPr>
              <w:t xml:space="preserve"> fully repaid in January 2020;</w:t>
            </w:r>
          </w:p>
          <w:p w14:paraId="066C3CA9" w14:textId="77777777" w:rsidR="00903EF2" w:rsidRPr="00B446C1" w:rsidRDefault="00903EF2" w:rsidP="00903EF2">
            <w:pPr>
              <w:rPr>
                <w:rFonts w:ascii="Verdana" w:hAnsi="Verdana"/>
              </w:rPr>
            </w:pPr>
          </w:p>
        </w:tc>
      </w:tr>
      <w:tr w:rsidR="00903EF2" w:rsidRPr="00B446C1" w14:paraId="6695DFDE" w14:textId="77777777" w:rsidTr="00F16D6B">
        <w:tc>
          <w:tcPr>
            <w:tcW w:w="562" w:type="dxa"/>
          </w:tcPr>
          <w:p w14:paraId="559886B1" w14:textId="77777777" w:rsidR="00903EF2" w:rsidRPr="003638BE" w:rsidRDefault="00903EF2" w:rsidP="00903EF2">
            <w:pPr>
              <w:rPr>
                <w:rFonts w:ascii="Verdana" w:hAnsi="Verdana"/>
              </w:rPr>
            </w:pPr>
          </w:p>
        </w:tc>
        <w:tc>
          <w:tcPr>
            <w:tcW w:w="426" w:type="dxa"/>
          </w:tcPr>
          <w:p w14:paraId="57740D3D" w14:textId="77777777" w:rsidR="00903EF2" w:rsidRPr="003638BE" w:rsidRDefault="00903EF2" w:rsidP="00903EF2">
            <w:pPr>
              <w:rPr>
                <w:rFonts w:ascii="Verdana" w:hAnsi="Verdana"/>
                <w:b/>
                <w:bCs/>
              </w:rPr>
            </w:pPr>
            <w:r>
              <w:rPr>
                <w:rFonts w:ascii="Verdana" w:hAnsi="Verdana"/>
                <w:b/>
                <w:bCs/>
              </w:rPr>
              <w:t>.</w:t>
            </w:r>
          </w:p>
        </w:tc>
        <w:tc>
          <w:tcPr>
            <w:tcW w:w="8363" w:type="dxa"/>
          </w:tcPr>
          <w:p w14:paraId="2186F999" w14:textId="611BDADA" w:rsidR="00903EF2" w:rsidRPr="00CE101A" w:rsidRDefault="00903EF2" w:rsidP="00903EF2">
            <w:pPr>
              <w:rPr>
                <w:rFonts w:ascii="Verdana" w:hAnsi="Verdana"/>
              </w:rPr>
            </w:pPr>
            <w:r w:rsidRPr="00CE101A">
              <w:rPr>
                <w:rFonts w:ascii="Verdana" w:hAnsi="Verdana"/>
              </w:rPr>
              <w:t xml:space="preserve">pay as a percentage of income is forecast to be around 69% at </w:t>
            </w:r>
            <w:r w:rsidR="00FD0576">
              <w:rPr>
                <w:rFonts w:ascii="Verdana" w:hAnsi="Verdana"/>
              </w:rPr>
              <w:t xml:space="preserve">the </w:t>
            </w:r>
            <w:r w:rsidRPr="00CE101A">
              <w:rPr>
                <w:rFonts w:ascii="Verdana" w:hAnsi="Verdana"/>
              </w:rPr>
              <w:t>year-end (budget 72.3%);</w:t>
            </w:r>
          </w:p>
          <w:p w14:paraId="3F99C1DD" w14:textId="77777777" w:rsidR="00903EF2" w:rsidRPr="00B446C1" w:rsidRDefault="00903EF2" w:rsidP="00903EF2">
            <w:pPr>
              <w:rPr>
                <w:rFonts w:ascii="Verdana" w:hAnsi="Verdana"/>
              </w:rPr>
            </w:pPr>
          </w:p>
        </w:tc>
      </w:tr>
      <w:tr w:rsidR="00903EF2" w:rsidRPr="00B446C1" w14:paraId="7C1F437D" w14:textId="77777777" w:rsidTr="00F16D6B">
        <w:tc>
          <w:tcPr>
            <w:tcW w:w="562" w:type="dxa"/>
          </w:tcPr>
          <w:p w14:paraId="1EBA3DAA" w14:textId="77777777" w:rsidR="00903EF2" w:rsidRPr="003638BE" w:rsidRDefault="00903EF2" w:rsidP="00903EF2">
            <w:pPr>
              <w:rPr>
                <w:rFonts w:ascii="Verdana" w:hAnsi="Verdana"/>
              </w:rPr>
            </w:pPr>
          </w:p>
        </w:tc>
        <w:tc>
          <w:tcPr>
            <w:tcW w:w="426" w:type="dxa"/>
          </w:tcPr>
          <w:p w14:paraId="69DC5974" w14:textId="77777777" w:rsidR="00903EF2" w:rsidRPr="003638BE" w:rsidRDefault="00903EF2" w:rsidP="00903EF2">
            <w:pPr>
              <w:rPr>
                <w:rFonts w:ascii="Verdana" w:hAnsi="Verdana"/>
                <w:b/>
                <w:bCs/>
              </w:rPr>
            </w:pPr>
            <w:r>
              <w:rPr>
                <w:rFonts w:ascii="Verdana" w:hAnsi="Verdana"/>
                <w:b/>
                <w:bCs/>
              </w:rPr>
              <w:t>.</w:t>
            </w:r>
          </w:p>
        </w:tc>
        <w:tc>
          <w:tcPr>
            <w:tcW w:w="8363" w:type="dxa"/>
          </w:tcPr>
          <w:p w14:paraId="5222366D" w14:textId="77777777" w:rsidR="00903EF2" w:rsidRPr="00CE101A" w:rsidRDefault="00903EF2" w:rsidP="00903EF2">
            <w:pPr>
              <w:rPr>
                <w:rFonts w:ascii="Verdana" w:hAnsi="Verdana"/>
                <w:i/>
                <w:iCs/>
              </w:rPr>
            </w:pPr>
            <w:r w:rsidRPr="00CE101A">
              <w:rPr>
                <w:rFonts w:ascii="Verdana" w:hAnsi="Verdana"/>
              </w:rPr>
              <w:t xml:space="preserve">the in-year forecast includes a 1.5% pay rise from 1 September 2019 and a further 1.25% from 1 April 2020 </w:t>
            </w:r>
            <w:r>
              <w:rPr>
                <w:rFonts w:ascii="Verdana" w:hAnsi="Verdana"/>
              </w:rPr>
              <w:t>increase</w:t>
            </w:r>
            <w:r w:rsidRPr="00CE101A">
              <w:rPr>
                <w:rFonts w:ascii="Verdana" w:hAnsi="Verdana"/>
              </w:rPr>
              <w:t xml:space="preserve"> for all staff as agreed at a national level between employer and employee representatives;</w:t>
            </w:r>
            <w:r>
              <w:rPr>
                <w:rFonts w:ascii="Verdana" w:hAnsi="Verdana"/>
              </w:rPr>
              <w:t xml:space="preserve"> </w:t>
            </w:r>
            <w:r>
              <w:rPr>
                <w:rFonts w:ascii="Verdana" w:hAnsi="Verdana"/>
                <w:i/>
                <w:iCs/>
              </w:rPr>
              <w:t>and</w:t>
            </w:r>
          </w:p>
          <w:p w14:paraId="6F028189" w14:textId="77777777" w:rsidR="00903EF2" w:rsidRPr="00B446C1" w:rsidRDefault="00903EF2" w:rsidP="00903EF2">
            <w:pPr>
              <w:rPr>
                <w:rFonts w:ascii="Verdana" w:hAnsi="Verdana"/>
                <w:i/>
                <w:iCs/>
              </w:rPr>
            </w:pPr>
          </w:p>
        </w:tc>
      </w:tr>
      <w:tr w:rsidR="00903EF2" w:rsidRPr="00B446C1" w14:paraId="39CEA3CE" w14:textId="77777777" w:rsidTr="00F16D6B">
        <w:tc>
          <w:tcPr>
            <w:tcW w:w="562" w:type="dxa"/>
          </w:tcPr>
          <w:p w14:paraId="566D068C" w14:textId="77777777" w:rsidR="00903EF2" w:rsidRPr="003638BE" w:rsidRDefault="00903EF2" w:rsidP="00903EF2">
            <w:pPr>
              <w:rPr>
                <w:rFonts w:ascii="Verdana" w:hAnsi="Verdana"/>
              </w:rPr>
            </w:pPr>
          </w:p>
        </w:tc>
        <w:tc>
          <w:tcPr>
            <w:tcW w:w="426" w:type="dxa"/>
          </w:tcPr>
          <w:p w14:paraId="2FA117AE" w14:textId="77777777" w:rsidR="00903EF2" w:rsidRPr="003638BE" w:rsidRDefault="00903EF2" w:rsidP="00903EF2">
            <w:pPr>
              <w:rPr>
                <w:rFonts w:ascii="Verdana" w:hAnsi="Verdana"/>
                <w:b/>
                <w:bCs/>
              </w:rPr>
            </w:pPr>
            <w:r>
              <w:rPr>
                <w:rFonts w:ascii="Verdana" w:hAnsi="Verdana"/>
                <w:b/>
                <w:bCs/>
              </w:rPr>
              <w:t>.</w:t>
            </w:r>
          </w:p>
        </w:tc>
        <w:tc>
          <w:tcPr>
            <w:tcW w:w="8363" w:type="dxa"/>
          </w:tcPr>
          <w:p w14:paraId="1B515075" w14:textId="058ED742" w:rsidR="00903EF2" w:rsidRPr="00B446C1" w:rsidRDefault="00903EF2" w:rsidP="00903EF2">
            <w:pPr>
              <w:rPr>
                <w:rFonts w:ascii="Verdana" w:hAnsi="Verdana"/>
              </w:rPr>
            </w:pPr>
            <w:r>
              <w:rPr>
                <w:rFonts w:ascii="Verdana" w:hAnsi="Verdana"/>
              </w:rPr>
              <w:t>a</w:t>
            </w:r>
            <w:r w:rsidRPr="00CE101A">
              <w:rPr>
                <w:rFonts w:ascii="Verdana" w:hAnsi="Verdana"/>
              </w:rPr>
              <w:t>ll overseas trips ha</w:t>
            </w:r>
            <w:r>
              <w:rPr>
                <w:rFonts w:ascii="Verdana" w:hAnsi="Verdana"/>
              </w:rPr>
              <w:t>d</w:t>
            </w:r>
            <w:r w:rsidRPr="00CE101A">
              <w:rPr>
                <w:rFonts w:ascii="Verdana" w:hAnsi="Verdana"/>
              </w:rPr>
              <w:t xml:space="preserve"> been cancelled</w:t>
            </w:r>
            <w:r>
              <w:rPr>
                <w:rFonts w:ascii="Verdana" w:hAnsi="Verdana"/>
              </w:rPr>
              <w:t xml:space="preserve"> and other Covid-19 mitigation expenses incurred at a</w:t>
            </w:r>
            <w:r w:rsidRPr="00CE101A">
              <w:rPr>
                <w:rFonts w:ascii="Verdana" w:hAnsi="Verdana"/>
              </w:rPr>
              <w:t xml:space="preserve"> cost to the College of £53,000</w:t>
            </w:r>
            <w:r>
              <w:rPr>
                <w:rFonts w:ascii="Verdana" w:hAnsi="Verdana"/>
              </w:rPr>
              <w:t>.</w:t>
            </w:r>
          </w:p>
        </w:tc>
      </w:tr>
    </w:tbl>
    <w:p w14:paraId="6129ED56" w14:textId="2082EA9D" w:rsidR="002276CA" w:rsidRDefault="002276CA" w:rsidP="004F4C55"/>
    <w:tbl>
      <w:tblPr>
        <w:tblW w:w="9322" w:type="dxa"/>
        <w:tblLook w:val="04A0" w:firstRow="1" w:lastRow="0" w:firstColumn="1" w:lastColumn="0" w:noHBand="0" w:noVBand="1"/>
      </w:tblPr>
      <w:tblGrid>
        <w:gridCol w:w="534"/>
        <w:gridCol w:w="8788"/>
      </w:tblGrid>
      <w:tr w:rsidR="00CE101A" w:rsidRPr="00832DCB" w14:paraId="4D748092" w14:textId="77777777" w:rsidTr="00F16D6B">
        <w:tc>
          <w:tcPr>
            <w:tcW w:w="534" w:type="dxa"/>
          </w:tcPr>
          <w:p w14:paraId="176C0B92" w14:textId="54D85378" w:rsidR="00CE101A" w:rsidRDefault="00CE101A" w:rsidP="0075391C">
            <w:pPr>
              <w:rPr>
                <w:rFonts w:ascii="Verdana" w:hAnsi="Verdana"/>
                <w:b/>
              </w:rPr>
            </w:pPr>
          </w:p>
        </w:tc>
        <w:tc>
          <w:tcPr>
            <w:tcW w:w="8788" w:type="dxa"/>
          </w:tcPr>
          <w:p w14:paraId="26EC2C84" w14:textId="1A8D7DF2" w:rsidR="00CE101A" w:rsidRPr="00832DCB" w:rsidRDefault="00CE101A" w:rsidP="0075391C">
            <w:pPr>
              <w:contextualSpacing/>
              <w:rPr>
                <w:rFonts w:ascii="Verdana" w:hAnsi="Verdana"/>
              </w:rPr>
            </w:pPr>
            <w:r>
              <w:rPr>
                <w:rFonts w:ascii="Verdana" w:hAnsi="Verdana"/>
              </w:rPr>
              <w:t>In relation to relevant KPIs, it was reported that:</w:t>
            </w:r>
          </w:p>
        </w:tc>
      </w:tr>
    </w:tbl>
    <w:p w14:paraId="596F51DD" w14:textId="4620B8F7" w:rsidR="002276CA" w:rsidRDefault="002276CA"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903EF2" w:rsidRPr="00B446C1" w14:paraId="7EA77859" w14:textId="77777777" w:rsidTr="00F16D6B">
        <w:tc>
          <w:tcPr>
            <w:tcW w:w="562" w:type="dxa"/>
          </w:tcPr>
          <w:p w14:paraId="66BCA1D4" w14:textId="77777777" w:rsidR="00903EF2" w:rsidRPr="003638BE" w:rsidRDefault="00903EF2" w:rsidP="00903EF2">
            <w:pPr>
              <w:rPr>
                <w:rFonts w:ascii="Verdana" w:hAnsi="Verdana"/>
              </w:rPr>
            </w:pPr>
          </w:p>
        </w:tc>
        <w:tc>
          <w:tcPr>
            <w:tcW w:w="426" w:type="dxa"/>
          </w:tcPr>
          <w:p w14:paraId="6D99370D" w14:textId="77777777" w:rsidR="00903EF2" w:rsidRPr="003638BE" w:rsidRDefault="00903EF2" w:rsidP="00903EF2">
            <w:pPr>
              <w:rPr>
                <w:rFonts w:ascii="Verdana" w:hAnsi="Verdana"/>
                <w:b/>
                <w:bCs/>
              </w:rPr>
            </w:pPr>
            <w:r>
              <w:rPr>
                <w:rFonts w:ascii="Verdana" w:hAnsi="Verdana"/>
                <w:b/>
                <w:bCs/>
              </w:rPr>
              <w:t>.</w:t>
            </w:r>
          </w:p>
        </w:tc>
        <w:tc>
          <w:tcPr>
            <w:tcW w:w="8363" w:type="dxa"/>
          </w:tcPr>
          <w:p w14:paraId="44B7DB36" w14:textId="77777777" w:rsidR="00903EF2" w:rsidRPr="00A75E90" w:rsidRDefault="00903EF2" w:rsidP="00903EF2">
            <w:pPr>
              <w:contextualSpacing/>
              <w:rPr>
                <w:rFonts w:ascii="Verdana" w:hAnsi="Verdana" w:cs="Arial"/>
              </w:rPr>
            </w:pPr>
            <w:r w:rsidRPr="00A75E90">
              <w:rPr>
                <w:rFonts w:ascii="Verdana" w:hAnsi="Verdana" w:cs="Arial"/>
              </w:rPr>
              <w:t>there are no current issues;</w:t>
            </w:r>
          </w:p>
          <w:p w14:paraId="37BADE93" w14:textId="77777777" w:rsidR="00903EF2" w:rsidRPr="00B446C1" w:rsidRDefault="00903EF2" w:rsidP="00903EF2">
            <w:pPr>
              <w:rPr>
                <w:rFonts w:ascii="Verdana" w:hAnsi="Verdana"/>
              </w:rPr>
            </w:pPr>
          </w:p>
        </w:tc>
      </w:tr>
      <w:tr w:rsidR="00903EF2" w:rsidRPr="00B446C1" w14:paraId="375D43E3" w14:textId="77777777" w:rsidTr="00F16D6B">
        <w:tc>
          <w:tcPr>
            <w:tcW w:w="562" w:type="dxa"/>
          </w:tcPr>
          <w:p w14:paraId="79C0F653" w14:textId="77777777" w:rsidR="00903EF2" w:rsidRPr="003638BE" w:rsidRDefault="00903EF2" w:rsidP="00903EF2">
            <w:pPr>
              <w:rPr>
                <w:rFonts w:ascii="Verdana" w:hAnsi="Verdana"/>
              </w:rPr>
            </w:pPr>
          </w:p>
        </w:tc>
        <w:tc>
          <w:tcPr>
            <w:tcW w:w="426" w:type="dxa"/>
          </w:tcPr>
          <w:p w14:paraId="7AB6C210" w14:textId="77777777" w:rsidR="00903EF2" w:rsidRDefault="00903EF2" w:rsidP="00903EF2">
            <w:pPr>
              <w:rPr>
                <w:rFonts w:ascii="Verdana" w:hAnsi="Verdana"/>
                <w:b/>
                <w:bCs/>
              </w:rPr>
            </w:pPr>
            <w:r>
              <w:rPr>
                <w:rFonts w:ascii="Verdana" w:hAnsi="Verdana"/>
                <w:b/>
                <w:bCs/>
              </w:rPr>
              <w:t>.</w:t>
            </w:r>
          </w:p>
        </w:tc>
        <w:tc>
          <w:tcPr>
            <w:tcW w:w="8363" w:type="dxa"/>
          </w:tcPr>
          <w:p w14:paraId="5C618600" w14:textId="77777777" w:rsidR="00903EF2" w:rsidRPr="00A75E90" w:rsidRDefault="00903EF2" w:rsidP="00903EF2">
            <w:pPr>
              <w:contextualSpacing/>
              <w:rPr>
                <w:rFonts w:ascii="Verdana" w:hAnsi="Verdana"/>
              </w:rPr>
            </w:pPr>
            <w:r w:rsidRPr="00A75E90">
              <w:rPr>
                <w:rFonts w:ascii="Verdana" w:hAnsi="Verdana"/>
              </w:rPr>
              <w:t>the College is provisionally placed midway in the Good category for financial health at 31 July 2020 (owing to the level of surplus);</w:t>
            </w:r>
          </w:p>
          <w:p w14:paraId="45DA9B1C" w14:textId="77777777" w:rsidR="00903EF2" w:rsidRPr="00B446C1" w:rsidRDefault="00903EF2" w:rsidP="00903EF2">
            <w:pPr>
              <w:rPr>
                <w:rFonts w:ascii="Verdana" w:hAnsi="Verdana"/>
              </w:rPr>
            </w:pPr>
          </w:p>
        </w:tc>
      </w:tr>
      <w:tr w:rsidR="00903EF2" w:rsidRPr="00B446C1" w14:paraId="466389E3" w14:textId="77777777" w:rsidTr="00F16D6B">
        <w:tc>
          <w:tcPr>
            <w:tcW w:w="562" w:type="dxa"/>
          </w:tcPr>
          <w:p w14:paraId="10022592" w14:textId="77777777" w:rsidR="00903EF2" w:rsidRPr="003638BE" w:rsidRDefault="00903EF2" w:rsidP="00903EF2">
            <w:pPr>
              <w:rPr>
                <w:rFonts w:ascii="Verdana" w:hAnsi="Verdana"/>
              </w:rPr>
            </w:pPr>
          </w:p>
        </w:tc>
        <w:tc>
          <w:tcPr>
            <w:tcW w:w="426" w:type="dxa"/>
          </w:tcPr>
          <w:p w14:paraId="3D681E2B" w14:textId="77777777" w:rsidR="00903EF2" w:rsidRPr="003638BE" w:rsidRDefault="00903EF2" w:rsidP="00903EF2">
            <w:pPr>
              <w:rPr>
                <w:rFonts w:ascii="Verdana" w:hAnsi="Verdana"/>
                <w:b/>
                <w:bCs/>
              </w:rPr>
            </w:pPr>
            <w:r>
              <w:rPr>
                <w:rFonts w:ascii="Verdana" w:hAnsi="Verdana"/>
                <w:b/>
                <w:bCs/>
              </w:rPr>
              <w:t>.</w:t>
            </w:r>
          </w:p>
        </w:tc>
        <w:tc>
          <w:tcPr>
            <w:tcW w:w="8363" w:type="dxa"/>
          </w:tcPr>
          <w:p w14:paraId="245E909C" w14:textId="77777777" w:rsidR="00903EF2" w:rsidRPr="00A75E90" w:rsidRDefault="00903EF2" w:rsidP="00903EF2">
            <w:pPr>
              <w:rPr>
                <w:rFonts w:ascii="Verdana" w:hAnsi="Verdana"/>
                <w:i/>
                <w:iCs/>
              </w:rPr>
            </w:pPr>
            <w:r w:rsidRPr="00A75E90">
              <w:rPr>
                <w:rFonts w:ascii="Verdana" w:hAnsi="Verdana"/>
              </w:rPr>
              <w:t>cash balances at 31 July 2020 are forecast to be £1,610k</w:t>
            </w:r>
            <w:r>
              <w:rPr>
                <w:rFonts w:ascii="Verdana" w:hAnsi="Verdana"/>
              </w:rPr>
              <w:t xml:space="preserve"> (</w:t>
            </w:r>
            <w:r w:rsidRPr="00A75E90">
              <w:rPr>
                <w:rFonts w:ascii="Verdana" w:hAnsi="Verdana"/>
              </w:rPr>
              <w:t>31 July 2019</w:t>
            </w:r>
            <w:r>
              <w:rPr>
                <w:rFonts w:ascii="Verdana" w:hAnsi="Verdana"/>
              </w:rPr>
              <w:t xml:space="preserve">: </w:t>
            </w:r>
            <w:r w:rsidRPr="00A75E90">
              <w:rPr>
                <w:rFonts w:ascii="Verdana" w:hAnsi="Verdana"/>
              </w:rPr>
              <w:t>£1,974k</w:t>
            </w:r>
            <w:r>
              <w:rPr>
                <w:rFonts w:ascii="Verdana" w:hAnsi="Verdana"/>
              </w:rPr>
              <w:t>)</w:t>
            </w:r>
            <w:r w:rsidRPr="00A75E90">
              <w:rPr>
                <w:rFonts w:ascii="Verdana" w:hAnsi="Verdana"/>
              </w:rPr>
              <w:t>;</w:t>
            </w:r>
            <w:r>
              <w:rPr>
                <w:rFonts w:ascii="Verdana" w:hAnsi="Verdana"/>
              </w:rPr>
              <w:t xml:space="preserve"> </w:t>
            </w:r>
            <w:r>
              <w:rPr>
                <w:rFonts w:ascii="Verdana" w:hAnsi="Verdana"/>
                <w:i/>
                <w:iCs/>
              </w:rPr>
              <w:t>and</w:t>
            </w:r>
          </w:p>
          <w:p w14:paraId="38120448" w14:textId="77777777" w:rsidR="00903EF2" w:rsidRPr="00B446C1" w:rsidRDefault="00903EF2" w:rsidP="00903EF2">
            <w:pPr>
              <w:rPr>
                <w:rFonts w:ascii="Verdana" w:hAnsi="Verdana"/>
              </w:rPr>
            </w:pPr>
          </w:p>
        </w:tc>
      </w:tr>
      <w:tr w:rsidR="00903EF2" w:rsidRPr="00B446C1" w14:paraId="75AB59D0" w14:textId="77777777" w:rsidTr="00F16D6B">
        <w:tc>
          <w:tcPr>
            <w:tcW w:w="562" w:type="dxa"/>
          </w:tcPr>
          <w:p w14:paraId="73ADB3DC" w14:textId="77777777" w:rsidR="00903EF2" w:rsidRPr="003638BE" w:rsidRDefault="00903EF2" w:rsidP="00903EF2">
            <w:pPr>
              <w:rPr>
                <w:rFonts w:ascii="Verdana" w:hAnsi="Verdana"/>
              </w:rPr>
            </w:pPr>
          </w:p>
        </w:tc>
        <w:tc>
          <w:tcPr>
            <w:tcW w:w="426" w:type="dxa"/>
          </w:tcPr>
          <w:p w14:paraId="69D9FC6D" w14:textId="77777777" w:rsidR="00903EF2" w:rsidRPr="003638BE" w:rsidRDefault="00903EF2" w:rsidP="00903EF2">
            <w:pPr>
              <w:rPr>
                <w:rFonts w:ascii="Verdana" w:hAnsi="Verdana"/>
                <w:b/>
                <w:bCs/>
              </w:rPr>
            </w:pPr>
            <w:r>
              <w:rPr>
                <w:rFonts w:ascii="Verdana" w:hAnsi="Verdana"/>
                <w:b/>
                <w:bCs/>
              </w:rPr>
              <w:t>.</w:t>
            </w:r>
          </w:p>
        </w:tc>
        <w:tc>
          <w:tcPr>
            <w:tcW w:w="8363" w:type="dxa"/>
          </w:tcPr>
          <w:p w14:paraId="1AFB9DCC" w14:textId="5ADE65A5" w:rsidR="00903EF2" w:rsidRPr="00B446C1" w:rsidRDefault="00903EF2" w:rsidP="00903EF2">
            <w:pPr>
              <w:rPr>
                <w:rFonts w:ascii="Verdana" w:hAnsi="Verdana"/>
              </w:rPr>
            </w:pPr>
            <w:r>
              <w:rPr>
                <w:rFonts w:ascii="Verdana" w:hAnsi="Verdana"/>
              </w:rPr>
              <w:t>the number of c</w:t>
            </w:r>
            <w:r w:rsidRPr="00A75E90">
              <w:rPr>
                <w:rFonts w:ascii="Verdana" w:hAnsi="Verdana"/>
              </w:rPr>
              <w:t>ash days in hand remain</w:t>
            </w:r>
            <w:r>
              <w:rPr>
                <w:rFonts w:ascii="Verdana" w:hAnsi="Verdana"/>
              </w:rPr>
              <w:t>s</w:t>
            </w:r>
            <w:r w:rsidRPr="00A75E90">
              <w:rPr>
                <w:rFonts w:ascii="Verdana" w:hAnsi="Verdana"/>
              </w:rPr>
              <w:t xml:space="preserve"> healthy</w:t>
            </w:r>
            <w:r>
              <w:rPr>
                <w:rFonts w:ascii="Verdana" w:hAnsi="Verdana"/>
              </w:rPr>
              <w:t xml:space="preserve">, </w:t>
            </w:r>
            <w:r w:rsidRPr="00A75E90">
              <w:rPr>
                <w:rFonts w:ascii="Verdana" w:hAnsi="Verdana"/>
              </w:rPr>
              <w:t>predicted to be 62 at 31</w:t>
            </w:r>
            <w:r>
              <w:rPr>
                <w:rFonts w:ascii="Verdana" w:hAnsi="Verdana"/>
              </w:rPr>
              <w:t xml:space="preserve"> July 20</w:t>
            </w:r>
            <w:r w:rsidRPr="00A75E90">
              <w:rPr>
                <w:rFonts w:ascii="Verdana" w:hAnsi="Verdana"/>
              </w:rPr>
              <w:t>20</w:t>
            </w:r>
            <w:r>
              <w:rPr>
                <w:rFonts w:ascii="Verdana" w:hAnsi="Verdana"/>
              </w:rPr>
              <w:t xml:space="preserve"> (31 July 2019: 76).  </w:t>
            </w:r>
          </w:p>
        </w:tc>
      </w:tr>
    </w:tbl>
    <w:p w14:paraId="46B7BE63" w14:textId="77777777" w:rsidR="00496B99" w:rsidRDefault="00496B99" w:rsidP="004F4C55"/>
    <w:tbl>
      <w:tblPr>
        <w:tblW w:w="9322" w:type="dxa"/>
        <w:tblLook w:val="04A0" w:firstRow="1" w:lastRow="0" w:firstColumn="1" w:lastColumn="0" w:noHBand="0" w:noVBand="1"/>
      </w:tblPr>
      <w:tblGrid>
        <w:gridCol w:w="534"/>
        <w:gridCol w:w="8788"/>
      </w:tblGrid>
      <w:tr w:rsidR="00A75E90" w:rsidRPr="00A75E90" w14:paraId="22EF77E7" w14:textId="77777777" w:rsidTr="00F16D6B">
        <w:tc>
          <w:tcPr>
            <w:tcW w:w="534" w:type="dxa"/>
          </w:tcPr>
          <w:p w14:paraId="4ED283EA" w14:textId="77777777" w:rsidR="00A75E90" w:rsidRPr="00A75E90" w:rsidRDefault="00A75E90" w:rsidP="0075391C">
            <w:pPr>
              <w:rPr>
                <w:rFonts w:ascii="Verdana" w:hAnsi="Verdana"/>
                <w:b/>
              </w:rPr>
            </w:pPr>
          </w:p>
        </w:tc>
        <w:tc>
          <w:tcPr>
            <w:tcW w:w="8788" w:type="dxa"/>
          </w:tcPr>
          <w:p w14:paraId="7D1B7F4C" w14:textId="2FCE3318" w:rsidR="00A75E90" w:rsidRPr="00A75E90" w:rsidRDefault="00A75E90" w:rsidP="0075391C">
            <w:pPr>
              <w:contextualSpacing/>
              <w:rPr>
                <w:rFonts w:ascii="Verdana" w:hAnsi="Verdana"/>
              </w:rPr>
            </w:pPr>
            <w:r w:rsidRPr="00A75E90">
              <w:rPr>
                <w:rFonts w:ascii="Verdana" w:hAnsi="Verdana"/>
              </w:rPr>
              <w:t>The following points to note were reported, namely that:</w:t>
            </w:r>
          </w:p>
        </w:tc>
      </w:tr>
    </w:tbl>
    <w:p w14:paraId="606D2ECF" w14:textId="6BE4766F" w:rsidR="002276CA" w:rsidRDefault="002276CA"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12739C" w:rsidRPr="00B446C1" w14:paraId="6DD3CFB1" w14:textId="77777777" w:rsidTr="00F16D6B">
        <w:tc>
          <w:tcPr>
            <w:tcW w:w="562" w:type="dxa"/>
          </w:tcPr>
          <w:p w14:paraId="4393284D" w14:textId="77777777" w:rsidR="0012739C" w:rsidRPr="003638BE" w:rsidRDefault="0012739C" w:rsidP="0012739C">
            <w:pPr>
              <w:rPr>
                <w:rFonts w:ascii="Verdana" w:hAnsi="Verdana"/>
              </w:rPr>
            </w:pPr>
          </w:p>
        </w:tc>
        <w:tc>
          <w:tcPr>
            <w:tcW w:w="426" w:type="dxa"/>
          </w:tcPr>
          <w:p w14:paraId="7F7DFB05" w14:textId="0F92DB23" w:rsidR="0012739C" w:rsidRPr="003638BE" w:rsidRDefault="0012739C" w:rsidP="0012739C">
            <w:pPr>
              <w:rPr>
                <w:rFonts w:ascii="Verdana" w:hAnsi="Verdana"/>
                <w:b/>
                <w:bCs/>
              </w:rPr>
            </w:pPr>
            <w:r>
              <w:rPr>
                <w:rFonts w:ascii="Verdana" w:hAnsi="Verdana"/>
                <w:b/>
                <w:bCs/>
              </w:rPr>
              <w:t>.</w:t>
            </w:r>
          </w:p>
        </w:tc>
        <w:tc>
          <w:tcPr>
            <w:tcW w:w="8363" w:type="dxa"/>
          </w:tcPr>
          <w:p w14:paraId="3C31B220" w14:textId="716D2824" w:rsidR="0012739C" w:rsidRPr="003638BE" w:rsidRDefault="0012739C" w:rsidP="0012739C">
            <w:pPr>
              <w:contextualSpacing/>
              <w:rPr>
                <w:rFonts w:ascii="Verdana" w:hAnsi="Verdana" w:cstheme="minorHAnsi"/>
              </w:rPr>
            </w:pPr>
            <w:r w:rsidRPr="003638BE">
              <w:rPr>
                <w:rFonts w:ascii="Verdana" w:hAnsi="Verdana" w:cstheme="minorHAnsi"/>
              </w:rPr>
              <w:t xml:space="preserve">the forecast £250,000 deficit </w:t>
            </w:r>
            <w:r w:rsidR="00496B99">
              <w:rPr>
                <w:rFonts w:ascii="Verdana" w:hAnsi="Verdana" w:cstheme="minorHAnsi"/>
              </w:rPr>
              <w:t>represent</w:t>
            </w:r>
            <w:r w:rsidRPr="003638BE">
              <w:rPr>
                <w:rFonts w:ascii="Verdana" w:hAnsi="Verdana" w:cstheme="minorHAnsi"/>
              </w:rPr>
              <w:t xml:space="preserve">s the worst-case scenario; </w:t>
            </w:r>
          </w:p>
          <w:p w14:paraId="795E9CC8" w14:textId="620830BC" w:rsidR="0012739C" w:rsidRPr="00B446C1" w:rsidRDefault="0012739C" w:rsidP="0012739C">
            <w:pPr>
              <w:rPr>
                <w:rFonts w:ascii="Verdana" w:hAnsi="Verdana"/>
              </w:rPr>
            </w:pPr>
          </w:p>
        </w:tc>
      </w:tr>
      <w:tr w:rsidR="0012739C" w:rsidRPr="00B446C1" w14:paraId="44D54572" w14:textId="77777777" w:rsidTr="00F16D6B">
        <w:tc>
          <w:tcPr>
            <w:tcW w:w="562" w:type="dxa"/>
          </w:tcPr>
          <w:p w14:paraId="71D3B54E" w14:textId="77777777" w:rsidR="0012739C" w:rsidRPr="003638BE" w:rsidRDefault="0012739C" w:rsidP="0012739C">
            <w:pPr>
              <w:rPr>
                <w:rFonts w:ascii="Verdana" w:hAnsi="Verdana"/>
              </w:rPr>
            </w:pPr>
          </w:p>
        </w:tc>
        <w:tc>
          <w:tcPr>
            <w:tcW w:w="426" w:type="dxa"/>
          </w:tcPr>
          <w:p w14:paraId="61DF62DA" w14:textId="0FED8C35" w:rsidR="0012739C" w:rsidRDefault="0012739C" w:rsidP="0012739C">
            <w:pPr>
              <w:rPr>
                <w:rFonts w:ascii="Verdana" w:hAnsi="Verdana"/>
                <w:b/>
                <w:bCs/>
              </w:rPr>
            </w:pPr>
            <w:r>
              <w:rPr>
                <w:rFonts w:ascii="Verdana" w:hAnsi="Verdana"/>
                <w:b/>
                <w:bCs/>
              </w:rPr>
              <w:t>.</w:t>
            </w:r>
          </w:p>
        </w:tc>
        <w:tc>
          <w:tcPr>
            <w:tcW w:w="8363" w:type="dxa"/>
          </w:tcPr>
          <w:p w14:paraId="7B0A1635" w14:textId="2771449B" w:rsidR="0012739C" w:rsidRDefault="0012739C" w:rsidP="00FD0576">
            <w:pPr>
              <w:contextualSpacing/>
              <w:rPr>
                <w:rFonts w:ascii="Verdana" w:hAnsi="Verdana" w:cstheme="minorHAnsi"/>
              </w:rPr>
            </w:pPr>
            <w:r w:rsidRPr="003638BE">
              <w:rPr>
                <w:rFonts w:ascii="Verdana" w:hAnsi="Verdana" w:cstheme="minorHAnsi"/>
              </w:rPr>
              <w:t xml:space="preserve">over 98% of the College’s income is guaranteed by the Government, placing the College in a </w:t>
            </w:r>
            <w:r w:rsidR="00496B99">
              <w:rPr>
                <w:rFonts w:ascii="Verdana" w:hAnsi="Verdana" w:cstheme="minorHAnsi"/>
              </w:rPr>
              <w:t>notably</w:t>
            </w:r>
            <w:r w:rsidRPr="003638BE">
              <w:rPr>
                <w:rFonts w:ascii="Verdana" w:hAnsi="Verdana" w:cstheme="minorHAnsi"/>
              </w:rPr>
              <w:t xml:space="preserve"> stronger position than most other institutions</w:t>
            </w:r>
            <w:r w:rsidR="00FD0576">
              <w:rPr>
                <w:rFonts w:ascii="Verdana" w:hAnsi="Verdana" w:cstheme="minorHAnsi"/>
              </w:rPr>
              <w:t>;</w:t>
            </w:r>
          </w:p>
          <w:p w14:paraId="4624357C" w14:textId="67F69DA1" w:rsidR="00FD0576" w:rsidRPr="00B446C1" w:rsidRDefault="00FD0576" w:rsidP="00FD0576">
            <w:pPr>
              <w:contextualSpacing/>
              <w:rPr>
                <w:rFonts w:ascii="Verdana" w:hAnsi="Verdana"/>
              </w:rPr>
            </w:pPr>
          </w:p>
        </w:tc>
      </w:tr>
      <w:tr w:rsidR="0012739C" w:rsidRPr="00B446C1" w14:paraId="564758C3" w14:textId="77777777" w:rsidTr="00F16D6B">
        <w:tc>
          <w:tcPr>
            <w:tcW w:w="562" w:type="dxa"/>
          </w:tcPr>
          <w:p w14:paraId="44D5F23E" w14:textId="77777777" w:rsidR="0012739C" w:rsidRPr="003638BE" w:rsidRDefault="0012739C" w:rsidP="0012739C">
            <w:pPr>
              <w:rPr>
                <w:rFonts w:ascii="Verdana" w:hAnsi="Verdana"/>
              </w:rPr>
            </w:pPr>
          </w:p>
        </w:tc>
        <w:tc>
          <w:tcPr>
            <w:tcW w:w="426" w:type="dxa"/>
          </w:tcPr>
          <w:p w14:paraId="5EBB0778" w14:textId="27289377" w:rsidR="0012739C" w:rsidRPr="003638BE" w:rsidRDefault="0012739C" w:rsidP="0012739C">
            <w:pPr>
              <w:rPr>
                <w:rFonts w:ascii="Verdana" w:hAnsi="Verdana"/>
                <w:b/>
                <w:bCs/>
              </w:rPr>
            </w:pPr>
            <w:r>
              <w:rPr>
                <w:rFonts w:ascii="Verdana" w:hAnsi="Verdana"/>
                <w:b/>
                <w:bCs/>
              </w:rPr>
              <w:t>.</w:t>
            </w:r>
          </w:p>
        </w:tc>
        <w:tc>
          <w:tcPr>
            <w:tcW w:w="8363" w:type="dxa"/>
          </w:tcPr>
          <w:p w14:paraId="440FDEEE" w14:textId="37CEB90B" w:rsidR="0012739C" w:rsidRPr="003638BE" w:rsidRDefault="0012739C" w:rsidP="0012739C">
            <w:pPr>
              <w:rPr>
                <w:rFonts w:ascii="Verdana" w:hAnsi="Verdana" w:cstheme="minorHAnsi"/>
              </w:rPr>
            </w:pPr>
            <w:r w:rsidRPr="003638BE">
              <w:rPr>
                <w:rFonts w:ascii="Verdana" w:hAnsi="Verdana" w:cstheme="minorHAnsi"/>
              </w:rPr>
              <w:t xml:space="preserve">the College must ensure that the forecast deficit is not exceeded </w:t>
            </w:r>
            <w:r w:rsidR="00FD0576">
              <w:rPr>
                <w:rFonts w:ascii="Verdana" w:hAnsi="Verdana" w:cstheme="minorHAnsi"/>
              </w:rPr>
              <w:t>so</w:t>
            </w:r>
            <w:r w:rsidRPr="003638BE">
              <w:rPr>
                <w:rFonts w:ascii="Verdana" w:hAnsi="Verdana" w:cstheme="minorHAnsi"/>
              </w:rPr>
              <w:t xml:space="preserve"> that its Good financial status is protected, and hence additional spending must be offset by </w:t>
            </w:r>
            <w:r w:rsidR="00496B99">
              <w:rPr>
                <w:rFonts w:ascii="Verdana" w:hAnsi="Verdana" w:cstheme="minorHAnsi"/>
              </w:rPr>
              <w:t>savings elsewhere</w:t>
            </w:r>
            <w:r w:rsidRPr="003638BE">
              <w:rPr>
                <w:rFonts w:ascii="Verdana" w:hAnsi="Verdana" w:cstheme="minorHAnsi"/>
              </w:rPr>
              <w:t>;</w:t>
            </w:r>
          </w:p>
          <w:p w14:paraId="758F4367" w14:textId="77777777" w:rsidR="0012739C" w:rsidRPr="00B446C1" w:rsidRDefault="0012739C" w:rsidP="0012739C">
            <w:pPr>
              <w:rPr>
                <w:rFonts w:ascii="Verdana" w:hAnsi="Verdana"/>
              </w:rPr>
            </w:pPr>
          </w:p>
        </w:tc>
      </w:tr>
      <w:tr w:rsidR="0012739C" w:rsidRPr="00B446C1" w14:paraId="7294E91B" w14:textId="77777777" w:rsidTr="00F16D6B">
        <w:tc>
          <w:tcPr>
            <w:tcW w:w="562" w:type="dxa"/>
          </w:tcPr>
          <w:p w14:paraId="0A250DAE" w14:textId="77777777" w:rsidR="0012739C" w:rsidRPr="003638BE" w:rsidRDefault="0012739C" w:rsidP="0012739C">
            <w:pPr>
              <w:rPr>
                <w:rFonts w:ascii="Verdana" w:hAnsi="Verdana"/>
              </w:rPr>
            </w:pPr>
          </w:p>
        </w:tc>
        <w:tc>
          <w:tcPr>
            <w:tcW w:w="426" w:type="dxa"/>
          </w:tcPr>
          <w:p w14:paraId="4A8A81B6" w14:textId="5AADF746" w:rsidR="0012739C" w:rsidRPr="003638BE" w:rsidRDefault="0012739C" w:rsidP="0012739C">
            <w:pPr>
              <w:rPr>
                <w:rFonts w:ascii="Verdana" w:hAnsi="Verdana"/>
                <w:b/>
                <w:bCs/>
              </w:rPr>
            </w:pPr>
            <w:r>
              <w:rPr>
                <w:rFonts w:ascii="Verdana" w:hAnsi="Verdana"/>
                <w:b/>
                <w:bCs/>
              </w:rPr>
              <w:t>.</w:t>
            </w:r>
          </w:p>
        </w:tc>
        <w:tc>
          <w:tcPr>
            <w:tcW w:w="8363" w:type="dxa"/>
          </w:tcPr>
          <w:p w14:paraId="2FE83C0F" w14:textId="4E07EBFF" w:rsidR="0012739C" w:rsidRDefault="0012739C" w:rsidP="0012739C">
            <w:pPr>
              <w:rPr>
                <w:rFonts w:ascii="Verdana" w:hAnsi="Verdana" w:cstheme="minorHAnsi"/>
              </w:rPr>
            </w:pPr>
            <w:r w:rsidRPr="003638BE">
              <w:rPr>
                <w:rFonts w:ascii="Verdana" w:hAnsi="Verdana" w:cstheme="minorHAnsi"/>
              </w:rPr>
              <w:t>60 broken student laptops</w:t>
            </w:r>
            <w:r>
              <w:rPr>
                <w:rFonts w:ascii="Verdana" w:hAnsi="Verdana" w:cstheme="minorHAnsi"/>
              </w:rPr>
              <w:t xml:space="preserve"> need replacement</w:t>
            </w:r>
            <w:r w:rsidRPr="003638BE">
              <w:rPr>
                <w:rFonts w:ascii="Verdana" w:hAnsi="Verdana" w:cstheme="minorHAnsi"/>
              </w:rPr>
              <w:t xml:space="preserve"> </w:t>
            </w:r>
            <w:r>
              <w:rPr>
                <w:rFonts w:ascii="Verdana" w:hAnsi="Verdana" w:cstheme="minorHAnsi"/>
              </w:rPr>
              <w:t xml:space="preserve">at </w:t>
            </w:r>
            <w:r w:rsidRPr="003638BE">
              <w:rPr>
                <w:rFonts w:ascii="Verdana" w:hAnsi="Verdana" w:cstheme="minorHAnsi"/>
              </w:rPr>
              <w:t xml:space="preserve">a cost of £55,000, though obtaining computers at this time </w:t>
            </w:r>
            <w:r w:rsidR="00FD0576">
              <w:rPr>
                <w:rFonts w:ascii="Verdana" w:hAnsi="Verdana" w:cstheme="minorHAnsi"/>
              </w:rPr>
              <w:t>is difficult</w:t>
            </w:r>
            <w:r w:rsidR="00496B99">
              <w:rPr>
                <w:rFonts w:ascii="Verdana" w:hAnsi="Verdana" w:cstheme="minorHAnsi"/>
              </w:rPr>
              <w:t xml:space="preserve"> – in this regard, a f</w:t>
            </w:r>
            <w:r w:rsidR="009D6225">
              <w:rPr>
                <w:rFonts w:ascii="Verdana" w:hAnsi="Verdana" w:cstheme="minorHAnsi"/>
              </w:rPr>
              <w:t>u</w:t>
            </w:r>
            <w:r w:rsidR="00496B99">
              <w:rPr>
                <w:rFonts w:ascii="Verdana" w:hAnsi="Verdana" w:cstheme="minorHAnsi"/>
              </w:rPr>
              <w:t xml:space="preserve">nding application had been made to the ESFA </w:t>
            </w:r>
            <w:r w:rsidR="009D6225">
              <w:rPr>
                <w:rFonts w:ascii="Verdana" w:hAnsi="Verdana" w:cstheme="minorHAnsi"/>
              </w:rPr>
              <w:t>the outcome of which is unknown at present</w:t>
            </w:r>
            <w:r w:rsidRPr="003638BE">
              <w:rPr>
                <w:rFonts w:ascii="Verdana" w:hAnsi="Verdana" w:cstheme="minorHAnsi"/>
              </w:rPr>
              <w:t xml:space="preserve">; </w:t>
            </w:r>
            <w:r>
              <w:rPr>
                <w:rFonts w:ascii="Verdana" w:hAnsi="Verdana" w:cstheme="minorHAnsi"/>
              </w:rPr>
              <w:t xml:space="preserve"> </w:t>
            </w:r>
          </w:p>
          <w:p w14:paraId="15434CDC" w14:textId="7B54DEFE" w:rsidR="0012739C" w:rsidRPr="00B446C1" w:rsidRDefault="0012739C" w:rsidP="0012739C">
            <w:pPr>
              <w:rPr>
                <w:rFonts w:ascii="Verdana" w:hAnsi="Verdana"/>
              </w:rPr>
            </w:pPr>
            <w:r>
              <w:rPr>
                <w:rFonts w:ascii="Verdana" w:hAnsi="Verdana" w:cstheme="minorHAnsi"/>
              </w:rPr>
              <w:t xml:space="preserve">   </w:t>
            </w:r>
          </w:p>
        </w:tc>
      </w:tr>
      <w:tr w:rsidR="0012739C" w:rsidRPr="00B446C1" w14:paraId="4159371F" w14:textId="77777777" w:rsidTr="00F16D6B">
        <w:tc>
          <w:tcPr>
            <w:tcW w:w="562" w:type="dxa"/>
          </w:tcPr>
          <w:p w14:paraId="568236D3" w14:textId="77777777" w:rsidR="0012739C" w:rsidRPr="003638BE" w:rsidRDefault="0012739C" w:rsidP="0012739C">
            <w:pPr>
              <w:rPr>
                <w:rFonts w:ascii="Verdana" w:hAnsi="Verdana"/>
              </w:rPr>
            </w:pPr>
          </w:p>
        </w:tc>
        <w:tc>
          <w:tcPr>
            <w:tcW w:w="426" w:type="dxa"/>
          </w:tcPr>
          <w:p w14:paraId="5C7E1F2E" w14:textId="5EF4175D" w:rsidR="0012739C" w:rsidRDefault="0012739C" w:rsidP="0012739C">
            <w:pPr>
              <w:rPr>
                <w:rFonts w:ascii="Verdana" w:hAnsi="Verdana"/>
                <w:b/>
                <w:bCs/>
              </w:rPr>
            </w:pPr>
            <w:r>
              <w:rPr>
                <w:rFonts w:ascii="Verdana" w:hAnsi="Verdana"/>
                <w:b/>
                <w:bCs/>
              </w:rPr>
              <w:t>.</w:t>
            </w:r>
          </w:p>
        </w:tc>
        <w:tc>
          <w:tcPr>
            <w:tcW w:w="8363" w:type="dxa"/>
          </w:tcPr>
          <w:p w14:paraId="01FBA46C" w14:textId="5937D783" w:rsidR="0012739C" w:rsidRPr="00FD0576" w:rsidRDefault="0012739C" w:rsidP="0012739C">
            <w:pPr>
              <w:rPr>
                <w:rFonts w:ascii="Verdana" w:hAnsi="Verdana" w:cstheme="minorHAnsi"/>
                <w:i/>
                <w:iCs/>
              </w:rPr>
            </w:pPr>
            <w:r w:rsidRPr="003638BE">
              <w:rPr>
                <w:rFonts w:ascii="Verdana" w:hAnsi="Verdana" w:cstheme="minorHAnsi"/>
              </w:rPr>
              <w:t>£40,000 match funding</w:t>
            </w:r>
            <w:r w:rsidR="00FD0576">
              <w:rPr>
                <w:rFonts w:ascii="Verdana" w:hAnsi="Verdana" w:cstheme="minorHAnsi"/>
              </w:rPr>
              <w:t xml:space="preserve"> is provided</w:t>
            </w:r>
            <w:r w:rsidRPr="003638BE">
              <w:rPr>
                <w:rFonts w:ascii="Verdana" w:hAnsi="Verdana" w:cstheme="minorHAnsi"/>
              </w:rPr>
              <w:t xml:space="preserve"> for the TAG building refurbishment </w:t>
            </w:r>
            <w:r>
              <w:rPr>
                <w:rFonts w:ascii="Verdana" w:hAnsi="Verdana" w:cstheme="minorHAnsi"/>
              </w:rPr>
              <w:t>so that it can</w:t>
            </w:r>
            <w:r w:rsidRPr="003638BE">
              <w:rPr>
                <w:rFonts w:ascii="Verdana" w:hAnsi="Verdana" w:cstheme="minorHAnsi"/>
              </w:rPr>
              <w:t xml:space="preserve"> deliver the Accelerated Learning Academy</w:t>
            </w:r>
            <w:r w:rsidR="00FD0576">
              <w:rPr>
                <w:rFonts w:ascii="Verdana" w:hAnsi="Verdana" w:cstheme="minorHAnsi"/>
              </w:rPr>
              <w:t xml:space="preserve">; </w:t>
            </w:r>
            <w:r w:rsidR="00FD0576">
              <w:rPr>
                <w:rFonts w:ascii="Verdana" w:hAnsi="Verdana" w:cstheme="minorHAnsi"/>
                <w:i/>
                <w:iCs/>
              </w:rPr>
              <w:t>and</w:t>
            </w:r>
          </w:p>
          <w:p w14:paraId="532B1570" w14:textId="77777777" w:rsidR="0012739C" w:rsidRPr="00B446C1" w:rsidRDefault="0012739C" w:rsidP="0012739C">
            <w:pPr>
              <w:rPr>
                <w:rFonts w:ascii="Verdana" w:hAnsi="Verdana"/>
              </w:rPr>
            </w:pPr>
          </w:p>
        </w:tc>
      </w:tr>
      <w:tr w:rsidR="0012739C" w:rsidRPr="00B446C1" w14:paraId="0692FCAD" w14:textId="77777777" w:rsidTr="00F16D6B">
        <w:tc>
          <w:tcPr>
            <w:tcW w:w="562" w:type="dxa"/>
          </w:tcPr>
          <w:p w14:paraId="16A473A9" w14:textId="77777777" w:rsidR="0012739C" w:rsidRPr="003638BE" w:rsidRDefault="0012739C" w:rsidP="0012739C">
            <w:pPr>
              <w:rPr>
                <w:rFonts w:ascii="Verdana" w:hAnsi="Verdana"/>
              </w:rPr>
            </w:pPr>
          </w:p>
        </w:tc>
        <w:tc>
          <w:tcPr>
            <w:tcW w:w="426" w:type="dxa"/>
          </w:tcPr>
          <w:p w14:paraId="3DF5D43D" w14:textId="553129F1" w:rsidR="0012739C" w:rsidRDefault="0012739C" w:rsidP="0012739C">
            <w:pPr>
              <w:rPr>
                <w:rFonts w:ascii="Verdana" w:hAnsi="Verdana"/>
                <w:b/>
                <w:bCs/>
              </w:rPr>
            </w:pPr>
            <w:r>
              <w:rPr>
                <w:rFonts w:ascii="Verdana" w:hAnsi="Verdana"/>
                <w:b/>
                <w:bCs/>
              </w:rPr>
              <w:t>.</w:t>
            </w:r>
          </w:p>
        </w:tc>
        <w:tc>
          <w:tcPr>
            <w:tcW w:w="8363" w:type="dxa"/>
          </w:tcPr>
          <w:p w14:paraId="28A85C01" w14:textId="2DDF7750" w:rsidR="0012739C" w:rsidRPr="00B446C1" w:rsidRDefault="0012739C" w:rsidP="0012739C">
            <w:pPr>
              <w:rPr>
                <w:rFonts w:ascii="Verdana" w:hAnsi="Verdana"/>
              </w:rPr>
            </w:pPr>
            <w:r>
              <w:rPr>
                <w:rFonts w:ascii="Verdana" w:hAnsi="Verdana" w:cstheme="minorHAnsi"/>
              </w:rPr>
              <w:t>the projected out-turn at 31 July 2020 is subject to the combined effect of the following factors, namely the College:</w:t>
            </w:r>
          </w:p>
        </w:tc>
      </w:tr>
    </w:tbl>
    <w:p w14:paraId="36A06CBF" w14:textId="4F3243F0" w:rsidR="0012739C" w:rsidRDefault="0012739C"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425"/>
        <w:gridCol w:w="7938"/>
      </w:tblGrid>
      <w:tr w:rsidR="0012739C" w14:paraId="1AF77F00" w14:textId="77777777" w:rsidTr="00F16D6B">
        <w:tc>
          <w:tcPr>
            <w:tcW w:w="562" w:type="dxa"/>
          </w:tcPr>
          <w:p w14:paraId="656A74CC" w14:textId="77777777" w:rsidR="0012739C" w:rsidRDefault="0012739C" w:rsidP="0012739C">
            <w:pPr>
              <w:rPr>
                <w:rFonts w:ascii="Verdana" w:hAnsi="Verdana"/>
              </w:rPr>
            </w:pPr>
          </w:p>
        </w:tc>
        <w:tc>
          <w:tcPr>
            <w:tcW w:w="426" w:type="dxa"/>
          </w:tcPr>
          <w:p w14:paraId="400FB1D1" w14:textId="77777777" w:rsidR="0012739C" w:rsidRDefault="0012739C" w:rsidP="0012739C">
            <w:pPr>
              <w:rPr>
                <w:rFonts w:ascii="Verdana" w:hAnsi="Verdana"/>
              </w:rPr>
            </w:pPr>
          </w:p>
        </w:tc>
        <w:tc>
          <w:tcPr>
            <w:tcW w:w="425" w:type="dxa"/>
          </w:tcPr>
          <w:p w14:paraId="3525747F" w14:textId="4A5D83C4" w:rsidR="0012739C" w:rsidRPr="0012739C" w:rsidRDefault="0012739C" w:rsidP="0012739C">
            <w:pPr>
              <w:rPr>
                <w:rFonts w:ascii="Verdana" w:hAnsi="Verdana"/>
                <w:b/>
                <w:bCs/>
              </w:rPr>
            </w:pPr>
            <w:r>
              <w:rPr>
                <w:rFonts w:ascii="Verdana" w:hAnsi="Verdana"/>
                <w:b/>
                <w:bCs/>
              </w:rPr>
              <w:t>.</w:t>
            </w:r>
          </w:p>
        </w:tc>
        <w:tc>
          <w:tcPr>
            <w:tcW w:w="7938" w:type="dxa"/>
          </w:tcPr>
          <w:p w14:paraId="471C6FC3" w14:textId="5B6DD980" w:rsidR="0012739C" w:rsidRPr="00B446C1" w:rsidRDefault="0012739C" w:rsidP="0012739C">
            <w:pPr>
              <w:rPr>
                <w:rFonts w:ascii="Verdana" w:hAnsi="Verdana"/>
              </w:rPr>
            </w:pPr>
            <w:r>
              <w:rPr>
                <w:rFonts w:ascii="Verdana" w:hAnsi="Verdana"/>
              </w:rPr>
              <w:t xml:space="preserve">benefitting from </w:t>
            </w:r>
            <w:r w:rsidRPr="00B446C1">
              <w:rPr>
                <w:rFonts w:ascii="Verdana" w:hAnsi="Verdana"/>
              </w:rPr>
              <w:t xml:space="preserve">a reduction in examination </w:t>
            </w:r>
            <w:r w:rsidR="00FD0576">
              <w:rPr>
                <w:rFonts w:ascii="Verdana" w:hAnsi="Verdana"/>
              </w:rPr>
              <w:t>fees payable</w:t>
            </w:r>
            <w:r>
              <w:rPr>
                <w:rFonts w:ascii="Verdana" w:hAnsi="Verdana"/>
              </w:rPr>
              <w:t xml:space="preserve"> (</w:t>
            </w:r>
            <w:r w:rsidRPr="00B446C1">
              <w:rPr>
                <w:rFonts w:ascii="Verdana" w:hAnsi="Verdana"/>
              </w:rPr>
              <w:t>a 10% reduction saving the College £32,000</w:t>
            </w:r>
            <w:r>
              <w:rPr>
                <w:rFonts w:ascii="Verdana" w:hAnsi="Verdana"/>
              </w:rPr>
              <w:t>)</w:t>
            </w:r>
            <w:r w:rsidRPr="00B446C1">
              <w:rPr>
                <w:rFonts w:ascii="Verdana" w:hAnsi="Verdana"/>
              </w:rPr>
              <w:t>;</w:t>
            </w:r>
          </w:p>
          <w:p w14:paraId="1E63BA1F" w14:textId="77777777" w:rsidR="0012739C" w:rsidRDefault="0012739C" w:rsidP="0012739C">
            <w:pPr>
              <w:rPr>
                <w:rFonts w:ascii="Verdana" w:hAnsi="Verdana"/>
              </w:rPr>
            </w:pPr>
          </w:p>
        </w:tc>
      </w:tr>
      <w:tr w:rsidR="0012739C" w14:paraId="55CCF0BD" w14:textId="77777777" w:rsidTr="00F16D6B">
        <w:tc>
          <w:tcPr>
            <w:tcW w:w="562" w:type="dxa"/>
          </w:tcPr>
          <w:p w14:paraId="23CFDBDF" w14:textId="77777777" w:rsidR="0012739C" w:rsidRDefault="0012739C" w:rsidP="0012739C">
            <w:pPr>
              <w:rPr>
                <w:rFonts w:ascii="Verdana" w:hAnsi="Verdana"/>
              </w:rPr>
            </w:pPr>
          </w:p>
        </w:tc>
        <w:tc>
          <w:tcPr>
            <w:tcW w:w="426" w:type="dxa"/>
          </w:tcPr>
          <w:p w14:paraId="7832CEAD" w14:textId="77777777" w:rsidR="0012739C" w:rsidRDefault="0012739C" w:rsidP="0012739C">
            <w:pPr>
              <w:rPr>
                <w:rFonts w:ascii="Verdana" w:hAnsi="Verdana"/>
              </w:rPr>
            </w:pPr>
          </w:p>
        </w:tc>
        <w:tc>
          <w:tcPr>
            <w:tcW w:w="425" w:type="dxa"/>
          </w:tcPr>
          <w:p w14:paraId="502FCCCA" w14:textId="0094CA0D" w:rsidR="0012739C" w:rsidRPr="0012739C" w:rsidRDefault="0012739C" w:rsidP="0012739C">
            <w:pPr>
              <w:rPr>
                <w:rFonts w:ascii="Verdana" w:hAnsi="Verdana"/>
                <w:b/>
                <w:bCs/>
              </w:rPr>
            </w:pPr>
            <w:r>
              <w:rPr>
                <w:rFonts w:ascii="Verdana" w:hAnsi="Verdana"/>
                <w:b/>
                <w:bCs/>
              </w:rPr>
              <w:t>.</w:t>
            </w:r>
          </w:p>
        </w:tc>
        <w:tc>
          <w:tcPr>
            <w:tcW w:w="7938" w:type="dxa"/>
          </w:tcPr>
          <w:p w14:paraId="28F86502" w14:textId="77777777" w:rsidR="0012739C" w:rsidRDefault="0012739C" w:rsidP="0012739C">
            <w:pPr>
              <w:rPr>
                <w:rFonts w:ascii="Verdana" w:hAnsi="Verdana"/>
              </w:rPr>
            </w:pPr>
            <w:r>
              <w:rPr>
                <w:rFonts w:ascii="Verdana" w:hAnsi="Verdana"/>
              </w:rPr>
              <w:t>receiving rebates from cleaning and catering contractors able to claim furlough grants;</w:t>
            </w:r>
          </w:p>
          <w:p w14:paraId="33A4A2E1" w14:textId="77777777" w:rsidR="0012739C" w:rsidRDefault="0012739C" w:rsidP="0012739C">
            <w:pPr>
              <w:rPr>
                <w:rFonts w:ascii="Verdana" w:hAnsi="Verdana"/>
              </w:rPr>
            </w:pPr>
          </w:p>
        </w:tc>
      </w:tr>
      <w:tr w:rsidR="0012739C" w14:paraId="5F96C0A1" w14:textId="77777777" w:rsidTr="00F16D6B">
        <w:tc>
          <w:tcPr>
            <w:tcW w:w="562" w:type="dxa"/>
          </w:tcPr>
          <w:p w14:paraId="323C571B" w14:textId="77777777" w:rsidR="0012739C" w:rsidRDefault="0012739C" w:rsidP="0012739C">
            <w:pPr>
              <w:rPr>
                <w:rFonts w:ascii="Verdana" w:hAnsi="Verdana"/>
              </w:rPr>
            </w:pPr>
          </w:p>
        </w:tc>
        <w:tc>
          <w:tcPr>
            <w:tcW w:w="426" w:type="dxa"/>
          </w:tcPr>
          <w:p w14:paraId="4FE6757C" w14:textId="77777777" w:rsidR="0012739C" w:rsidRDefault="0012739C" w:rsidP="0012739C">
            <w:pPr>
              <w:rPr>
                <w:rFonts w:ascii="Verdana" w:hAnsi="Verdana"/>
              </w:rPr>
            </w:pPr>
          </w:p>
        </w:tc>
        <w:tc>
          <w:tcPr>
            <w:tcW w:w="425" w:type="dxa"/>
          </w:tcPr>
          <w:p w14:paraId="5735E53F" w14:textId="67181203" w:rsidR="0012739C" w:rsidRPr="0012739C" w:rsidRDefault="0012739C" w:rsidP="0012739C">
            <w:pPr>
              <w:rPr>
                <w:rFonts w:ascii="Verdana" w:hAnsi="Verdana"/>
                <w:b/>
                <w:bCs/>
              </w:rPr>
            </w:pPr>
            <w:r>
              <w:rPr>
                <w:rFonts w:ascii="Verdana" w:hAnsi="Verdana"/>
                <w:b/>
                <w:bCs/>
              </w:rPr>
              <w:t>.</w:t>
            </w:r>
          </w:p>
        </w:tc>
        <w:tc>
          <w:tcPr>
            <w:tcW w:w="7938" w:type="dxa"/>
          </w:tcPr>
          <w:p w14:paraId="5C47B70C" w14:textId="77777777" w:rsidR="0012739C" w:rsidRPr="00B446C1" w:rsidRDefault="0012739C" w:rsidP="0012739C">
            <w:pPr>
              <w:rPr>
                <w:rFonts w:ascii="Verdana" w:hAnsi="Verdana"/>
              </w:rPr>
            </w:pPr>
            <w:r>
              <w:rPr>
                <w:rFonts w:ascii="Verdana" w:hAnsi="Verdana"/>
              </w:rPr>
              <w:t xml:space="preserve">incurring </w:t>
            </w:r>
            <w:r w:rsidRPr="00B446C1">
              <w:rPr>
                <w:rFonts w:ascii="Verdana" w:hAnsi="Verdana"/>
              </w:rPr>
              <w:t>additional marketing costs</w:t>
            </w:r>
            <w:r>
              <w:rPr>
                <w:rFonts w:ascii="Verdana" w:hAnsi="Verdana"/>
              </w:rPr>
              <w:t xml:space="preserve"> of £20,000</w:t>
            </w:r>
            <w:r w:rsidRPr="00B446C1">
              <w:rPr>
                <w:rFonts w:ascii="Verdana" w:hAnsi="Verdana"/>
              </w:rPr>
              <w:t xml:space="preserve">, </w:t>
            </w:r>
            <w:r>
              <w:rPr>
                <w:rFonts w:ascii="Verdana" w:hAnsi="Verdana"/>
              </w:rPr>
              <w:t xml:space="preserve">representing </w:t>
            </w:r>
            <w:r w:rsidRPr="00B446C1">
              <w:rPr>
                <w:rFonts w:ascii="Verdana" w:hAnsi="Verdana"/>
              </w:rPr>
              <w:t xml:space="preserve">a reduction from the £25,000 estimated earlier in the year </w:t>
            </w:r>
            <w:r>
              <w:rPr>
                <w:rFonts w:ascii="Verdana" w:hAnsi="Verdana"/>
              </w:rPr>
              <w:t>owing to</w:t>
            </w:r>
            <w:r w:rsidRPr="00B446C1">
              <w:rPr>
                <w:rFonts w:ascii="Verdana" w:hAnsi="Verdana"/>
              </w:rPr>
              <w:t xml:space="preserve"> the</w:t>
            </w:r>
            <w:r>
              <w:rPr>
                <w:rFonts w:ascii="Verdana" w:hAnsi="Verdana"/>
              </w:rPr>
              <w:t xml:space="preserve"> College</w:t>
            </w:r>
            <w:r w:rsidRPr="00B446C1">
              <w:rPr>
                <w:rFonts w:ascii="Verdana" w:hAnsi="Verdana"/>
              </w:rPr>
              <w:t xml:space="preserve"> closure </w:t>
            </w:r>
            <w:r>
              <w:rPr>
                <w:rFonts w:ascii="Verdana" w:hAnsi="Verdana"/>
              </w:rPr>
              <w:t xml:space="preserve">and resultant </w:t>
            </w:r>
            <w:r w:rsidRPr="00B446C1">
              <w:rPr>
                <w:rFonts w:ascii="Verdana" w:hAnsi="Verdana"/>
              </w:rPr>
              <w:t>requirement for virement of funds;</w:t>
            </w:r>
          </w:p>
          <w:p w14:paraId="2D671434" w14:textId="46461F7A" w:rsidR="0012739C" w:rsidRDefault="0012739C" w:rsidP="0012739C">
            <w:pPr>
              <w:rPr>
                <w:rFonts w:ascii="Verdana" w:hAnsi="Verdana"/>
              </w:rPr>
            </w:pPr>
            <w:r w:rsidRPr="00B446C1">
              <w:rPr>
                <w:rFonts w:ascii="Verdana" w:hAnsi="Verdana"/>
              </w:rPr>
              <w:t xml:space="preserve"> </w:t>
            </w:r>
          </w:p>
        </w:tc>
      </w:tr>
      <w:tr w:rsidR="0012739C" w14:paraId="5031FCF2" w14:textId="77777777" w:rsidTr="00F16D6B">
        <w:tc>
          <w:tcPr>
            <w:tcW w:w="562" w:type="dxa"/>
          </w:tcPr>
          <w:p w14:paraId="3568C63E" w14:textId="77777777" w:rsidR="0012739C" w:rsidRDefault="0012739C" w:rsidP="0012739C">
            <w:pPr>
              <w:rPr>
                <w:rFonts w:ascii="Verdana" w:hAnsi="Verdana"/>
              </w:rPr>
            </w:pPr>
          </w:p>
        </w:tc>
        <w:tc>
          <w:tcPr>
            <w:tcW w:w="426" w:type="dxa"/>
          </w:tcPr>
          <w:p w14:paraId="0F8A05A1" w14:textId="77777777" w:rsidR="0012739C" w:rsidRDefault="0012739C" w:rsidP="0012739C">
            <w:pPr>
              <w:rPr>
                <w:rFonts w:ascii="Verdana" w:hAnsi="Verdana"/>
              </w:rPr>
            </w:pPr>
          </w:p>
        </w:tc>
        <w:tc>
          <w:tcPr>
            <w:tcW w:w="425" w:type="dxa"/>
          </w:tcPr>
          <w:p w14:paraId="3D06A171" w14:textId="2177ED43" w:rsidR="0012739C" w:rsidRPr="0012739C" w:rsidRDefault="0012739C" w:rsidP="0012739C">
            <w:pPr>
              <w:rPr>
                <w:rFonts w:ascii="Verdana" w:hAnsi="Verdana"/>
                <w:b/>
                <w:bCs/>
              </w:rPr>
            </w:pPr>
            <w:r>
              <w:rPr>
                <w:rFonts w:ascii="Verdana" w:hAnsi="Verdana"/>
                <w:b/>
                <w:bCs/>
              </w:rPr>
              <w:t>.</w:t>
            </w:r>
          </w:p>
        </w:tc>
        <w:tc>
          <w:tcPr>
            <w:tcW w:w="7938" w:type="dxa"/>
          </w:tcPr>
          <w:p w14:paraId="0B32562D" w14:textId="561E989D" w:rsidR="0012739C" w:rsidRPr="009D6225" w:rsidRDefault="0012739C" w:rsidP="0012739C">
            <w:pPr>
              <w:spacing w:after="160" w:line="259" w:lineRule="auto"/>
              <w:contextualSpacing/>
              <w:rPr>
                <w:rFonts w:ascii="Verdana" w:hAnsi="Verdana"/>
                <w:i/>
                <w:iCs/>
              </w:rPr>
            </w:pPr>
            <w:r>
              <w:rPr>
                <w:rFonts w:ascii="Verdana" w:hAnsi="Verdana"/>
              </w:rPr>
              <w:t>retaining or having to repay funds received from</w:t>
            </w:r>
            <w:r w:rsidRPr="00B446C1">
              <w:rPr>
                <w:rFonts w:ascii="Verdana" w:hAnsi="Verdana"/>
              </w:rPr>
              <w:t xml:space="preserve"> the British Council </w:t>
            </w:r>
            <w:r>
              <w:rPr>
                <w:rFonts w:ascii="Verdana" w:hAnsi="Verdana"/>
              </w:rPr>
              <w:t>for</w:t>
            </w:r>
            <w:r w:rsidRPr="00B446C1">
              <w:rPr>
                <w:rFonts w:ascii="Verdana" w:hAnsi="Verdana"/>
              </w:rPr>
              <w:t xml:space="preserve"> the cancelled Vietnam trip</w:t>
            </w:r>
            <w:r>
              <w:rPr>
                <w:rFonts w:ascii="Verdana" w:hAnsi="Verdana"/>
              </w:rPr>
              <w:t>;</w:t>
            </w:r>
            <w:r w:rsidR="009D6225">
              <w:rPr>
                <w:rFonts w:ascii="Verdana" w:hAnsi="Verdana"/>
              </w:rPr>
              <w:t xml:space="preserve"> </w:t>
            </w:r>
            <w:r w:rsidR="009D6225">
              <w:rPr>
                <w:rFonts w:ascii="Verdana" w:hAnsi="Verdana"/>
                <w:i/>
                <w:iCs/>
              </w:rPr>
              <w:t>and</w:t>
            </w:r>
          </w:p>
          <w:p w14:paraId="7BA227BD" w14:textId="77777777" w:rsidR="0012739C" w:rsidRDefault="0012739C" w:rsidP="0012739C">
            <w:pPr>
              <w:rPr>
                <w:rFonts w:ascii="Verdana" w:hAnsi="Verdana"/>
              </w:rPr>
            </w:pPr>
          </w:p>
        </w:tc>
      </w:tr>
      <w:tr w:rsidR="0012739C" w14:paraId="43E4196F" w14:textId="77777777" w:rsidTr="00F16D6B">
        <w:tc>
          <w:tcPr>
            <w:tcW w:w="562" w:type="dxa"/>
          </w:tcPr>
          <w:p w14:paraId="3439BB58" w14:textId="77777777" w:rsidR="0012739C" w:rsidRDefault="0012739C" w:rsidP="0012739C">
            <w:pPr>
              <w:rPr>
                <w:rFonts w:ascii="Verdana" w:hAnsi="Verdana"/>
              </w:rPr>
            </w:pPr>
          </w:p>
        </w:tc>
        <w:tc>
          <w:tcPr>
            <w:tcW w:w="426" w:type="dxa"/>
          </w:tcPr>
          <w:p w14:paraId="25D4DECF" w14:textId="77777777" w:rsidR="0012739C" w:rsidRDefault="0012739C" w:rsidP="0012739C">
            <w:pPr>
              <w:rPr>
                <w:rFonts w:ascii="Verdana" w:hAnsi="Verdana"/>
              </w:rPr>
            </w:pPr>
          </w:p>
        </w:tc>
        <w:tc>
          <w:tcPr>
            <w:tcW w:w="425" w:type="dxa"/>
          </w:tcPr>
          <w:p w14:paraId="72747BBF" w14:textId="77DB135E" w:rsidR="0012739C" w:rsidRPr="0012739C" w:rsidRDefault="0012739C" w:rsidP="0012739C">
            <w:pPr>
              <w:rPr>
                <w:rFonts w:ascii="Verdana" w:hAnsi="Verdana"/>
                <w:b/>
                <w:bCs/>
              </w:rPr>
            </w:pPr>
            <w:r>
              <w:rPr>
                <w:rFonts w:ascii="Verdana" w:hAnsi="Verdana"/>
                <w:b/>
                <w:bCs/>
              </w:rPr>
              <w:t>.</w:t>
            </w:r>
          </w:p>
        </w:tc>
        <w:tc>
          <w:tcPr>
            <w:tcW w:w="7938" w:type="dxa"/>
          </w:tcPr>
          <w:p w14:paraId="3E462032" w14:textId="1A85F752" w:rsidR="0012739C" w:rsidRDefault="0012739C" w:rsidP="0012739C">
            <w:pPr>
              <w:rPr>
                <w:rFonts w:ascii="Verdana" w:hAnsi="Verdana"/>
              </w:rPr>
            </w:pPr>
            <w:r>
              <w:rPr>
                <w:rFonts w:ascii="Verdana" w:hAnsi="Verdana"/>
              </w:rPr>
              <w:t>t</w:t>
            </w:r>
            <w:r w:rsidRPr="00B446C1">
              <w:rPr>
                <w:rFonts w:ascii="Verdana" w:hAnsi="Verdana"/>
              </w:rPr>
              <w:t xml:space="preserve">rip cancellations and </w:t>
            </w:r>
            <w:r>
              <w:rPr>
                <w:rFonts w:ascii="Verdana" w:hAnsi="Verdana"/>
              </w:rPr>
              <w:t xml:space="preserve">costs attending the </w:t>
            </w:r>
            <w:r w:rsidRPr="00B446C1">
              <w:rPr>
                <w:rFonts w:ascii="Verdana" w:hAnsi="Verdana"/>
              </w:rPr>
              <w:t xml:space="preserve">Covid-19 </w:t>
            </w:r>
            <w:r>
              <w:rPr>
                <w:rFonts w:ascii="Verdana" w:hAnsi="Verdana"/>
              </w:rPr>
              <w:t>pandemic</w:t>
            </w:r>
            <w:r w:rsidRPr="00B446C1">
              <w:rPr>
                <w:rFonts w:ascii="Verdana" w:hAnsi="Verdana"/>
              </w:rPr>
              <w:t xml:space="preserve"> (about 22% of the total increase in non-pay spending in the year)</w:t>
            </w:r>
            <w:r>
              <w:rPr>
                <w:rFonts w:ascii="Verdana" w:hAnsi="Verdana"/>
              </w:rPr>
              <w:t>.</w:t>
            </w:r>
          </w:p>
        </w:tc>
      </w:tr>
    </w:tbl>
    <w:p w14:paraId="73B5FA47" w14:textId="77777777" w:rsidR="003638BE" w:rsidRDefault="003638BE" w:rsidP="004F4C55"/>
    <w:tbl>
      <w:tblPr>
        <w:tblW w:w="9322" w:type="dxa"/>
        <w:tblLook w:val="04A0" w:firstRow="1" w:lastRow="0" w:firstColumn="1" w:lastColumn="0" w:noHBand="0" w:noVBand="1"/>
      </w:tblPr>
      <w:tblGrid>
        <w:gridCol w:w="534"/>
        <w:gridCol w:w="8788"/>
      </w:tblGrid>
      <w:tr w:rsidR="002D5314" w:rsidRPr="00A75E90" w14:paraId="5E8DF9EA" w14:textId="77777777" w:rsidTr="00F16D6B">
        <w:tc>
          <w:tcPr>
            <w:tcW w:w="534" w:type="dxa"/>
          </w:tcPr>
          <w:p w14:paraId="531EAA0D" w14:textId="77777777" w:rsidR="002D5314" w:rsidRPr="00A75E90" w:rsidRDefault="002D5314" w:rsidP="0075391C">
            <w:pPr>
              <w:rPr>
                <w:rFonts w:ascii="Verdana" w:hAnsi="Verdana"/>
                <w:b/>
              </w:rPr>
            </w:pPr>
          </w:p>
        </w:tc>
        <w:tc>
          <w:tcPr>
            <w:tcW w:w="8788" w:type="dxa"/>
          </w:tcPr>
          <w:p w14:paraId="6710DE7E" w14:textId="40FD08E4" w:rsidR="002D5314" w:rsidRDefault="00496B99" w:rsidP="0075391C">
            <w:pPr>
              <w:contextualSpacing/>
              <w:rPr>
                <w:rFonts w:ascii="Verdana" w:hAnsi="Verdana"/>
              </w:rPr>
            </w:pPr>
            <w:r>
              <w:rPr>
                <w:rFonts w:ascii="Verdana" w:hAnsi="Verdana"/>
              </w:rPr>
              <w:t xml:space="preserve">In response to members’ questions, it was confirmed that savings in the year to date result from non-enrolment by staff in the relevant pension schemes, though this cannot </w:t>
            </w:r>
            <w:r w:rsidR="00284E8F">
              <w:rPr>
                <w:rFonts w:ascii="Verdana" w:hAnsi="Verdana"/>
              </w:rPr>
              <w:t xml:space="preserve">continue to </w:t>
            </w:r>
            <w:r>
              <w:rPr>
                <w:rFonts w:ascii="Verdana" w:hAnsi="Verdana"/>
              </w:rPr>
              <w:t>be guaranteed owing to the recurrent three-year cycle of auto-enrolment</w:t>
            </w:r>
            <w:r w:rsidR="00D34C4C">
              <w:rPr>
                <w:rFonts w:ascii="Verdana" w:hAnsi="Verdana"/>
              </w:rPr>
              <w:t xml:space="preserve">, and </w:t>
            </w:r>
            <w:r w:rsidR="00284E8F">
              <w:rPr>
                <w:rFonts w:ascii="Verdana" w:hAnsi="Verdana"/>
              </w:rPr>
              <w:t xml:space="preserve">from </w:t>
            </w:r>
            <w:r w:rsidR="00D34C4C">
              <w:rPr>
                <w:rFonts w:ascii="Verdana" w:hAnsi="Verdana"/>
              </w:rPr>
              <w:t>new members of staff not being appointed at the top of the appropriate salary scales.</w:t>
            </w:r>
          </w:p>
          <w:p w14:paraId="2DFED0CB" w14:textId="77777777" w:rsidR="00D34C4C" w:rsidRDefault="00D34C4C" w:rsidP="0075391C">
            <w:pPr>
              <w:contextualSpacing/>
              <w:rPr>
                <w:rFonts w:ascii="Verdana" w:hAnsi="Verdana"/>
              </w:rPr>
            </w:pPr>
          </w:p>
          <w:p w14:paraId="5A6E8FC2" w14:textId="45F123AC" w:rsidR="00D34C4C" w:rsidRPr="00A75E90" w:rsidRDefault="00D34C4C" w:rsidP="0075391C">
            <w:pPr>
              <w:contextualSpacing/>
              <w:rPr>
                <w:rFonts w:ascii="Verdana" w:hAnsi="Verdana"/>
              </w:rPr>
            </w:pPr>
            <w:r>
              <w:rPr>
                <w:rFonts w:ascii="Verdana" w:hAnsi="Verdana"/>
              </w:rPr>
              <w:t>Members noted the report, and expressed satisfaction at the College’s financial performance against budget in the year to date.</w:t>
            </w:r>
          </w:p>
        </w:tc>
      </w:tr>
    </w:tbl>
    <w:p w14:paraId="2DF206FA" w14:textId="7D2B1E16" w:rsidR="009D6225" w:rsidRDefault="009D6225" w:rsidP="004F4C55"/>
    <w:p w14:paraId="7A2E3A95" w14:textId="5A8A6B6D" w:rsidR="00C25D58" w:rsidRDefault="00C25D58" w:rsidP="004F4C55"/>
    <w:p w14:paraId="0B4813D6" w14:textId="672DA70C" w:rsidR="00C25D58" w:rsidRDefault="00C25D58" w:rsidP="004F4C55"/>
    <w:p w14:paraId="5D6E5AF0" w14:textId="6DA39262" w:rsidR="00C25D58" w:rsidRDefault="00C25D58" w:rsidP="004F4C55"/>
    <w:p w14:paraId="3733BAB4" w14:textId="568E6408" w:rsidR="00C25D58" w:rsidRDefault="00C25D58" w:rsidP="004F4C55"/>
    <w:p w14:paraId="2FA05C2D" w14:textId="35FCF8F3" w:rsidR="00C25D58" w:rsidRDefault="00C25D58" w:rsidP="004F4C55"/>
    <w:p w14:paraId="44E74A82" w14:textId="78223AF5" w:rsidR="00C25D58" w:rsidRDefault="00C25D58" w:rsidP="004F4C55"/>
    <w:p w14:paraId="543CD21F" w14:textId="77777777" w:rsidR="00C25D58" w:rsidRDefault="00C25D58" w:rsidP="004F4C55"/>
    <w:tbl>
      <w:tblPr>
        <w:tblW w:w="9322" w:type="dxa"/>
        <w:tblLook w:val="04A0" w:firstRow="1" w:lastRow="0" w:firstColumn="1" w:lastColumn="0" w:noHBand="0" w:noVBand="1"/>
      </w:tblPr>
      <w:tblGrid>
        <w:gridCol w:w="534"/>
        <w:gridCol w:w="8788"/>
      </w:tblGrid>
      <w:tr w:rsidR="00AB5692" w:rsidRPr="00AB5692" w14:paraId="5AE38354" w14:textId="77777777" w:rsidTr="00F16D6B">
        <w:tc>
          <w:tcPr>
            <w:tcW w:w="534" w:type="dxa"/>
          </w:tcPr>
          <w:p w14:paraId="78FCE741" w14:textId="4EE5F67A" w:rsidR="00AB5692" w:rsidRPr="00AB5692" w:rsidRDefault="00AB5692" w:rsidP="0075391C">
            <w:pPr>
              <w:rPr>
                <w:rFonts w:ascii="Verdana" w:hAnsi="Verdana"/>
                <w:b/>
              </w:rPr>
            </w:pPr>
            <w:r w:rsidRPr="00AB5692">
              <w:rPr>
                <w:rFonts w:ascii="Verdana" w:hAnsi="Verdana"/>
                <w:b/>
              </w:rPr>
              <w:lastRenderedPageBreak/>
              <w:t>7</w:t>
            </w:r>
          </w:p>
        </w:tc>
        <w:tc>
          <w:tcPr>
            <w:tcW w:w="8788" w:type="dxa"/>
          </w:tcPr>
          <w:p w14:paraId="7922329E" w14:textId="165F8E51" w:rsidR="00AB5692" w:rsidRPr="00AB5692" w:rsidRDefault="00AB5692" w:rsidP="00AB5692">
            <w:pPr>
              <w:pStyle w:val="NoSpacing"/>
              <w:rPr>
                <w:rFonts w:ascii="Verdana" w:hAnsi="Verdana"/>
                <w:b/>
              </w:rPr>
            </w:pPr>
            <w:r w:rsidRPr="00AB5692">
              <w:rPr>
                <w:rFonts w:ascii="Verdana" w:hAnsi="Verdana"/>
                <w:b/>
              </w:rPr>
              <w:t>Estimates of Income and Expenditure 2020-21 &amp; Two-Year Financial Forecast 2020-22</w:t>
            </w:r>
          </w:p>
          <w:p w14:paraId="60F247BD" w14:textId="77777777" w:rsidR="00AB5692" w:rsidRPr="00AB5692" w:rsidRDefault="00AB5692" w:rsidP="0075391C">
            <w:pPr>
              <w:rPr>
                <w:rFonts w:ascii="Verdana" w:hAnsi="Verdana"/>
                <w:b/>
              </w:rPr>
            </w:pPr>
          </w:p>
          <w:p w14:paraId="49B6F853" w14:textId="77777777" w:rsidR="00AB5692" w:rsidRPr="00AB5692" w:rsidRDefault="00AB5692" w:rsidP="0075391C">
            <w:pPr>
              <w:contextualSpacing/>
              <w:rPr>
                <w:rFonts w:ascii="Verdana" w:hAnsi="Verdana"/>
              </w:rPr>
            </w:pPr>
            <w:r w:rsidRPr="00AB5692">
              <w:rPr>
                <w:rFonts w:ascii="Verdana" w:hAnsi="Verdana"/>
              </w:rPr>
              <w:t xml:space="preserve">A report prepared by the Vice Principal: Corporate Services and the Finance Manager was received and considered. </w:t>
            </w:r>
          </w:p>
          <w:p w14:paraId="0B6159C1" w14:textId="77777777" w:rsidR="00AB5692" w:rsidRPr="00AB5692" w:rsidRDefault="00AB5692" w:rsidP="0075391C">
            <w:pPr>
              <w:contextualSpacing/>
              <w:rPr>
                <w:rFonts w:ascii="Verdana" w:hAnsi="Verdana"/>
              </w:rPr>
            </w:pPr>
          </w:p>
          <w:p w14:paraId="42129C91" w14:textId="73DA589A" w:rsidR="00D34C4C" w:rsidRDefault="00AB5692" w:rsidP="0075391C">
            <w:pPr>
              <w:contextualSpacing/>
              <w:rPr>
                <w:rFonts w:ascii="Verdana" w:hAnsi="Verdana" w:cs="Arial"/>
              </w:rPr>
            </w:pPr>
            <w:r w:rsidRPr="00AB5692">
              <w:rPr>
                <w:rFonts w:ascii="Verdana" w:hAnsi="Verdana"/>
              </w:rPr>
              <w:t>It was noted that it had been</w:t>
            </w:r>
            <w:r w:rsidRPr="00AB5692">
              <w:rPr>
                <w:rFonts w:ascii="Verdana" w:hAnsi="Verdana" w:cs="Arial"/>
              </w:rPr>
              <w:t xml:space="preserve"> agreed at the previous meeting that the annual estimates of income and expenditure be updated at the present meeting to reflect changed circumstances. </w:t>
            </w:r>
          </w:p>
          <w:p w14:paraId="192368A1" w14:textId="77777777" w:rsidR="00D34C4C" w:rsidRDefault="00D34C4C" w:rsidP="0075391C">
            <w:pPr>
              <w:contextualSpacing/>
              <w:rPr>
                <w:rFonts w:ascii="Verdana" w:hAnsi="Verdana" w:cs="Arial"/>
              </w:rPr>
            </w:pPr>
          </w:p>
          <w:p w14:paraId="4AC81D59" w14:textId="584D28D9" w:rsidR="00AB5692" w:rsidRPr="00AB5692" w:rsidRDefault="00D34C4C" w:rsidP="0075391C">
            <w:pPr>
              <w:contextualSpacing/>
              <w:rPr>
                <w:rFonts w:ascii="Verdana" w:hAnsi="Verdana" w:cs="Arial"/>
              </w:rPr>
            </w:pPr>
            <w:r>
              <w:rPr>
                <w:rFonts w:ascii="Verdana" w:hAnsi="Verdana" w:cs="Arial"/>
              </w:rPr>
              <w:t xml:space="preserve">It was noted that the latest iteration includes the effect of pay settlements negotiated between the Sixth Form Colleges’ Association and employee representatives, </w:t>
            </w:r>
            <w:r w:rsidR="00284E8F">
              <w:rPr>
                <w:rFonts w:ascii="Verdana" w:hAnsi="Verdana" w:cs="Arial"/>
              </w:rPr>
              <w:t>as well as making</w:t>
            </w:r>
            <w:r>
              <w:rPr>
                <w:rFonts w:ascii="Verdana" w:hAnsi="Verdana" w:cs="Arial"/>
              </w:rPr>
              <w:t xml:space="preserve"> provision for funding the College’s IT replacement programme.</w:t>
            </w:r>
            <w:r w:rsidR="00AB5692" w:rsidRPr="00AB5692">
              <w:rPr>
                <w:rFonts w:ascii="Verdana" w:hAnsi="Verdana" w:cs="Arial"/>
              </w:rPr>
              <w:t xml:space="preserve"> </w:t>
            </w:r>
            <w:r w:rsidR="007A2947">
              <w:rPr>
                <w:rFonts w:ascii="Verdana" w:hAnsi="Verdana" w:cs="Arial"/>
              </w:rPr>
              <w:t xml:space="preserve">  It also includes the </w:t>
            </w:r>
            <w:r w:rsidR="00284E8F">
              <w:rPr>
                <w:rFonts w:ascii="Verdana" w:hAnsi="Verdana" w:cs="Arial"/>
              </w:rPr>
              <w:t xml:space="preserve">extra </w:t>
            </w:r>
            <w:r w:rsidR="007A2947">
              <w:rPr>
                <w:rFonts w:ascii="Verdana" w:hAnsi="Verdana" w:cs="Arial"/>
              </w:rPr>
              <w:t xml:space="preserve">costs associated with the continuing Covid-19 pandemic, and </w:t>
            </w:r>
            <w:r w:rsidR="00284E8F">
              <w:rPr>
                <w:rFonts w:ascii="Verdana" w:hAnsi="Verdana" w:cs="Arial"/>
              </w:rPr>
              <w:t xml:space="preserve">the </w:t>
            </w:r>
            <w:r w:rsidR="007A2947">
              <w:rPr>
                <w:rFonts w:ascii="Verdana" w:hAnsi="Verdana" w:cs="Arial"/>
              </w:rPr>
              <w:t>attendant loss of income.</w:t>
            </w:r>
          </w:p>
          <w:p w14:paraId="6CB7B03E" w14:textId="77777777" w:rsidR="00AB5692" w:rsidRPr="00AB5692" w:rsidRDefault="00AB5692" w:rsidP="0075391C">
            <w:pPr>
              <w:contextualSpacing/>
              <w:rPr>
                <w:rFonts w:ascii="Verdana" w:hAnsi="Verdana"/>
              </w:rPr>
            </w:pPr>
          </w:p>
          <w:p w14:paraId="30BCED2C" w14:textId="6EA67767" w:rsidR="00AB5692" w:rsidRPr="00AB5692" w:rsidRDefault="00AB5692" w:rsidP="0075391C">
            <w:pPr>
              <w:contextualSpacing/>
              <w:rPr>
                <w:rFonts w:ascii="Verdana" w:hAnsi="Verdana"/>
              </w:rPr>
            </w:pPr>
            <w:r w:rsidRPr="00AB5692">
              <w:rPr>
                <w:rFonts w:ascii="Verdana" w:hAnsi="Verdana"/>
              </w:rPr>
              <w:t xml:space="preserve">The principal </w:t>
            </w:r>
            <w:r w:rsidR="00284E8F">
              <w:rPr>
                <w:rFonts w:ascii="Verdana" w:hAnsi="Verdana"/>
              </w:rPr>
              <w:t>uncertainti</w:t>
            </w:r>
            <w:r w:rsidR="00456414">
              <w:rPr>
                <w:rFonts w:ascii="Verdana" w:hAnsi="Verdana"/>
              </w:rPr>
              <w:t>e</w:t>
            </w:r>
            <w:r w:rsidRPr="00AB5692">
              <w:rPr>
                <w:rFonts w:ascii="Verdana" w:hAnsi="Verdana"/>
              </w:rPr>
              <w:t>s were noted to be:</w:t>
            </w:r>
          </w:p>
        </w:tc>
      </w:tr>
    </w:tbl>
    <w:p w14:paraId="707FC6D2" w14:textId="70FB4944" w:rsidR="002276CA" w:rsidRPr="00AB5692" w:rsidRDefault="002276CA"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AB5692" w:rsidRPr="00C91791" w14:paraId="3063CB25" w14:textId="77777777" w:rsidTr="00F16D6B">
        <w:tc>
          <w:tcPr>
            <w:tcW w:w="562" w:type="dxa"/>
          </w:tcPr>
          <w:p w14:paraId="42E2D848" w14:textId="77777777" w:rsidR="00AB5692" w:rsidRPr="00C91791" w:rsidRDefault="00AB5692" w:rsidP="0075391C">
            <w:pPr>
              <w:rPr>
                <w:rFonts w:ascii="Verdana" w:hAnsi="Verdana"/>
              </w:rPr>
            </w:pPr>
          </w:p>
        </w:tc>
        <w:tc>
          <w:tcPr>
            <w:tcW w:w="426" w:type="dxa"/>
          </w:tcPr>
          <w:p w14:paraId="13900B84" w14:textId="77777777" w:rsidR="00AB5692" w:rsidRPr="00C91791" w:rsidRDefault="00AB5692" w:rsidP="0075391C">
            <w:pPr>
              <w:rPr>
                <w:rFonts w:ascii="Verdana" w:hAnsi="Verdana"/>
                <w:b/>
                <w:bCs/>
              </w:rPr>
            </w:pPr>
            <w:r w:rsidRPr="00C91791">
              <w:rPr>
                <w:rFonts w:ascii="Verdana" w:hAnsi="Verdana"/>
                <w:b/>
                <w:bCs/>
              </w:rPr>
              <w:t>.</w:t>
            </w:r>
          </w:p>
        </w:tc>
        <w:tc>
          <w:tcPr>
            <w:tcW w:w="8363" w:type="dxa"/>
          </w:tcPr>
          <w:p w14:paraId="2BDCC749" w14:textId="0BC84661" w:rsidR="00AB5692" w:rsidRPr="00C91791" w:rsidRDefault="00AB5692" w:rsidP="0075391C">
            <w:pPr>
              <w:rPr>
                <w:rFonts w:ascii="Verdana" w:hAnsi="Verdana" w:cs="Arial"/>
              </w:rPr>
            </w:pPr>
            <w:r w:rsidRPr="00C91791">
              <w:rPr>
                <w:rFonts w:ascii="Verdana" w:hAnsi="Verdana" w:cs="Arial"/>
              </w:rPr>
              <w:t xml:space="preserve">a review of mainstream funding by the new government, </w:t>
            </w:r>
            <w:r w:rsidR="00456414">
              <w:rPr>
                <w:rFonts w:ascii="Verdana" w:hAnsi="Verdana" w:cs="Arial"/>
              </w:rPr>
              <w:t>with</w:t>
            </w:r>
            <w:r w:rsidRPr="00C91791">
              <w:rPr>
                <w:rFonts w:ascii="Verdana" w:hAnsi="Verdana" w:cs="Arial"/>
              </w:rPr>
              <w:t xml:space="preserve"> </w:t>
            </w:r>
            <w:r w:rsidR="00456414">
              <w:rPr>
                <w:rFonts w:ascii="Verdana" w:hAnsi="Verdana" w:cs="Arial"/>
              </w:rPr>
              <w:t xml:space="preserve">the </w:t>
            </w:r>
            <w:r w:rsidRPr="00C91791">
              <w:rPr>
                <w:rFonts w:ascii="Verdana" w:hAnsi="Verdana" w:cs="Arial"/>
              </w:rPr>
              <w:t xml:space="preserve">economic </w:t>
            </w:r>
            <w:r w:rsidR="00C91791">
              <w:rPr>
                <w:rFonts w:ascii="Verdana" w:hAnsi="Verdana" w:cs="Arial"/>
              </w:rPr>
              <w:t>effects of</w:t>
            </w:r>
            <w:r w:rsidRPr="00C91791">
              <w:rPr>
                <w:rFonts w:ascii="Verdana" w:hAnsi="Verdana" w:cs="Arial"/>
              </w:rPr>
              <w:t xml:space="preserve"> the Covid-19 crisis</w:t>
            </w:r>
            <w:r w:rsidR="00456414">
              <w:rPr>
                <w:rFonts w:ascii="Verdana" w:hAnsi="Verdana" w:cs="Arial"/>
              </w:rPr>
              <w:t xml:space="preserve"> making</w:t>
            </w:r>
            <w:r w:rsidRPr="00C91791">
              <w:rPr>
                <w:rFonts w:ascii="Verdana" w:hAnsi="Verdana" w:cs="Arial"/>
              </w:rPr>
              <w:t xml:space="preserve"> increased </w:t>
            </w:r>
            <w:r w:rsidR="00D34C4C">
              <w:rPr>
                <w:rFonts w:ascii="Verdana" w:hAnsi="Verdana" w:cs="Arial"/>
              </w:rPr>
              <w:t xml:space="preserve">baseline </w:t>
            </w:r>
            <w:r w:rsidRPr="00C91791">
              <w:rPr>
                <w:rFonts w:ascii="Verdana" w:hAnsi="Verdana" w:cs="Arial"/>
              </w:rPr>
              <w:t>funding appear less likely;</w:t>
            </w:r>
          </w:p>
          <w:p w14:paraId="181673C3" w14:textId="52554249" w:rsidR="00AB5692" w:rsidRPr="00C91791" w:rsidRDefault="00AB5692" w:rsidP="0075391C">
            <w:pPr>
              <w:rPr>
                <w:rFonts w:ascii="Verdana" w:hAnsi="Verdana"/>
              </w:rPr>
            </w:pPr>
          </w:p>
        </w:tc>
      </w:tr>
      <w:tr w:rsidR="00AB5692" w:rsidRPr="00C91791" w14:paraId="254DB20A" w14:textId="77777777" w:rsidTr="00F16D6B">
        <w:tc>
          <w:tcPr>
            <w:tcW w:w="562" w:type="dxa"/>
          </w:tcPr>
          <w:p w14:paraId="7F7512F8" w14:textId="77777777" w:rsidR="00AB5692" w:rsidRPr="00C91791" w:rsidRDefault="00AB5692" w:rsidP="0075391C">
            <w:pPr>
              <w:rPr>
                <w:rFonts w:ascii="Verdana" w:hAnsi="Verdana"/>
              </w:rPr>
            </w:pPr>
          </w:p>
        </w:tc>
        <w:tc>
          <w:tcPr>
            <w:tcW w:w="426" w:type="dxa"/>
          </w:tcPr>
          <w:p w14:paraId="4965ADB4" w14:textId="77777777" w:rsidR="00AB5692" w:rsidRPr="00C91791" w:rsidRDefault="00AB5692" w:rsidP="0075391C">
            <w:pPr>
              <w:rPr>
                <w:rFonts w:ascii="Verdana" w:hAnsi="Verdana"/>
                <w:b/>
                <w:bCs/>
              </w:rPr>
            </w:pPr>
            <w:r w:rsidRPr="00C91791">
              <w:rPr>
                <w:rFonts w:ascii="Verdana" w:hAnsi="Verdana"/>
                <w:b/>
                <w:bCs/>
              </w:rPr>
              <w:t>.</w:t>
            </w:r>
          </w:p>
        </w:tc>
        <w:tc>
          <w:tcPr>
            <w:tcW w:w="8363" w:type="dxa"/>
          </w:tcPr>
          <w:p w14:paraId="51B84E28" w14:textId="18A63AE0" w:rsidR="00AB5692" w:rsidRPr="00C91791" w:rsidRDefault="00AB5692" w:rsidP="0075391C">
            <w:pPr>
              <w:rPr>
                <w:rFonts w:ascii="Verdana" w:hAnsi="Verdana" w:cs="Arial"/>
                <w:i/>
                <w:iCs/>
              </w:rPr>
            </w:pPr>
            <w:r w:rsidRPr="00C91791">
              <w:rPr>
                <w:rFonts w:ascii="Verdana" w:hAnsi="Verdana" w:cs="Arial"/>
              </w:rPr>
              <w:t xml:space="preserve">the Teachers Pensions grant </w:t>
            </w:r>
            <w:r w:rsidRPr="00284E8F">
              <w:rPr>
                <w:rFonts w:ascii="Verdana" w:hAnsi="Verdana" w:cs="Arial"/>
                <w:i/>
                <w:iCs/>
              </w:rPr>
              <w:t xml:space="preserve">not </w:t>
            </w:r>
            <w:r w:rsidR="00C91791">
              <w:rPr>
                <w:rFonts w:ascii="Verdana" w:hAnsi="Verdana" w:cs="Arial"/>
              </w:rPr>
              <w:t xml:space="preserve">having </w:t>
            </w:r>
            <w:r w:rsidRPr="00C91791">
              <w:rPr>
                <w:rFonts w:ascii="Verdana" w:hAnsi="Verdana" w:cs="Arial"/>
              </w:rPr>
              <w:t xml:space="preserve">been confirmed beyond 31 March 2021; </w:t>
            </w:r>
            <w:r w:rsidRPr="00C91791">
              <w:rPr>
                <w:rFonts w:ascii="Verdana" w:hAnsi="Verdana" w:cs="Arial"/>
                <w:i/>
                <w:iCs/>
              </w:rPr>
              <w:t>and</w:t>
            </w:r>
          </w:p>
          <w:p w14:paraId="5CC5A4BC" w14:textId="76951E4C" w:rsidR="00AB5692" w:rsidRPr="00C91791" w:rsidRDefault="00AB5692" w:rsidP="0075391C">
            <w:pPr>
              <w:rPr>
                <w:rFonts w:ascii="Verdana" w:hAnsi="Verdana"/>
                <w:i/>
                <w:iCs/>
              </w:rPr>
            </w:pPr>
          </w:p>
        </w:tc>
      </w:tr>
      <w:tr w:rsidR="00AB5692" w:rsidRPr="00C91791" w14:paraId="2DFF98FC" w14:textId="77777777" w:rsidTr="00F16D6B">
        <w:tc>
          <w:tcPr>
            <w:tcW w:w="562" w:type="dxa"/>
          </w:tcPr>
          <w:p w14:paraId="30B3F922" w14:textId="77777777" w:rsidR="00AB5692" w:rsidRPr="00C91791" w:rsidRDefault="00AB5692" w:rsidP="0075391C">
            <w:pPr>
              <w:rPr>
                <w:rFonts w:ascii="Verdana" w:hAnsi="Verdana"/>
              </w:rPr>
            </w:pPr>
          </w:p>
        </w:tc>
        <w:tc>
          <w:tcPr>
            <w:tcW w:w="426" w:type="dxa"/>
          </w:tcPr>
          <w:p w14:paraId="03695C7B" w14:textId="77777777" w:rsidR="00AB5692" w:rsidRPr="00C91791" w:rsidRDefault="00AB5692" w:rsidP="0075391C">
            <w:pPr>
              <w:rPr>
                <w:rFonts w:ascii="Verdana" w:hAnsi="Verdana"/>
                <w:b/>
                <w:bCs/>
              </w:rPr>
            </w:pPr>
            <w:r w:rsidRPr="00C91791">
              <w:rPr>
                <w:rFonts w:ascii="Verdana" w:hAnsi="Verdana"/>
                <w:b/>
                <w:bCs/>
              </w:rPr>
              <w:t>.</w:t>
            </w:r>
          </w:p>
        </w:tc>
        <w:tc>
          <w:tcPr>
            <w:tcW w:w="8363" w:type="dxa"/>
          </w:tcPr>
          <w:p w14:paraId="7C0D86F6" w14:textId="38F391B6" w:rsidR="00AB5692" w:rsidRPr="00C91791" w:rsidRDefault="00C91791" w:rsidP="0075391C">
            <w:pPr>
              <w:rPr>
                <w:rFonts w:ascii="Verdana" w:hAnsi="Verdana"/>
              </w:rPr>
            </w:pPr>
            <w:r>
              <w:rPr>
                <w:rFonts w:ascii="Verdana" w:hAnsi="Verdana" w:cs="Arial"/>
              </w:rPr>
              <w:t xml:space="preserve">the </w:t>
            </w:r>
            <w:r w:rsidR="00284E8F">
              <w:rPr>
                <w:rFonts w:ascii="Verdana" w:hAnsi="Verdana" w:cs="Arial"/>
              </w:rPr>
              <w:t>unconfirmed</w:t>
            </w:r>
            <w:r>
              <w:rPr>
                <w:rFonts w:ascii="Verdana" w:hAnsi="Verdana" w:cs="Arial"/>
              </w:rPr>
              <w:t xml:space="preserve"> effect of the April 2020 </w:t>
            </w:r>
            <w:r w:rsidR="00AB5692" w:rsidRPr="00C91791">
              <w:rPr>
                <w:rFonts w:ascii="Verdana" w:hAnsi="Verdana" w:cs="Arial"/>
              </w:rPr>
              <w:t xml:space="preserve">pension auto-enrolment </w:t>
            </w:r>
            <w:r w:rsidR="00456414">
              <w:rPr>
                <w:rFonts w:ascii="Verdana" w:hAnsi="Verdana" w:cs="Arial"/>
              </w:rPr>
              <w:t xml:space="preserve">measures </w:t>
            </w:r>
            <w:r>
              <w:rPr>
                <w:rFonts w:ascii="Verdana" w:hAnsi="Verdana" w:cs="Arial"/>
              </w:rPr>
              <w:t>on</w:t>
            </w:r>
            <w:r w:rsidR="00AB5692" w:rsidRPr="00C91791">
              <w:rPr>
                <w:rFonts w:ascii="Verdana" w:hAnsi="Verdana" w:cs="Arial"/>
              </w:rPr>
              <w:t xml:space="preserve"> the level of staff</w:t>
            </w:r>
            <w:r>
              <w:rPr>
                <w:rFonts w:ascii="Verdana" w:hAnsi="Verdana" w:cs="Arial"/>
              </w:rPr>
              <w:t xml:space="preserve"> membership</w:t>
            </w:r>
            <w:r w:rsidR="00AB5692" w:rsidRPr="00C91791">
              <w:rPr>
                <w:rFonts w:ascii="Verdana" w:hAnsi="Verdana" w:cs="Arial"/>
              </w:rPr>
              <w:t xml:space="preserve"> </w:t>
            </w:r>
            <w:r>
              <w:rPr>
                <w:rFonts w:ascii="Verdana" w:hAnsi="Verdana" w:cs="Arial"/>
              </w:rPr>
              <w:t>of</w:t>
            </w:r>
            <w:r w:rsidR="00AB5692" w:rsidRPr="00C91791">
              <w:rPr>
                <w:rFonts w:ascii="Verdana" w:hAnsi="Verdana" w:cs="Arial"/>
              </w:rPr>
              <w:t xml:space="preserve"> the </w:t>
            </w:r>
            <w:r>
              <w:rPr>
                <w:rFonts w:ascii="Verdana" w:hAnsi="Verdana" w:cs="Arial"/>
              </w:rPr>
              <w:t xml:space="preserve">respective </w:t>
            </w:r>
            <w:r w:rsidR="00AB5692" w:rsidRPr="00C91791">
              <w:rPr>
                <w:rFonts w:ascii="Verdana" w:hAnsi="Verdana" w:cs="Arial"/>
              </w:rPr>
              <w:t>schemes.</w:t>
            </w:r>
          </w:p>
        </w:tc>
      </w:tr>
    </w:tbl>
    <w:p w14:paraId="7336B3F4" w14:textId="24451F9A" w:rsidR="002276CA" w:rsidRPr="00C91791" w:rsidRDefault="002276CA" w:rsidP="004F4C55">
      <w:pPr>
        <w:rPr>
          <w:rFonts w:ascii="Verdana" w:hAnsi="Verdana"/>
        </w:rPr>
      </w:pPr>
    </w:p>
    <w:tbl>
      <w:tblPr>
        <w:tblW w:w="9322" w:type="dxa"/>
        <w:tblLook w:val="04A0" w:firstRow="1" w:lastRow="0" w:firstColumn="1" w:lastColumn="0" w:noHBand="0" w:noVBand="1"/>
      </w:tblPr>
      <w:tblGrid>
        <w:gridCol w:w="534"/>
        <w:gridCol w:w="8788"/>
      </w:tblGrid>
      <w:tr w:rsidR="004829BB" w:rsidRPr="00C91791" w14:paraId="45303BAF" w14:textId="77777777" w:rsidTr="00F16D6B">
        <w:tc>
          <w:tcPr>
            <w:tcW w:w="534" w:type="dxa"/>
          </w:tcPr>
          <w:p w14:paraId="64ACCA1B" w14:textId="77777777" w:rsidR="004829BB" w:rsidRPr="00C91791" w:rsidRDefault="004829BB" w:rsidP="0075391C">
            <w:pPr>
              <w:rPr>
                <w:rFonts w:ascii="Verdana" w:hAnsi="Verdana"/>
                <w:b/>
              </w:rPr>
            </w:pPr>
          </w:p>
        </w:tc>
        <w:tc>
          <w:tcPr>
            <w:tcW w:w="8788" w:type="dxa"/>
          </w:tcPr>
          <w:p w14:paraId="53D24865" w14:textId="57AB48D0" w:rsidR="004829BB" w:rsidRPr="00C91791" w:rsidRDefault="004829BB" w:rsidP="0075391C">
            <w:pPr>
              <w:contextualSpacing/>
              <w:rPr>
                <w:rFonts w:ascii="Verdana" w:hAnsi="Verdana"/>
              </w:rPr>
            </w:pPr>
            <w:r w:rsidRPr="00C91791">
              <w:rPr>
                <w:rFonts w:ascii="Verdana" w:hAnsi="Verdana"/>
              </w:rPr>
              <w:t>A deficit budget of £130,000 (leav</w:t>
            </w:r>
            <w:r w:rsidR="00456414">
              <w:rPr>
                <w:rFonts w:ascii="Verdana" w:hAnsi="Verdana"/>
              </w:rPr>
              <w:t>ing</w:t>
            </w:r>
            <w:r w:rsidRPr="00C91791">
              <w:rPr>
                <w:rFonts w:ascii="Verdana" w:hAnsi="Verdana"/>
              </w:rPr>
              <w:t xml:space="preserve"> the College in the Good financial health category) had been proposed for the 2020-21 year</w:t>
            </w:r>
            <w:r w:rsidR="00D34C4C">
              <w:rPr>
                <w:rFonts w:ascii="Verdana" w:hAnsi="Verdana"/>
              </w:rPr>
              <w:t xml:space="preserve"> (previous estimate: deficit £70,000)</w:t>
            </w:r>
            <w:r w:rsidRPr="00C91791">
              <w:rPr>
                <w:rFonts w:ascii="Verdana" w:hAnsi="Verdana"/>
              </w:rPr>
              <w:t xml:space="preserve"> in order to </w:t>
            </w:r>
            <w:r w:rsidR="001D3131" w:rsidRPr="00C91791">
              <w:rPr>
                <w:rFonts w:ascii="Verdana" w:hAnsi="Verdana"/>
              </w:rPr>
              <w:t xml:space="preserve">meet </w:t>
            </w:r>
            <w:r w:rsidR="00D5467D">
              <w:rPr>
                <w:rFonts w:ascii="Verdana" w:hAnsi="Verdana"/>
              </w:rPr>
              <w:t>non-recurrent</w:t>
            </w:r>
            <w:r w:rsidR="001D3131" w:rsidRPr="00C91791">
              <w:rPr>
                <w:rFonts w:ascii="Verdana" w:hAnsi="Verdana"/>
              </w:rPr>
              <w:t xml:space="preserve"> costs incurred </w:t>
            </w:r>
            <w:r w:rsidR="00456414">
              <w:rPr>
                <w:rFonts w:ascii="Verdana" w:hAnsi="Verdana"/>
              </w:rPr>
              <w:t>as a result of</w:t>
            </w:r>
            <w:r w:rsidR="001D3131" w:rsidRPr="00C91791">
              <w:rPr>
                <w:rFonts w:ascii="Verdana" w:hAnsi="Verdana"/>
              </w:rPr>
              <w:t xml:space="preserve"> </w:t>
            </w:r>
            <w:r w:rsidRPr="00C91791">
              <w:rPr>
                <w:rFonts w:ascii="Verdana" w:hAnsi="Verdana"/>
              </w:rPr>
              <w:t>provid</w:t>
            </w:r>
            <w:r w:rsidR="001D3131" w:rsidRPr="00C91791">
              <w:rPr>
                <w:rFonts w:ascii="Verdana" w:hAnsi="Verdana"/>
              </w:rPr>
              <w:t>ing</w:t>
            </w:r>
            <w:r w:rsidRPr="00C91791">
              <w:rPr>
                <w:rFonts w:ascii="Verdana" w:hAnsi="Verdana"/>
              </w:rPr>
              <w:t xml:space="preserve"> for:</w:t>
            </w:r>
          </w:p>
        </w:tc>
      </w:tr>
    </w:tbl>
    <w:p w14:paraId="0ADA227A" w14:textId="77777777" w:rsidR="00AB5692" w:rsidRPr="004829BB" w:rsidRDefault="00AB5692"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4829BB" w:rsidRPr="004829BB" w14:paraId="5435AB7C" w14:textId="77777777" w:rsidTr="00F16D6B">
        <w:tc>
          <w:tcPr>
            <w:tcW w:w="562" w:type="dxa"/>
          </w:tcPr>
          <w:p w14:paraId="106F466A" w14:textId="77777777" w:rsidR="004829BB" w:rsidRPr="004829BB" w:rsidRDefault="004829BB" w:rsidP="0075391C">
            <w:pPr>
              <w:rPr>
                <w:rFonts w:ascii="Verdana" w:hAnsi="Verdana"/>
              </w:rPr>
            </w:pPr>
          </w:p>
        </w:tc>
        <w:tc>
          <w:tcPr>
            <w:tcW w:w="426" w:type="dxa"/>
          </w:tcPr>
          <w:p w14:paraId="17ED0868" w14:textId="77777777" w:rsidR="004829BB" w:rsidRPr="004829BB" w:rsidRDefault="004829BB" w:rsidP="0075391C">
            <w:pPr>
              <w:rPr>
                <w:rFonts w:ascii="Verdana" w:hAnsi="Verdana"/>
                <w:b/>
                <w:bCs/>
              </w:rPr>
            </w:pPr>
            <w:r w:rsidRPr="004829BB">
              <w:rPr>
                <w:rFonts w:ascii="Verdana" w:hAnsi="Verdana"/>
                <w:b/>
                <w:bCs/>
              </w:rPr>
              <w:t>.</w:t>
            </w:r>
          </w:p>
        </w:tc>
        <w:tc>
          <w:tcPr>
            <w:tcW w:w="8363" w:type="dxa"/>
          </w:tcPr>
          <w:p w14:paraId="62F4F8A9" w14:textId="592901F7" w:rsidR="004829BB" w:rsidRPr="004829BB" w:rsidRDefault="004829BB" w:rsidP="0075391C">
            <w:pPr>
              <w:rPr>
                <w:rFonts w:ascii="Verdana" w:hAnsi="Verdana" w:cs="Arial"/>
              </w:rPr>
            </w:pPr>
            <w:r w:rsidRPr="004829BB">
              <w:rPr>
                <w:rFonts w:ascii="Verdana" w:hAnsi="Verdana" w:cs="Arial"/>
              </w:rPr>
              <w:t xml:space="preserve">assistance to students adversely affected by the lockdown owing to lack of resources or </w:t>
            </w:r>
            <w:r w:rsidR="00D5467D">
              <w:rPr>
                <w:rFonts w:ascii="Verdana" w:hAnsi="Verdana" w:cs="Arial"/>
              </w:rPr>
              <w:t xml:space="preserve">a </w:t>
            </w:r>
            <w:r w:rsidR="00D34C4C">
              <w:rPr>
                <w:rFonts w:ascii="Verdana" w:hAnsi="Verdana" w:cs="Arial"/>
              </w:rPr>
              <w:t>sub-optimal</w:t>
            </w:r>
            <w:r w:rsidRPr="004829BB">
              <w:rPr>
                <w:rFonts w:ascii="Verdana" w:hAnsi="Verdana" w:cs="Arial"/>
              </w:rPr>
              <w:t xml:space="preserve"> home environment;</w:t>
            </w:r>
          </w:p>
          <w:p w14:paraId="6A1C2148" w14:textId="48182FF7" w:rsidR="004829BB" w:rsidRPr="004829BB" w:rsidRDefault="004829BB" w:rsidP="0075391C">
            <w:pPr>
              <w:rPr>
                <w:rFonts w:ascii="Verdana" w:hAnsi="Verdana"/>
              </w:rPr>
            </w:pPr>
          </w:p>
        </w:tc>
      </w:tr>
      <w:tr w:rsidR="004829BB" w:rsidRPr="00AB5692" w14:paraId="797BDBFA" w14:textId="77777777" w:rsidTr="00F16D6B">
        <w:tc>
          <w:tcPr>
            <w:tcW w:w="562" w:type="dxa"/>
          </w:tcPr>
          <w:p w14:paraId="2A009634" w14:textId="77777777" w:rsidR="004829BB" w:rsidRPr="00AB5692" w:rsidRDefault="004829BB" w:rsidP="0075391C">
            <w:pPr>
              <w:rPr>
                <w:rFonts w:ascii="Verdana" w:hAnsi="Verdana"/>
              </w:rPr>
            </w:pPr>
          </w:p>
        </w:tc>
        <w:tc>
          <w:tcPr>
            <w:tcW w:w="426" w:type="dxa"/>
          </w:tcPr>
          <w:p w14:paraId="738F20C7" w14:textId="77777777" w:rsidR="004829BB" w:rsidRPr="00AB5692" w:rsidRDefault="004829BB" w:rsidP="0075391C">
            <w:pPr>
              <w:rPr>
                <w:rFonts w:ascii="Verdana" w:hAnsi="Verdana"/>
                <w:b/>
                <w:bCs/>
              </w:rPr>
            </w:pPr>
            <w:r w:rsidRPr="00AB5692">
              <w:rPr>
                <w:rFonts w:ascii="Verdana" w:hAnsi="Verdana"/>
                <w:b/>
                <w:bCs/>
              </w:rPr>
              <w:t>.</w:t>
            </w:r>
          </w:p>
        </w:tc>
        <w:tc>
          <w:tcPr>
            <w:tcW w:w="8363" w:type="dxa"/>
          </w:tcPr>
          <w:p w14:paraId="2AAC8FD5" w14:textId="25477224" w:rsidR="004829BB" w:rsidRDefault="004829BB" w:rsidP="0075391C">
            <w:pPr>
              <w:rPr>
                <w:rFonts w:ascii="Verdana" w:hAnsi="Verdana" w:cs="Arial"/>
              </w:rPr>
            </w:pPr>
            <w:r w:rsidRPr="004829BB">
              <w:rPr>
                <w:rFonts w:ascii="Verdana" w:hAnsi="Verdana" w:cs="Arial"/>
              </w:rPr>
              <w:t xml:space="preserve">Saturday classes, and later weekday opening to assist students most </w:t>
            </w:r>
            <w:r>
              <w:rPr>
                <w:rFonts w:ascii="Verdana" w:hAnsi="Verdana" w:cs="Arial"/>
              </w:rPr>
              <w:t>serious</w:t>
            </w:r>
            <w:r w:rsidRPr="004829BB">
              <w:rPr>
                <w:rFonts w:ascii="Verdana" w:hAnsi="Verdana" w:cs="Arial"/>
              </w:rPr>
              <w:t>ly affected by the lockdown</w:t>
            </w:r>
            <w:r w:rsidR="00D34C4C">
              <w:rPr>
                <w:rFonts w:ascii="Verdana" w:hAnsi="Verdana" w:cs="Arial"/>
              </w:rPr>
              <w:t xml:space="preserve"> to make good learning deficits</w:t>
            </w:r>
            <w:r>
              <w:rPr>
                <w:rFonts w:ascii="Verdana" w:hAnsi="Verdana" w:cs="Arial"/>
              </w:rPr>
              <w:t xml:space="preserve">; </w:t>
            </w:r>
            <w:r w:rsidRPr="004829BB">
              <w:rPr>
                <w:rFonts w:ascii="Verdana" w:hAnsi="Verdana" w:cs="Arial"/>
                <w:i/>
                <w:iCs/>
              </w:rPr>
              <w:t xml:space="preserve">and </w:t>
            </w:r>
            <w:r w:rsidRPr="004829BB">
              <w:rPr>
                <w:rFonts w:ascii="Verdana" w:hAnsi="Verdana" w:cs="Arial"/>
              </w:rPr>
              <w:t xml:space="preserve">  </w:t>
            </w:r>
          </w:p>
          <w:p w14:paraId="1B391F8B" w14:textId="7C823808" w:rsidR="004829BB" w:rsidRPr="004829BB" w:rsidRDefault="004829BB" w:rsidP="0075391C">
            <w:pPr>
              <w:rPr>
                <w:rFonts w:ascii="Verdana" w:hAnsi="Verdana"/>
                <w:i/>
                <w:iCs/>
              </w:rPr>
            </w:pPr>
          </w:p>
        </w:tc>
      </w:tr>
      <w:tr w:rsidR="004829BB" w:rsidRPr="00AB5692" w14:paraId="1F9495A3" w14:textId="77777777" w:rsidTr="00F16D6B">
        <w:tc>
          <w:tcPr>
            <w:tcW w:w="562" w:type="dxa"/>
          </w:tcPr>
          <w:p w14:paraId="1FB306C6" w14:textId="77777777" w:rsidR="004829BB" w:rsidRPr="00AB5692" w:rsidRDefault="004829BB" w:rsidP="0075391C">
            <w:pPr>
              <w:rPr>
                <w:rFonts w:ascii="Verdana" w:hAnsi="Verdana"/>
              </w:rPr>
            </w:pPr>
          </w:p>
        </w:tc>
        <w:tc>
          <w:tcPr>
            <w:tcW w:w="426" w:type="dxa"/>
          </w:tcPr>
          <w:p w14:paraId="3217A4A2" w14:textId="77777777" w:rsidR="004829BB" w:rsidRPr="00AB5692" w:rsidRDefault="004829BB" w:rsidP="0075391C">
            <w:pPr>
              <w:rPr>
                <w:rFonts w:ascii="Verdana" w:hAnsi="Verdana"/>
                <w:b/>
                <w:bCs/>
              </w:rPr>
            </w:pPr>
            <w:r w:rsidRPr="00AB5692">
              <w:rPr>
                <w:rFonts w:ascii="Verdana" w:hAnsi="Verdana"/>
                <w:b/>
                <w:bCs/>
              </w:rPr>
              <w:t>.</w:t>
            </w:r>
          </w:p>
        </w:tc>
        <w:tc>
          <w:tcPr>
            <w:tcW w:w="8363" w:type="dxa"/>
          </w:tcPr>
          <w:p w14:paraId="5013B85D" w14:textId="30418CCE" w:rsidR="004829BB" w:rsidRPr="00AB5692" w:rsidRDefault="004829BB" w:rsidP="0075391C">
            <w:pPr>
              <w:rPr>
                <w:rFonts w:ascii="Verdana" w:hAnsi="Verdana"/>
              </w:rPr>
            </w:pPr>
            <w:r w:rsidRPr="004829BB">
              <w:rPr>
                <w:rFonts w:ascii="Verdana" w:hAnsi="Verdana" w:cs="Arial"/>
              </w:rPr>
              <w:t xml:space="preserve">a </w:t>
            </w:r>
            <w:r w:rsidR="00D34C4C">
              <w:rPr>
                <w:rFonts w:ascii="Verdana" w:hAnsi="Verdana" w:cs="Arial"/>
              </w:rPr>
              <w:t>significantly</w:t>
            </w:r>
            <w:r w:rsidRPr="004829BB">
              <w:rPr>
                <w:rFonts w:ascii="Verdana" w:hAnsi="Verdana" w:cs="Arial"/>
              </w:rPr>
              <w:t xml:space="preserve"> higher level of holiday classes than </w:t>
            </w:r>
            <w:r w:rsidR="00456414">
              <w:rPr>
                <w:rFonts w:ascii="Verdana" w:hAnsi="Verdana" w:cs="Arial"/>
              </w:rPr>
              <w:t>original</w:t>
            </w:r>
            <w:r w:rsidRPr="004829BB">
              <w:rPr>
                <w:rFonts w:ascii="Verdana" w:hAnsi="Verdana" w:cs="Arial"/>
              </w:rPr>
              <w:t xml:space="preserve">ly </w:t>
            </w:r>
            <w:r>
              <w:rPr>
                <w:rFonts w:ascii="Verdana" w:hAnsi="Verdana" w:cs="Arial"/>
              </w:rPr>
              <w:t>planned.</w:t>
            </w:r>
          </w:p>
        </w:tc>
      </w:tr>
    </w:tbl>
    <w:p w14:paraId="341E1CD6" w14:textId="3C55D8B0" w:rsidR="00D34C4C" w:rsidRDefault="00D34C4C" w:rsidP="004F4C55"/>
    <w:p w14:paraId="4466A138" w14:textId="3043AD8C" w:rsidR="00C25D58" w:rsidRDefault="00C25D58" w:rsidP="004F4C55"/>
    <w:p w14:paraId="2F65A349" w14:textId="6935EFAC" w:rsidR="00C25D58" w:rsidRDefault="00C25D58" w:rsidP="004F4C55"/>
    <w:p w14:paraId="5538969D" w14:textId="76F6EBE9" w:rsidR="00C25D58" w:rsidRDefault="00C25D58" w:rsidP="004F4C55"/>
    <w:p w14:paraId="79C5328A" w14:textId="1D30E3BA" w:rsidR="00C25D58" w:rsidRDefault="00C25D58" w:rsidP="004F4C55"/>
    <w:p w14:paraId="779D1954" w14:textId="60E1A5A6" w:rsidR="00C25D58" w:rsidRDefault="00C25D58" w:rsidP="004F4C55"/>
    <w:p w14:paraId="4B9CAE24" w14:textId="54D176F0" w:rsidR="00C25D58" w:rsidRDefault="00C25D58" w:rsidP="004F4C55"/>
    <w:p w14:paraId="02CCC98E" w14:textId="055D0370" w:rsidR="00C25D58" w:rsidRDefault="00C25D58" w:rsidP="004F4C55"/>
    <w:p w14:paraId="5C5991AA" w14:textId="73361D82" w:rsidR="00C25D58" w:rsidRDefault="00C25D58" w:rsidP="004F4C55"/>
    <w:p w14:paraId="7E16F152" w14:textId="5134C29C" w:rsidR="00C25D58" w:rsidRDefault="00C25D58" w:rsidP="004F4C55"/>
    <w:p w14:paraId="701AC332" w14:textId="4DBF3DEA" w:rsidR="00C25D58" w:rsidRDefault="00C25D58" w:rsidP="004F4C55"/>
    <w:p w14:paraId="3CB71173" w14:textId="77777777" w:rsidR="00C25D58" w:rsidRDefault="00C25D58" w:rsidP="004F4C55"/>
    <w:tbl>
      <w:tblPr>
        <w:tblW w:w="9322" w:type="dxa"/>
        <w:tblLook w:val="04A0" w:firstRow="1" w:lastRow="0" w:firstColumn="1" w:lastColumn="0" w:noHBand="0" w:noVBand="1"/>
      </w:tblPr>
      <w:tblGrid>
        <w:gridCol w:w="534"/>
        <w:gridCol w:w="8788"/>
      </w:tblGrid>
      <w:tr w:rsidR="001D3131" w:rsidRPr="004829BB" w14:paraId="5ADA9C8C" w14:textId="77777777" w:rsidTr="00F16D6B">
        <w:tc>
          <w:tcPr>
            <w:tcW w:w="534" w:type="dxa"/>
          </w:tcPr>
          <w:p w14:paraId="0663D449" w14:textId="77777777" w:rsidR="001D3131" w:rsidRPr="004829BB" w:rsidRDefault="001D3131" w:rsidP="0075391C">
            <w:pPr>
              <w:rPr>
                <w:rFonts w:ascii="Verdana" w:hAnsi="Verdana"/>
                <w:b/>
              </w:rPr>
            </w:pPr>
          </w:p>
        </w:tc>
        <w:tc>
          <w:tcPr>
            <w:tcW w:w="8788" w:type="dxa"/>
          </w:tcPr>
          <w:p w14:paraId="3ED3B52F" w14:textId="6C112A66" w:rsidR="001D3131" w:rsidRPr="004829BB" w:rsidRDefault="00F16D6B" w:rsidP="0075391C">
            <w:pPr>
              <w:contextualSpacing/>
              <w:rPr>
                <w:rFonts w:ascii="Verdana" w:hAnsi="Verdana"/>
              </w:rPr>
            </w:pPr>
            <w:r>
              <w:rPr>
                <w:rFonts w:ascii="Verdana" w:hAnsi="Verdana"/>
              </w:rPr>
              <w:t>P</w:t>
            </w:r>
            <w:r w:rsidR="001D3131">
              <w:rPr>
                <w:rFonts w:ascii="Verdana" w:hAnsi="Verdana"/>
              </w:rPr>
              <w:t>rojected KPIs were noted in the context of the above proposals:</w:t>
            </w:r>
          </w:p>
        </w:tc>
      </w:tr>
    </w:tbl>
    <w:p w14:paraId="0E6B8D70" w14:textId="0FD0B829" w:rsidR="0086749B" w:rsidRDefault="0086749B"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529"/>
        <w:gridCol w:w="992"/>
        <w:gridCol w:w="1134"/>
        <w:gridCol w:w="1134"/>
      </w:tblGrid>
      <w:tr w:rsidR="00B070DC" w14:paraId="6A822A33" w14:textId="77777777" w:rsidTr="00C25D58">
        <w:tc>
          <w:tcPr>
            <w:tcW w:w="562" w:type="dxa"/>
          </w:tcPr>
          <w:p w14:paraId="25FF055A" w14:textId="77777777" w:rsidR="00B070DC" w:rsidRPr="00B070DC" w:rsidRDefault="00B070DC" w:rsidP="004F4C55">
            <w:pPr>
              <w:rPr>
                <w:rFonts w:ascii="Verdana" w:hAnsi="Verdana"/>
              </w:rPr>
            </w:pPr>
          </w:p>
        </w:tc>
        <w:tc>
          <w:tcPr>
            <w:tcW w:w="5529" w:type="dxa"/>
          </w:tcPr>
          <w:p w14:paraId="29E8EB74" w14:textId="77777777" w:rsidR="00B070DC" w:rsidRDefault="00B070DC" w:rsidP="004F4C55">
            <w:pPr>
              <w:rPr>
                <w:rFonts w:ascii="Verdana" w:hAnsi="Verdana"/>
                <w:b/>
                <w:bCs/>
              </w:rPr>
            </w:pPr>
            <w:r w:rsidRPr="00B070DC">
              <w:rPr>
                <w:rFonts w:ascii="Verdana" w:hAnsi="Verdana"/>
                <w:b/>
                <w:bCs/>
              </w:rPr>
              <w:t>Ratios</w:t>
            </w:r>
          </w:p>
          <w:p w14:paraId="437D2403" w14:textId="132FC017" w:rsidR="00B070DC" w:rsidRPr="00B070DC" w:rsidRDefault="00B070DC" w:rsidP="004F4C55">
            <w:pPr>
              <w:rPr>
                <w:rFonts w:ascii="Verdana" w:hAnsi="Verdana"/>
                <w:b/>
                <w:bCs/>
              </w:rPr>
            </w:pPr>
          </w:p>
        </w:tc>
        <w:tc>
          <w:tcPr>
            <w:tcW w:w="992" w:type="dxa"/>
          </w:tcPr>
          <w:p w14:paraId="32DB6A85" w14:textId="287B1CE1" w:rsidR="00B070DC" w:rsidRPr="00B070DC" w:rsidRDefault="00B070DC" w:rsidP="00B070DC">
            <w:pPr>
              <w:jc w:val="right"/>
              <w:rPr>
                <w:rFonts w:ascii="Verdana" w:hAnsi="Verdana"/>
                <w:b/>
                <w:bCs/>
              </w:rPr>
            </w:pPr>
            <w:r w:rsidRPr="00B070DC">
              <w:rPr>
                <w:rFonts w:ascii="Verdana" w:hAnsi="Verdana"/>
                <w:b/>
                <w:bCs/>
              </w:rPr>
              <w:t>2020</w:t>
            </w:r>
          </w:p>
        </w:tc>
        <w:tc>
          <w:tcPr>
            <w:tcW w:w="1134" w:type="dxa"/>
          </w:tcPr>
          <w:p w14:paraId="26924B95" w14:textId="3B51607D" w:rsidR="00B070DC" w:rsidRPr="00B070DC" w:rsidRDefault="00B070DC" w:rsidP="00B070DC">
            <w:pPr>
              <w:jc w:val="right"/>
              <w:rPr>
                <w:rFonts w:ascii="Verdana" w:hAnsi="Verdana"/>
                <w:b/>
                <w:bCs/>
              </w:rPr>
            </w:pPr>
            <w:r w:rsidRPr="00B070DC">
              <w:rPr>
                <w:rFonts w:ascii="Verdana" w:hAnsi="Verdana"/>
                <w:b/>
                <w:bCs/>
              </w:rPr>
              <w:t>2021</w:t>
            </w:r>
          </w:p>
        </w:tc>
        <w:tc>
          <w:tcPr>
            <w:tcW w:w="1134" w:type="dxa"/>
          </w:tcPr>
          <w:p w14:paraId="556A4FBF" w14:textId="2F7ACDE8" w:rsidR="00B070DC" w:rsidRPr="00B070DC" w:rsidRDefault="00B070DC" w:rsidP="00B070DC">
            <w:pPr>
              <w:jc w:val="right"/>
              <w:rPr>
                <w:rFonts w:ascii="Verdana" w:hAnsi="Verdana"/>
                <w:b/>
                <w:bCs/>
              </w:rPr>
            </w:pPr>
            <w:r w:rsidRPr="00B070DC">
              <w:rPr>
                <w:rFonts w:ascii="Verdana" w:hAnsi="Verdana"/>
                <w:b/>
                <w:bCs/>
              </w:rPr>
              <w:t>2022</w:t>
            </w:r>
          </w:p>
        </w:tc>
      </w:tr>
      <w:tr w:rsidR="00B070DC" w14:paraId="0D6A35BE" w14:textId="77777777" w:rsidTr="00C25D58">
        <w:tc>
          <w:tcPr>
            <w:tcW w:w="562" w:type="dxa"/>
          </w:tcPr>
          <w:p w14:paraId="1E99E23C" w14:textId="77777777" w:rsidR="00B070DC" w:rsidRPr="00B070DC" w:rsidRDefault="00B070DC" w:rsidP="004F4C55">
            <w:pPr>
              <w:rPr>
                <w:rFonts w:ascii="Verdana" w:hAnsi="Verdana"/>
              </w:rPr>
            </w:pPr>
          </w:p>
        </w:tc>
        <w:tc>
          <w:tcPr>
            <w:tcW w:w="5529" w:type="dxa"/>
          </w:tcPr>
          <w:p w14:paraId="1088ED5E" w14:textId="0D19EE46" w:rsidR="00B070DC" w:rsidRPr="00B070DC" w:rsidRDefault="00B070DC" w:rsidP="004F4C55">
            <w:pPr>
              <w:rPr>
                <w:rFonts w:ascii="Verdana" w:hAnsi="Verdana"/>
              </w:rPr>
            </w:pPr>
            <w:r>
              <w:rPr>
                <w:rFonts w:ascii="Verdana" w:hAnsi="Verdana"/>
              </w:rPr>
              <w:t>Adjusted Current Ratio</w:t>
            </w:r>
          </w:p>
        </w:tc>
        <w:tc>
          <w:tcPr>
            <w:tcW w:w="992" w:type="dxa"/>
          </w:tcPr>
          <w:p w14:paraId="7006F341" w14:textId="70CDCBEF" w:rsidR="00B070DC" w:rsidRPr="00B070DC" w:rsidRDefault="00B070DC" w:rsidP="00B070DC">
            <w:pPr>
              <w:jc w:val="right"/>
              <w:rPr>
                <w:rFonts w:ascii="Verdana" w:hAnsi="Verdana"/>
              </w:rPr>
            </w:pPr>
            <w:r>
              <w:rPr>
                <w:rFonts w:ascii="Verdana" w:hAnsi="Verdana"/>
              </w:rPr>
              <w:t>3.41</w:t>
            </w:r>
          </w:p>
        </w:tc>
        <w:tc>
          <w:tcPr>
            <w:tcW w:w="1134" w:type="dxa"/>
          </w:tcPr>
          <w:p w14:paraId="55AF0916" w14:textId="299A95EB" w:rsidR="00B070DC" w:rsidRPr="00B070DC" w:rsidRDefault="00B070DC" w:rsidP="00B070DC">
            <w:pPr>
              <w:jc w:val="right"/>
              <w:rPr>
                <w:rFonts w:ascii="Verdana" w:hAnsi="Verdana"/>
              </w:rPr>
            </w:pPr>
            <w:r>
              <w:rPr>
                <w:rFonts w:ascii="Verdana" w:hAnsi="Verdana"/>
              </w:rPr>
              <w:t>3.56</w:t>
            </w:r>
          </w:p>
        </w:tc>
        <w:tc>
          <w:tcPr>
            <w:tcW w:w="1134" w:type="dxa"/>
          </w:tcPr>
          <w:p w14:paraId="36FC703A" w14:textId="37299CD5" w:rsidR="00B070DC" w:rsidRPr="00B070DC" w:rsidRDefault="00B070DC" w:rsidP="00B070DC">
            <w:pPr>
              <w:jc w:val="right"/>
              <w:rPr>
                <w:rFonts w:ascii="Verdana" w:hAnsi="Verdana"/>
              </w:rPr>
            </w:pPr>
            <w:r>
              <w:rPr>
                <w:rFonts w:ascii="Verdana" w:hAnsi="Verdana"/>
              </w:rPr>
              <w:t>4.44</w:t>
            </w:r>
          </w:p>
        </w:tc>
      </w:tr>
      <w:tr w:rsidR="00B070DC" w14:paraId="65854E57" w14:textId="77777777" w:rsidTr="00C25D58">
        <w:tc>
          <w:tcPr>
            <w:tcW w:w="562" w:type="dxa"/>
          </w:tcPr>
          <w:p w14:paraId="3E9C773E" w14:textId="77777777" w:rsidR="00B070DC" w:rsidRPr="00B070DC" w:rsidRDefault="00B070DC" w:rsidP="004F4C55">
            <w:pPr>
              <w:rPr>
                <w:rFonts w:ascii="Verdana" w:hAnsi="Verdana"/>
              </w:rPr>
            </w:pPr>
          </w:p>
        </w:tc>
        <w:tc>
          <w:tcPr>
            <w:tcW w:w="5529" w:type="dxa"/>
          </w:tcPr>
          <w:p w14:paraId="1397485D" w14:textId="0BA1EF30" w:rsidR="00B070DC" w:rsidRPr="00B070DC" w:rsidRDefault="00B070DC" w:rsidP="004F4C55">
            <w:pPr>
              <w:rPr>
                <w:rFonts w:ascii="Verdana" w:hAnsi="Verdana"/>
              </w:rPr>
            </w:pPr>
            <w:r>
              <w:rPr>
                <w:rFonts w:ascii="Verdana" w:hAnsi="Verdana"/>
              </w:rPr>
              <w:t>EBITDA as a % of Income (education specific)</w:t>
            </w:r>
          </w:p>
        </w:tc>
        <w:tc>
          <w:tcPr>
            <w:tcW w:w="992" w:type="dxa"/>
          </w:tcPr>
          <w:p w14:paraId="2DBFCC29" w14:textId="79902FCB" w:rsidR="00B070DC" w:rsidRPr="00B070DC" w:rsidRDefault="00B070DC" w:rsidP="00B070DC">
            <w:pPr>
              <w:jc w:val="right"/>
              <w:rPr>
                <w:rFonts w:ascii="Verdana" w:hAnsi="Verdana"/>
              </w:rPr>
            </w:pPr>
            <w:r>
              <w:rPr>
                <w:rFonts w:ascii="Verdana" w:hAnsi="Verdana"/>
              </w:rPr>
              <w:t>1.50</w:t>
            </w:r>
          </w:p>
        </w:tc>
        <w:tc>
          <w:tcPr>
            <w:tcW w:w="1134" w:type="dxa"/>
          </w:tcPr>
          <w:p w14:paraId="32081976" w14:textId="02C18A47" w:rsidR="00B070DC" w:rsidRPr="00B070DC" w:rsidRDefault="00B070DC" w:rsidP="00B070DC">
            <w:pPr>
              <w:jc w:val="right"/>
              <w:rPr>
                <w:rFonts w:ascii="Verdana" w:hAnsi="Verdana"/>
              </w:rPr>
            </w:pPr>
            <w:r>
              <w:rPr>
                <w:rFonts w:ascii="Verdana" w:hAnsi="Verdana"/>
              </w:rPr>
              <w:t>2.14</w:t>
            </w:r>
          </w:p>
        </w:tc>
        <w:tc>
          <w:tcPr>
            <w:tcW w:w="1134" w:type="dxa"/>
          </w:tcPr>
          <w:p w14:paraId="7BC5922A" w14:textId="4E082D40" w:rsidR="00B070DC" w:rsidRPr="00B070DC" w:rsidRDefault="00B070DC" w:rsidP="00B070DC">
            <w:pPr>
              <w:jc w:val="right"/>
              <w:rPr>
                <w:rFonts w:ascii="Verdana" w:hAnsi="Verdana"/>
              </w:rPr>
            </w:pPr>
            <w:r>
              <w:rPr>
                <w:rFonts w:ascii="Verdana" w:hAnsi="Verdana"/>
              </w:rPr>
              <w:t>3.39</w:t>
            </w:r>
          </w:p>
        </w:tc>
      </w:tr>
      <w:tr w:rsidR="00B070DC" w14:paraId="2CE2F219" w14:textId="77777777" w:rsidTr="00C25D58">
        <w:tc>
          <w:tcPr>
            <w:tcW w:w="562" w:type="dxa"/>
          </w:tcPr>
          <w:p w14:paraId="461B4DD3" w14:textId="77777777" w:rsidR="00B070DC" w:rsidRPr="00B070DC" w:rsidRDefault="00B070DC" w:rsidP="004F4C55">
            <w:pPr>
              <w:rPr>
                <w:rFonts w:ascii="Verdana" w:hAnsi="Verdana"/>
              </w:rPr>
            </w:pPr>
          </w:p>
        </w:tc>
        <w:tc>
          <w:tcPr>
            <w:tcW w:w="5529" w:type="dxa"/>
          </w:tcPr>
          <w:p w14:paraId="208578E9" w14:textId="207217D8" w:rsidR="00B070DC" w:rsidRPr="00B070DC" w:rsidRDefault="00B070DC" w:rsidP="004F4C55">
            <w:pPr>
              <w:rPr>
                <w:rFonts w:ascii="Verdana" w:hAnsi="Verdana"/>
              </w:rPr>
            </w:pPr>
            <w:r>
              <w:rPr>
                <w:rFonts w:ascii="Verdana" w:hAnsi="Verdana"/>
              </w:rPr>
              <w:t>Borrowing as a % of Income</w:t>
            </w:r>
          </w:p>
        </w:tc>
        <w:tc>
          <w:tcPr>
            <w:tcW w:w="992" w:type="dxa"/>
          </w:tcPr>
          <w:p w14:paraId="3B7C53A5" w14:textId="4ED50E28" w:rsidR="00B070DC" w:rsidRPr="00B070DC" w:rsidRDefault="00B070DC" w:rsidP="00B070DC">
            <w:pPr>
              <w:jc w:val="right"/>
              <w:rPr>
                <w:rFonts w:ascii="Verdana" w:hAnsi="Verdana"/>
              </w:rPr>
            </w:pPr>
            <w:r>
              <w:rPr>
                <w:rFonts w:ascii="Verdana" w:hAnsi="Verdana"/>
              </w:rPr>
              <w:t>0.00</w:t>
            </w:r>
          </w:p>
        </w:tc>
        <w:tc>
          <w:tcPr>
            <w:tcW w:w="1134" w:type="dxa"/>
          </w:tcPr>
          <w:p w14:paraId="2BA1A1FB" w14:textId="609E78CD" w:rsidR="00B070DC" w:rsidRPr="00B070DC" w:rsidRDefault="00B070DC" w:rsidP="00B070DC">
            <w:pPr>
              <w:jc w:val="right"/>
              <w:rPr>
                <w:rFonts w:ascii="Verdana" w:hAnsi="Verdana"/>
              </w:rPr>
            </w:pPr>
            <w:r>
              <w:rPr>
                <w:rFonts w:ascii="Verdana" w:hAnsi="Verdana"/>
              </w:rPr>
              <w:t>0.00</w:t>
            </w:r>
          </w:p>
        </w:tc>
        <w:tc>
          <w:tcPr>
            <w:tcW w:w="1134" w:type="dxa"/>
          </w:tcPr>
          <w:p w14:paraId="72CFE722" w14:textId="3A8D3ED8" w:rsidR="00B070DC" w:rsidRPr="00B070DC" w:rsidRDefault="00B070DC" w:rsidP="00B070DC">
            <w:pPr>
              <w:jc w:val="right"/>
              <w:rPr>
                <w:rFonts w:ascii="Verdana" w:hAnsi="Verdana"/>
              </w:rPr>
            </w:pPr>
            <w:r>
              <w:rPr>
                <w:rFonts w:ascii="Verdana" w:hAnsi="Verdana"/>
              </w:rPr>
              <w:t>0.00</w:t>
            </w:r>
          </w:p>
        </w:tc>
      </w:tr>
      <w:tr w:rsidR="00B070DC" w14:paraId="0C9162F1" w14:textId="77777777" w:rsidTr="00C25D58">
        <w:tc>
          <w:tcPr>
            <w:tcW w:w="562" w:type="dxa"/>
          </w:tcPr>
          <w:p w14:paraId="196E6E8B" w14:textId="77777777" w:rsidR="00B070DC" w:rsidRPr="00B070DC" w:rsidRDefault="00B070DC" w:rsidP="004F4C55">
            <w:pPr>
              <w:rPr>
                <w:rFonts w:ascii="Verdana" w:hAnsi="Verdana"/>
              </w:rPr>
            </w:pPr>
          </w:p>
        </w:tc>
        <w:tc>
          <w:tcPr>
            <w:tcW w:w="5529" w:type="dxa"/>
          </w:tcPr>
          <w:p w14:paraId="3C938C95" w14:textId="77777777" w:rsidR="00B070DC" w:rsidRPr="00B070DC" w:rsidRDefault="00B070DC" w:rsidP="004F4C55">
            <w:pPr>
              <w:rPr>
                <w:rFonts w:ascii="Verdana" w:hAnsi="Verdana"/>
              </w:rPr>
            </w:pPr>
          </w:p>
        </w:tc>
        <w:tc>
          <w:tcPr>
            <w:tcW w:w="992" w:type="dxa"/>
          </w:tcPr>
          <w:p w14:paraId="038511EA" w14:textId="77777777" w:rsidR="00B070DC" w:rsidRPr="00B070DC" w:rsidRDefault="00B070DC" w:rsidP="00B070DC">
            <w:pPr>
              <w:jc w:val="right"/>
              <w:rPr>
                <w:rFonts w:ascii="Verdana" w:hAnsi="Verdana"/>
              </w:rPr>
            </w:pPr>
          </w:p>
        </w:tc>
        <w:tc>
          <w:tcPr>
            <w:tcW w:w="1134" w:type="dxa"/>
          </w:tcPr>
          <w:p w14:paraId="230CF30F" w14:textId="77777777" w:rsidR="00B070DC" w:rsidRPr="00B070DC" w:rsidRDefault="00B070DC" w:rsidP="00B070DC">
            <w:pPr>
              <w:jc w:val="right"/>
              <w:rPr>
                <w:rFonts w:ascii="Verdana" w:hAnsi="Verdana"/>
              </w:rPr>
            </w:pPr>
          </w:p>
        </w:tc>
        <w:tc>
          <w:tcPr>
            <w:tcW w:w="1134" w:type="dxa"/>
          </w:tcPr>
          <w:p w14:paraId="42D55101" w14:textId="77777777" w:rsidR="00B070DC" w:rsidRPr="00B070DC" w:rsidRDefault="00B070DC" w:rsidP="00B070DC">
            <w:pPr>
              <w:jc w:val="right"/>
              <w:rPr>
                <w:rFonts w:ascii="Verdana" w:hAnsi="Verdana"/>
              </w:rPr>
            </w:pPr>
          </w:p>
        </w:tc>
      </w:tr>
      <w:tr w:rsidR="00B070DC" w14:paraId="5CAA1D3D" w14:textId="77777777" w:rsidTr="00C25D58">
        <w:tc>
          <w:tcPr>
            <w:tcW w:w="562" w:type="dxa"/>
          </w:tcPr>
          <w:p w14:paraId="408D6748" w14:textId="77777777" w:rsidR="00B070DC" w:rsidRPr="00B070DC" w:rsidRDefault="00B070DC" w:rsidP="004F4C55">
            <w:pPr>
              <w:rPr>
                <w:rFonts w:ascii="Verdana" w:hAnsi="Verdana"/>
              </w:rPr>
            </w:pPr>
          </w:p>
        </w:tc>
        <w:tc>
          <w:tcPr>
            <w:tcW w:w="5529" w:type="dxa"/>
          </w:tcPr>
          <w:p w14:paraId="6A06EF3B" w14:textId="77777777" w:rsidR="00B070DC" w:rsidRDefault="00B070DC" w:rsidP="004F4C55">
            <w:pPr>
              <w:rPr>
                <w:rFonts w:ascii="Verdana" w:hAnsi="Verdana"/>
                <w:b/>
                <w:bCs/>
              </w:rPr>
            </w:pPr>
            <w:r w:rsidRPr="00B070DC">
              <w:rPr>
                <w:rFonts w:ascii="Verdana" w:hAnsi="Verdana"/>
                <w:b/>
                <w:bCs/>
              </w:rPr>
              <w:t>Calculation of Grade</w:t>
            </w:r>
          </w:p>
          <w:p w14:paraId="0BC003AF" w14:textId="6961DA77" w:rsidR="00B070DC" w:rsidRPr="00B070DC" w:rsidRDefault="00B070DC" w:rsidP="004F4C55">
            <w:pPr>
              <w:rPr>
                <w:rFonts w:ascii="Verdana" w:hAnsi="Verdana"/>
                <w:b/>
                <w:bCs/>
              </w:rPr>
            </w:pPr>
          </w:p>
        </w:tc>
        <w:tc>
          <w:tcPr>
            <w:tcW w:w="992" w:type="dxa"/>
          </w:tcPr>
          <w:p w14:paraId="605A11D6" w14:textId="77777777" w:rsidR="00B070DC" w:rsidRPr="00B070DC" w:rsidRDefault="00B070DC" w:rsidP="00B070DC">
            <w:pPr>
              <w:jc w:val="right"/>
              <w:rPr>
                <w:rFonts w:ascii="Verdana" w:hAnsi="Verdana"/>
              </w:rPr>
            </w:pPr>
          </w:p>
        </w:tc>
        <w:tc>
          <w:tcPr>
            <w:tcW w:w="1134" w:type="dxa"/>
          </w:tcPr>
          <w:p w14:paraId="7A6B2098" w14:textId="77777777" w:rsidR="00B070DC" w:rsidRPr="00B070DC" w:rsidRDefault="00B070DC" w:rsidP="00B070DC">
            <w:pPr>
              <w:jc w:val="right"/>
              <w:rPr>
                <w:rFonts w:ascii="Verdana" w:hAnsi="Verdana"/>
              </w:rPr>
            </w:pPr>
          </w:p>
        </w:tc>
        <w:tc>
          <w:tcPr>
            <w:tcW w:w="1134" w:type="dxa"/>
          </w:tcPr>
          <w:p w14:paraId="7ACE6FF6" w14:textId="77777777" w:rsidR="00B070DC" w:rsidRPr="00B070DC" w:rsidRDefault="00B070DC" w:rsidP="00B070DC">
            <w:pPr>
              <w:jc w:val="right"/>
              <w:rPr>
                <w:rFonts w:ascii="Verdana" w:hAnsi="Verdana"/>
              </w:rPr>
            </w:pPr>
          </w:p>
        </w:tc>
      </w:tr>
      <w:tr w:rsidR="00B070DC" w14:paraId="513F018F" w14:textId="77777777" w:rsidTr="00C25D58">
        <w:tc>
          <w:tcPr>
            <w:tcW w:w="562" w:type="dxa"/>
          </w:tcPr>
          <w:p w14:paraId="05308428" w14:textId="77777777" w:rsidR="00B070DC" w:rsidRPr="00B070DC" w:rsidRDefault="00B070DC" w:rsidP="00B070DC">
            <w:pPr>
              <w:rPr>
                <w:rFonts w:ascii="Verdana" w:hAnsi="Verdana"/>
              </w:rPr>
            </w:pPr>
          </w:p>
        </w:tc>
        <w:tc>
          <w:tcPr>
            <w:tcW w:w="5529" w:type="dxa"/>
          </w:tcPr>
          <w:p w14:paraId="314AA196" w14:textId="6B041DC2" w:rsidR="00B070DC" w:rsidRPr="00B070DC" w:rsidRDefault="00B070DC" w:rsidP="00B070DC">
            <w:pPr>
              <w:rPr>
                <w:rFonts w:ascii="Verdana" w:hAnsi="Verdana"/>
              </w:rPr>
            </w:pPr>
            <w:r>
              <w:rPr>
                <w:rFonts w:ascii="Verdana" w:hAnsi="Verdana"/>
              </w:rPr>
              <w:t>Adjusted Current Ratio</w:t>
            </w:r>
          </w:p>
        </w:tc>
        <w:tc>
          <w:tcPr>
            <w:tcW w:w="992" w:type="dxa"/>
          </w:tcPr>
          <w:p w14:paraId="1725D408" w14:textId="00404973" w:rsidR="00B070DC" w:rsidRPr="00B070DC" w:rsidRDefault="00B070DC" w:rsidP="00B070DC">
            <w:pPr>
              <w:jc w:val="right"/>
              <w:rPr>
                <w:rFonts w:ascii="Verdana" w:hAnsi="Verdana"/>
              </w:rPr>
            </w:pPr>
            <w:r>
              <w:rPr>
                <w:rFonts w:ascii="Verdana" w:hAnsi="Verdana"/>
              </w:rPr>
              <w:t>100</w:t>
            </w:r>
          </w:p>
        </w:tc>
        <w:tc>
          <w:tcPr>
            <w:tcW w:w="1134" w:type="dxa"/>
          </w:tcPr>
          <w:p w14:paraId="2143F6E6" w14:textId="2E4FE196" w:rsidR="00B070DC" w:rsidRPr="00B070DC" w:rsidRDefault="00B070DC" w:rsidP="00B070DC">
            <w:pPr>
              <w:jc w:val="right"/>
              <w:rPr>
                <w:rFonts w:ascii="Verdana" w:hAnsi="Verdana"/>
              </w:rPr>
            </w:pPr>
            <w:r>
              <w:rPr>
                <w:rFonts w:ascii="Verdana" w:hAnsi="Verdana"/>
              </w:rPr>
              <w:t>100</w:t>
            </w:r>
          </w:p>
        </w:tc>
        <w:tc>
          <w:tcPr>
            <w:tcW w:w="1134" w:type="dxa"/>
          </w:tcPr>
          <w:p w14:paraId="47638DAD" w14:textId="0B7DCEF5" w:rsidR="00B070DC" w:rsidRPr="00B070DC" w:rsidRDefault="00B070DC" w:rsidP="00B070DC">
            <w:pPr>
              <w:jc w:val="right"/>
              <w:rPr>
                <w:rFonts w:ascii="Verdana" w:hAnsi="Verdana"/>
              </w:rPr>
            </w:pPr>
            <w:r>
              <w:rPr>
                <w:rFonts w:ascii="Verdana" w:hAnsi="Verdana"/>
              </w:rPr>
              <w:t>100</w:t>
            </w:r>
          </w:p>
        </w:tc>
      </w:tr>
      <w:tr w:rsidR="00B070DC" w14:paraId="6CCE2470" w14:textId="77777777" w:rsidTr="00C25D58">
        <w:tc>
          <w:tcPr>
            <w:tcW w:w="562" w:type="dxa"/>
          </w:tcPr>
          <w:p w14:paraId="792BB15F" w14:textId="77777777" w:rsidR="00B070DC" w:rsidRPr="00B070DC" w:rsidRDefault="00B070DC" w:rsidP="00B070DC">
            <w:pPr>
              <w:rPr>
                <w:rFonts w:ascii="Verdana" w:hAnsi="Verdana"/>
              </w:rPr>
            </w:pPr>
          </w:p>
        </w:tc>
        <w:tc>
          <w:tcPr>
            <w:tcW w:w="5529" w:type="dxa"/>
          </w:tcPr>
          <w:p w14:paraId="1C409555" w14:textId="17F68CB2" w:rsidR="00B070DC" w:rsidRPr="00B070DC" w:rsidRDefault="00B070DC" w:rsidP="00B070DC">
            <w:pPr>
              <w:rPr>
                <w:rFonts w:ascii="Verdana" w:hAnsi="Verdana"/>
              </w:rPr>
            </w:pPr>
            <w:r>
              <w:rPr>
                <w:rFonts w:ascii="Verdana" w:hAnsi="Verdana"/>
              </w:rPr>
              <w:t>EBITDA as a % of Income (education specific)</w:t>
            </w:r>
          </w:p>
        </w:tc>
        <w:tc>
          <w:tcPr>
            <w:tcW w:w="992" w:type="dxa"/>
          </w:tcPr>
          <w:p w14:paraId="74AD8F41" w14:textId="3B2F0DA1" w:rsidR="00B070DC" w:rsidRPr="00B070DC" w:rsidRDefault="00B070DC" w:rsidP="00B070DC">
            <w:pPr>
              <w:jc w:val="right"/>
              <w:rPr>
                <w:rFonts w:ascii="Verdana" w:hAnsi="Verdana"/>
              </w:rPr>
            </w:pPr>
            <w:r>
              <w:rPr>
                <w:rFonts w:ascii="Verdana" w:hAnsi="Verdana"/>
              </w:rPr>
              <w:t>10</w:t>
            </w:r>
          </w:p>
        </w:tc>
        <w:tc>
          <w:tcPr>
            <w:tcW w:w="1134" w:type="dxa"/>
          </w:tcPr>
          <w:p w14:paraId="415DA55A" w14:textId="5A00C847" w:rsidR="00B070DC" w:rsidRPr="00B070DC" w:rsidRDefault="00B070DC" w:rsidP="00B070DC">
            <w:pPr>
              <w:jc w:val="right"/>
              <w:rPr>
                <w:rFonts w:ascii="Verdana" w:hAnsi="Verdana"/>
              </w:rPr>
            </w:pPr>
            <w:r>
              <w:rPr>
                <w:rFonts w:ascii="Verdana" w:hAnsi="Verdana"/>
              </w:rPr>
              <w:t>20</w:t>
            </w:r>
          </w:p>
        </w:tc>
        <w:tc>
          <w:tcPr>
            <w:tcW w:w="1134" w:type="dxa"/>
          </w:tcPr>
          <w:p w14:paraId="409D4789" w14:textId="648394E7" w:rsidR="00B070DC" w:rsidRPr="00B070DC" w:rsidRDefault="00B070DC" w:rsidP="00B070DC">
            <w:pPr>
              <w:jc w:val="right"/>
              <w:rPr>
                <w:rFonts w:ascii="Verdana" w:hAnsi="Verdana"/>
              </w:rPr>
            </w:pPr>
            <w:r>
              <w:rPr>
                <w:rFonts w:ascii="Verdana" w:hAnsi="Verdana"/>
              </w:rPr>
              <w:t>30</w:t>
            </w:r>
          </w:p>
        </w:tc>
      </w:tr>
      <w:tr w:rsidR="00B070DC" w14:paraId="6C0B2A03" w14:textId="77777777" w:rsidTr="00C25D58">
        <w:tc>
          <w:tcPr>
            <w:tcW w:w="562" w:type="dxa"/>
          </w:tcPr>
          <w:p w14:paraId="3B58DC71" w14:textId="77777777" w:rsidR="00B070DC" w:rsidRPr="00B070DC" w:rsidRDefault="00B070DC" w:rsidP="00B070DC">
            <w:pPr>
              <w:rPr>
                <w:rFonts w:ascii="Verdana" w:hAnsi="Verdana"/>
              </w:rPr>
            </w:pPr>
          </w:p>
        </w:tc>
        <w:tc>
          <w:tcPr>
            <w:tcW w:w="5529" w:type="dxa"/>
          </w:tcPr>
          <w:p w14:paraId="5B0DA959" w14:textId="68804DD2" w:rsidR="00B070DC" w:rsidRPr="00B070DC" w:rsidRDefault="00B070DC" w:rsidP="00B070DC">
            <w:pPr>
              <w:rPr>
                <w:rFonts w:ascii="Verdana" w:hAnsi="Verdana"/>
              </w:rPr>
            </w:pPr>
            <w:r>
              <w:rPr>
                <w:rFonts w:ascii="Verdana" w:hAnsi="Verdana"/>
              </w:rPr>
              <w:t>Borrowing as a % of Income</w:t>
            </w:r>
          </w:p>
        </w:tc>
        <w:tc>
          <w:tcPr>
            <w:tcW w:w="992" w:type="dxa"/>
          </w:tcPr>
          <w:p w14:paraId="3626B46B" w14:textId="3B72CECC" w:rsidR="00B070DC" w:rsidRPr="00B070DC" w:rsidRDefault="00B070DC" w:rsidP="00B070DC">
            <w:pPr>
              <w:jc w:val="right"/>
              <w:rPr>
                <w:rFonts w:ascii="Verdana" w:hAnsi="Verdana"/>
              </w:rPr>
            </w:pPr>
            <w:r>
              <w:rPr>
                <w:rFonts w:ascii="Verdana" w:hAnsi="Verdana"/>
              </w:rPr>
              <w:t>100</w:t>
            </w:r>
          </w:p>
        </w:tc>
        <w:tc>
          <w:tcPr>
            <w:tcW w:w="1134" w:type="dxa"/>
          </w:tcPr>
          <w:p w14:paraId="05E434BB" w14:textId="3E7438F5" w:rsidR="00B070DC" w:rsidRPr="00B070DC" w:rsidRDefault="00B070DC" w:rsidP="00B070DC">
            <w:pPr>
              <w:jc w:val="right"/>
              <w:rPr>
                <w:rFonts w:ascii="Verdana" w:hAnsi="Verdana"/>
              </w:rPr>
            </w:pPr>
            <w:r>
              <w:rPr>
                <w:rFonts w:ascii="Verdana" w:hAnsi="Verdana"/>
              </w:rPr>
              <w:t>100</w:t>
            </w:r>
          </w:p>
        </w:tc>
        <w:tc>
          <w:tcPr>
            <w:tcW w:w="1134" w:type="dxa"/>
          </w:tcPr>
          <w:p w14:paraId="1EC7A4D4" w14:textId="0BB9E879" w:rsidR="00B070DC" w:rsidRPr="00B070DC" w:rsidRDefault="00B070DC" w:rsidP="00B070DC">
            <w:pPr>
              <w:jc w:val="right"/>
              <w:rPr>
                <w:rFonts w:ascii="Verdana" w:hAnsi="Verdana"/>
              </w:rPr>
            </w:pPr>
            <w:r>
              <w:rPr>
                <w:rFonts w:ascii="Verdana" w:hAnsi="Verdana"/>
              </w:rPr>
              <w:t>100</w:t>
            </w:r>
          </w:p>
        </w:tc>
      </w:tr>
      <w:tr w:rsidR="00B070DC" w14:paraId="06735D69" w14:textId="77777777" w:rsidTr="00C25D58">
        <w:tc>
          <w:tcPr>
            <w:tcW w:w="562" w:type="dxa"/>
          </w:tcPr>
          <w:p w14:paraId="03579C7F" w14:textId="77777777" w:rsidR="00B070DC" w:rsidRPr="00B070DC" w:rsidRDefault="00B070DC" w:rsidP="00B070DC">
            <w:pPr>
              <w:rPr>
                <w:rFonts w:ascii="Verdana" w:hAnsi="Verdana"/>
              </w:rPr>
            </w:pPr>
          </w:p>
        </w:tc>
        <w:tc>
          <w:tcPr>
            <w:tcW w:w="5529" w:type="dxa"/>
          </w:tcPr>
          <w:p w14:paraId="531B5AB9" w14:textId="77777777" w:rsidR="00B070DC" w:rsidRPr="00B070DC" w:rsidRDefault="00B070DC" w:rsidP="00B070DC">
            <w:pPr>
              <w:rPr>
                <w:rFonts w:ascii="Verdana" w:hAnsi="Verdana"/>
              </w:rPr>
            </w:pPr>
          </w:p>
        </w:tc>
        <w:tc>
          <w:tcPr>
            <w:tcW w:w="992" w:type="dxa"/>
          </w:tcPr>
          <w:p w14:paraId="5B7459F3" w14:textId="77777777" w:rsidR="00B070DC" w:rsidRPr="00B070DC" w:rsidRDefault="00B070DC" w:rsidP="00B070DC">
            <w:pPr>
              <w:jc w:val="right"/>
              <w:rPr>
                <w:rFonts w:ascii="Verdana" w:hAnsi="Verdana"/>
              </w:rPr>
            </w:pPr>
          </w:p>
        </w:tc>
        <w:tc>
          <w:tcPr>
            <w:tcW w:w="1134" w:type="dxa"/>
          </w:tcPr>
          <w:p w14:paraId="19ABAAF4" w14:textId="77777777" w:rsidR="00B070DC" w:rsidRPr="00B070DC" w:rsidRDefault="00B070DC" w:rsidP="00B070DC">
            <w:pPr>
              <w:jc w:val="right"/>
              <w:rPr>
                <w:rFonts w:ascii="Verdana" w:hAnsi="Verdana"/>
              </w:rPr>
            </w:pPr>
          </w:p>
        </w:tc>
        <w:tc>
          <w:tcPr>
            <w:tcW w:w="1134" w:type="dxa"/>
          </w:tcPr>
          <w:p w14:paraId="69CA06CA" w14:textId="77777777" w:rsidR="00B070DC" w:rsidRPr="00B070DC" w:rsidRDefault="00B070DC" w:rsidP="00B070DC">
            <w:pPr>
              <w:jc w:val="right"/>
              <w:rPr>
                <w:rFonts w:ascii="Verdana" w:hAnsi="Verdana"/>
              </w:rPr>
            </w:pPr>
          </w:p>
        </w:tc>
      </w:tr>
      <w:tr w:rsidR="00B070DC" w14:paraId="5FF30453" w14:textId="77777777" w:rsidTr="00C25D58">
        <w:tc>
          <w:tcPr>
            <w:tcW w:w="562" w:type="dxa"/>
          </w:tcPr>
          <w:p w14:paraId="12D33973" w14:textId="77777777" w:rsidR="00B070DC" w:rsidRPr="00B070DC" w:rsidRDefault="00B070DC" w:rsidP="00B070DC">
            <w:pPr>
              <w:rPr>
                <w:rFonts w:ascii="Verdana" w:hAnsi="Verdana"/>
              </w:rPr>
            </w:pPr>
          </w:p>
        </w:tc>
        <w:tc>
          <w:tcPr>
            <w:tcW w:w="5529" w:type="dxa"/>
          </w:tcPr>
          <w:p w14:paraId="7140ED0F" w14:textId="77777777" w:rsidR="00B070DC" w:rsidRDefault="00B070DC" w:rsidP="00B070DC">
            <w:pPr>
              <w:rPr>
                <w:rFonts w:ascii="Verdana" w:hAnsi="Verdana"/>
              </w:rPr>
            </w:pPr>
            <w:r>
              <w:rPr>
                <w:rFonts w:ascii="Verdana" w:hAnsi="Verdana"/>
              </w:rPr>
              <w:t>Total Points</w:t>
            </w:r>
          </w:p>
          <w:p w14:paraId="4C4F9C03" w14:textId="125C1291" w:rsidR="00C25D58" w:rsidRPr="00B070DC" w:rsidRDefault="00C25D58" w:rsidP="00B070DC">
            <w:pPr>
              <w:rPr>
                <w:rFonts w:ascii="Verdana" w:hAnsi="Verdana"/>
              </w:rPr>
            </w:pPr>
          </w:p>
        </w:tc>
        <w:tc>
          <w:tcPr>
            <w:tcW w:w="992" w:type="dxa"/>
          </w:tcPr>
          <w:p w14:paraId="2520F183" w14:textId="57FDAD27" w:rsidR="00B070DC" w:rsidRPr="00B070DC" w:rsidRDefault="00B070DC" w:rsidP="00B070DC">
            <w:pPr>
              <w:jc w:val="right"/>
              <w:rPr>
                <w:rFonts w:ascii="Verdana" w:hAnsi="Verdana"/>
              </w:rPr>
            </w:pPr>
            <w:r>
              <w:rPr>
                <w:rFonts w:ascii="Verdana" w:hAnsi="Verdana"/>
              </w:rPr>
              <w:t>210</w:t>
            </w:r>
          </w:p>
        </w:tc>
        <w:tc>
          <w:tcPr>
            <w:tcW w:w="1134" w:type="dxa"/>
          </w:tcPr>
          <w:p w14:paraId="7BDE00EF" w14:textId="7D5C805E" w:rsidR="00B070DC" w:rsidRPr="00B070DC" w:rsidRDefault="00B070DC" w:rsidP="00B070DC">
            <w:pPr>
              <w:jc w:val="right"/>
              <w:rPr>
                <w:rFonts w:ascii="Verdana" w:hAnsi="Verdana"/>
              </w:rPr>
            </w:pPr>
            <w:r>
              <w:rPr>
                <w:rFonts w:ascii="Verdana" w:hAnsi="Verdana"/>
              </w:rPr>
              <w:t>220</w:t>
            </w:r>
          </w:p>
        </w:tc>
        <w:tc>
          <w:tcPr>
            <w:tcW w:w="1134" w:type="dxa"/>
          </w:tcPr>
          <w:p w14:paraId="0ED6C292" w14:textId="3640AEF6" w:rsidR="00B070DC" w:rsidRPr="00B070DC" w:rsidRDefault="00B070DC" w:rsidP="00B070DC">
            <w:pPr>
              <w:jc w:val="right"/>
              <w:rPr>
                <w:rFonts w:ascii="Verdana" w:hAnsi="Verdana"/>
              </w:rPr>
            </w:pPr>
            <w:r>
              <w:rPr>
                <w:rFonts w:ascii="Verdana" w:hAnsi="Verdana"/>
              </w:rPr>
              <w:t>230</w:t>
            </w:r>
          </w:p>
        </w:tc>
      </w:tr>
      <w:tr w:rsidR="00B070DC" w14:paraId="70CF8A15" w14:textId="77777777" w:rsidTr="00C25D58">
        <w:tc>
          <w:tcPr>
            <w:tcW w:w="562" w:type="dxa"/>
          </w:tcPr>
          <w:p w14:paraId="74D49824" w14:textId="77777777" w:rsidR="00B070DC" w:rsidRPr="00B070DC" w:rsidRDefault="00B070DC" w:rsidP="00B070DC">
            <w:pPr>
              <w:rPr>
                <w:rFonts w:ascii="Verdana" w:hAnsi="Verdana"/>
              </w:rPr>
            </w:pPr>
          </w:p>
        </w:tc>
        <w:tc>
          <w:tcPr>
            <w:tcW w:w="5529" w:type="dxa"/>
          </w:tcPr>
          <w:p w14:paraId="63B1E655" w14:textId="77777777" w:rsidR="00B070DC" w:rsidRDefault="00B070DC" w:rsidP="00B070DC">
            <w:pPr>
              <w:rPr>
                <w:rFonts w:ascii="Verdana" w:hAnsi="Verdana"/>
              </w:rPr>
            </w:pPr>
            <w:r>
              <w:rPr>
                <w:rFonts w:ascii="Verdana" w:hAnsi="Verdana"/>
              </w:rPr>
              <w:t>Financial Health Grade (</w:t>
            </w:r>
            <w:r w:rsidR="009B69F4">
              <w:rPr>
                <w:rFonts w:ascii="Verdana" w:hAnsi="Verdana"/>
              </w:rPr>
              <w:t>au</w:t>
            </w:r>
            <w:r>
              <w:rPr>
                <w:rFonts w:ascii="Verdana" w:hAnsi="Verdana"/>
              </w:rPr>
              <w:t>t</w:t>
            </w:r>
            <w:r w:rsidR="009B69F4">
              <w:rPr>
                <w:rFonts w:ascii="Verdana" w:hAnsi="Verdana"/>
              </w:rPr>
              <w:t>o</w:t>
            </w:r>
            <w:r>
              <w:rPr>
                <w:rFonts w:ascii="Verdana" w:hAnsi="Verdana"/>
              </w:rPr>
              <w:t>mated)</w:t>
            </w:r>
          </w:p>
          <w:p w14:paraId="1ADDA0A8" w14:textId="4C5B3FF8" w:rsidR="009B69F4" w:rsidRPr="00B070DC" w:rsidRDefault="009B69F4" w:rsidP="00B070DC">
            <w:pPr>
              <w:rPr>
                <w:rFonts w:ascii="Verdana" w:hAnsi="Verdana"/>
              </w:rPr>
            </w:pPr>
          </w:p>
        </w:tc>
        <w:tc>
          <w:tcPr>
            <w:tcW w:w="992" w:type="dxa"/>
          </w:tcPr>
          <w:p w14:paraId="4368FF02" w14:textId="79D490D3" w:rsidR="00B070DC" w:rsidRPr="00B070DC" w:rsidRDefault="00B070DC" w:rsidP="00B070DC">
            <w:pPr>
              <w:jc w:val="right"/>
              <w:rPr>
                <w:rFonts w:ascii="Verdana" w:hAnsi="Verdana"/>
              </w:rPr>
            </w:pPr>
            <w:r>
              <w:rPr>
                <w:rFonts w:ascii="Verdana" w:hAnsi="Verdana"/>
              </w:rPr>
              <w:t>Good</w:t>
            </w:r>
          </w:p>
        </w:tc>
        <w:tc>
          <w:tcPr>
            <w:tcW w:w="1134" w:type="dxa"/>
          </w:tcPr>
          <w:p w14:paraId="2E0BCF7D" w14:textId="33BFA299" w:rsidR="00B070DC" w:rsidRPr="00B070DC" w:rsidRDefault="00B070DC" w:rsidP="00B070DC">
            <w:pPr>
              <w:jc w:val="right"/>
              <w:rPr>
                <w:rFonts w:ascii="Verdana" w:hAnsi="Verdana"/>
              </w:rPr>
            </w:pPr>
            <w:r>
              <w:rPr>
                <w:rFonts w:ascii="Verdana" w:hAnsi="Verdana"/>
              </w:rPr>
              <w:t>Good</w:t>
            </w:r>
          </w:p>
        </w:tc>
        <w:tc>
          <w:tcPr>
            <w:tcW w:w="1134" w:type="dxa"/>
          </w:tcPr>
          <w:p w14:paraId="1623A722" w14:textId="0A557683" w:rsidR="00B070DC" w:rsidRPr="00B070DC" w:rsidRDefault="00B070DC" w:rsidP="00B070DC">
            <w:pPr>
              <w:jc w:val="right"/>
              <w:rPr>
                <w:rFonts w:ascii="Verdana" w:hAnsi="Verdana"/>
              </w:rPr>
            </w:pPr>
            <w:r>
              <w:rPr>
                <w:rFonts w:ascii="Verdana" w:hAnsi="Verdana"/>
              </w:rPr>
              <w:t>Good</w:t>
            </w:r>
          </w:p>
        </w:tc>
      </w:tr>
      <w:tr w:rsidR="00B070DC" w14:paraId="033BA204" w14:textId="77777777" w:rsidTr="00C25D58">
        <w:tc>
          <w:tcPr>
            <w:tcW w:w="562" w:type="dxa"/>
          </w:tcPr>
          <w:p w14:paraId="64F13373" w14:textId="77777777" w:rsidR="00B070DC" w:rsidRPr="00B070DC" w:rsidRDefault="00B070DC" w:rsidP="00B070DC">
            <w:pPr>
              <w:rPr>
                <w:rFonts w:ascii="Verdana" w:hAnsi="Verdana"/>
              </w:rPr>
            </w:pPr>
          </w:p>
        </w:tc>
        <w:tc>
          <w:tcPr>
            <w:tcW w:w="5529" w:type="dxa"/>
          </w:tcPr>
          <w:p w14:paraId="144FAB4E" w14:textId="707BC6EE" w:rsidR="00B070DC" w:rsidRPr="00B070DC" w:rsidRDefault="009B69F4" w:rsidP="00B070DC">
            <w:pPr>
              <w:rPr>
                <w:rFonts w:ascii="Verdana" w:hAnsi="Verdana"/>
              </w:rPr>
            </w:pPr>
            <w:r>
              <w:rPr>
                <w:rFonts w:ascii="Verdana" w:hAnsi="Verdana"/>
              </w:rPr>
              <w:t>Automated Moderation - EFS</w:t>
            </w:r>
          </w:p>
        </w:tc>
        <w:tc>
          <w:tcPr>
            <w:tcW w:w="992" w:type="dxa"/>
          </w:tcPr>
          <w:p w14:paraId="4F6B91B9" w14:textId="7EEDEC71" w:rsidR="00B070DC" w:rsidRPr="00B070DC" w:rsidRDefault="009B69F4" w:rsidP="00B070DC">
            <w:pPr>
              <w:jc w:val="right"/>
              <w:rPr>
                <w:rFonts w:ascii="Verdana" w:hAnsi="Verdana"/>
              </w:rPr>
            </w:pPr>
            <w:r>
              <w:rPr>
                <w:rFonts w:ascii="Verdana" w:hAnsi="Verdana"/>
              </w:rPr>
              <w:t>No</w:t>
            </w:r>
          </w:p>
        </w:tc>
        <w:tc>
          <w:tcPr>
            <w:tcW w:w="1134" w:type="dxa"/>
          </w:tcPr>
          <w:p w14:paraId="6CC23D7F" w14:textId="47A08F35" w:rsidR="00B070DC" w:rsidRPr="00B070DC" w:rsidRDefault="009B69F4" w:rsidP="00B070DC">
            <w:pPr>
              <w:jc w:val="right"/>
              <w:rPr>
                <w:rFonts w:ascii="Verdana" w:hAnsi="Verdana"/>
              </w:rPr>
            </w:pPr>
            <w:r>
              <w:rPr>
                <w:rFonts w:ascii="Verdana" w:hAnsi="Verdana"/>
              </w:rPr>
              <w:t>No</w:t>
            </w:r>
          </w:p>
        </w:tc>
        <w:tc>
          <w:tcPr>
            <w:tcW w:w="1134" w:type="dxa"/>
          </w:tcPr>
          <w:p w14:paraId="72BE226D" w14:textId="02013243" w:rsidR="00B070DC" w:rsidRPr="00B070DC" w:rsidRDefault="009B69F4" w:rsidP="00B070DC">
            <w:pPr>
              <w:jc w:val="right"/>
              <w:rPr>
                <w:rFonts w:ascii="Verdana" w:hAnsi="Verdana"/>
              </w:rPr>
            </w:pPr>
            <w:r>
              <w:rPr>
                <w:rFonts w:ascii="Verdana" w:hAnsi="Verdana"/>
              </w:rPr>
              <w:t>No</w:t>
            </w:r>
          </w:p>
        </w:tc>
      </w:tr>
      <w:tr w:rsidR="009B69F4" w14:paraId="72FF17FF" w14:textId="77777777" w:rsidTr="00C25D58">
        <w:tc>
          <w:tcPr>
            <w:tcW w:w="562" w:type="dxa"/>
          </w:tcPr>
          <w:p w14:paraId="21C33504" w14:textId="77777777" w:rsidR="009B69F4" w:rsidRPr="00B070DC" w:rsidRDefault="009B69F4" w:rsidP="009B69F4">
            <w:pPr>
              <w:rPr>
                <w:rFonts w:ascii="Verdana" w:hAnsi="Verdana"/>
              </w:rPr>
            </w:pPr>
          </w:p>
        </w:tc>
        <w:tc>
          <w:tcPr>
            <w:tcW w:w="5529" w:type="dxa"/>
          </w:tcPr>
          <w:p w14:paraId="58D5B1D2" w14:textId="608109FE" w:rsidR="009B69F4" w:rsidRPr="00B070DC" w:rsidRDefault="009B69F4" w:rsidP="009B69F4">
            <w:pPr>
              <w:rPr>
                <w:rFonts w:ascii="Verdana" w:hAnsi="Verdana"/>
              </w:rPr>
            </w:pPr>
            <w:r>
              <w:rPr>
                <w:rFonts w:ascii="Verdana" w:hAnsi="Verdana"/>
              </w:rPr>
              <w:t xml:space="preserve">Automated Moderation </w:t>
            </w:r>
            <w:r w:rsidR="00C84904">
              <w:rPr>
                <w:rFonts w:ascii="Verdana" w:hAnsi="Verdana"/>
              </w:rPr>
              <w:t>-</w:t>
            </w:r>
            <w:r>
              <w:rPr>
                <w:rFonts w:ascii="Verdana" w:hAnsi="Verdana"/>
              </w:rPr>
              <w:t xml:space="preserve"> EBITDA score zero</w:t>
            </w:r>
          </w:p>
        </w:tc>
        <w:tc>
          <w:tcPr>
            <w:tcW w:w="992" w:type="dxa"/>
          </w:tcPr>
          <w:p w14:paraId="1913AE31" w14:textId="5C881028" w:rsidR="009B69F4" w:rsidRPr="00B070DC" w:rsidRDefault="009B69F4" w:rsidP="009B69F4">
            <w:pPr>
              <w:jc w:val="right"/>
              <w:rPr>
                <w:rFonts w:ascii="Verdana" w:hAnsi="Verdana"/>
              </w:rPr>
            </w:pPr>
            <w:r>
              <w:rPr>
                <w:rFonts w:ascii="Verdana" w:hAnsi="Verdana"/>
              </w:rPr>
              <w:t>No</w:t>
            </w:r>
          </w:p>
        </w:tc>
        <w:tc>
          <w:tcPr>
            <w:tcW w:w="1134" w:type="dxa"/>
          </w:tcPr>
          <w:p w14:paraId="230E4CAB" w14:textId="6AE0AA04" w:rsidR="009B69F4" w:rsidRPr="00B070DC" w:rsidRDefault="009B69F4" w:rsidP="009B69F4">
            <w:pPr>
              <w:jc w:val="right"/>
              <w:rPr>
                <w:rFonts w:ascii="Verdana" w:hAnsi="Verdana"/>
              </w:rPr>
            </w:pPr>
            <w:r>
              <w:rPr>
                <w:rFonts w:ascii="Verdana" w:hAnsi="Verdana"/>
              </w:rPr>
              <w:t>No</w:t>
            </w:r>
          </w:p>
        </w:tc>
        <w:tc>
          <w:tcPr>
            <w:tcW w:w="1134" w:type="dxa"/>
          </w:tcPr>
          <w:p w14:paraId="769FFECE" w14:textId="47E75357" w:rsidR="009B69F4" w:rsidRPr="00B070DC" w:rsidRDefault="009B69F4" w:rsidP="009B69F4">
            <w:pPr>
              <w:jc w:val="right"/>
              <w:rPr>
                <w:rFonts w:ascii="Verdana" w:hAnsi="Verdana"/>
              </w:rPr>
            </w:pPr>
            <w:r>
              <w:rPr>
                <w:rFonts w:ascii="Verdana" w:hAnsi="Verdana"/>
              </w:rPr>
              <w:t>No</w:t>
            </w:r>
          </w:p>
        </w:tc>
      </w:tr>
      <w:tr w:rsidR="009B69F4" w14:paraId="11F445A0" w14:textId="77777777" w:rsidTr="00C25D58">
        <w:tc>
          <w:tcPr>
            <w:tcW w:w="562" w:type="dxa"/>
          </w:tcPr>
          <w:p w14:paraId="3F4898E2" w14:textId="77777777" w:rsidR="009B69F4" w:rsidRPr="00B070DC" w:rsidRDefault="009B69F4" w:rsidP="009B69F4">
            <w:pPr>
              <w:rPr>
                <w:rFonts w:ascii="Verdana" w:hAnsi="Verdana"/>
              </w:rPr>
            </w:pPr>
          </w:p>
        </w:tc>
        <w:tc>
          <w:tcPr>
            <w:tcW w:w="5529" w:type="dxa"/>
          </w:tcPr>
          <w:p w14:paraId="5F1DEAB2" w14:textId="77777777" w:rsidR="009B69F4" w:rsidRPr="00B070DC" w:rsidRDefault="009B69F4" w:rsidP="009B69F4">
            <w:pPr>
              <w:rPr>
                <w:rFonts w:ascii="Verdana" w:hAnsi="Verdana"/>
              </w:rPr>
            </w:pPr>
          </w:p>
        </w:tc>
        <w:tc>
          <w:tcPr>
            <w:tcW w:w="992" w:type="dxa"/>
          </w:tcPr>
          <w:p w14:paraId="19C18B47" w14:textId="77777777" w:rsidR="009B69F4" w:rsidRPr="00B070DC" w:rsidRDefault="009B69F4" w:rsidP="009B69F4">
            <w:pPr>
              <w:jc w:val="right"/>
              <w:rPr>
                <w:rFonts w:ascii="Verdana" w:hAnsi="Verdana"/>
              </w:rPr>
            </w:pPr>
          </w:p>
        </w:tc>
        <w:tc>
          <w:tcPr>
            <w:tcW w:w="1134" w:type="dxa"/>
          </w:tcPr>
          <w:p w14:paraId="3108E9C0" w14:textId="77777777" w:rsidR="009B69F4" w:rsidRPr="00B070DC" w:rsidRDefault="009B69F4" w:rsidP="009B69F4">
            <w:pPr>
              <w:jc w:val="right"/>
              <w:rPr>
                <w:rFonts w:ascii="Verdana" w:hAnsi="Verdana"/>
              </w:rPr>
            </w:pPr>
          </w:p>
        </w:tc>
        <w:tc>
          <w:tcPr>
            <w:tcW w:w="1134" w:type="dxa"/>
          </w:tcPr>
          <w:p w14:paraId="3DFC451D" w14:textId="77777777" w:rsidR="009B69F4" w:rsidRPr="00B070DC" w:rsidRDefault="009B69F4" w:rsidP="009B69F4">
            <w:pPr>
              <w:jc w:val="right"/>
              <w:rPr>
                <w:rFonts w:ascii="Verdana" w:hAnsi="Verdana"/>
              </w:rPr>
            </w:pPr>
          </w:p>
        </w:tc>
      </w:tr>
      <w:tr w:rsidR="009B69F4" w14:paraId="50BD0133" w14:textId="77777777" w:rsidTr="00C25D58">
        <w:tc>
          <w:tcPr>
            <w:tcW w:w="562" w:type="dxa"/>
          </w:tcPr>
          <w:p w14:paraId="631FC7AA" w14:textId="77777777" w:rsidR="009B69F4" w:rsidRPr="00B070DC" w:rsidRDefault="009B69F4" w:rsidP="009B69F4">
            <w:pPr>
              <w:rPr>
                <w:rFonts w:ascii="Verdana" w:hAnsi="Verdana"/>
              </w:rPr>
            </w:pPr>
          </w:p>
        </w:tc>
        <w:tc>
          <w:tcPr>
            <w:tcW w:w="5529" w:type="dxa"/>
          </w:tcPr>
          <w:p w14:paraId="553BBBF8" w14:textId="4F3D78B7" w:rsidR="009B69F4" w:rsidRPr="00B070DC" w:rsidRDefault="009B69F4" w:rsidP="009B69F4">
            <w:pPr>
              <w:rPr>
                <w:rFonts w:ascii="Verdana" w:hAnsi="Verdana"/>
              </w:rPr>
            </w:pPr>
            <w:r>
              <w:rPr>
                <w:rFonts w:ascii="Verdana" w:hAnsi="Verdana"/>
              </w:rPr>
              <w:t>College Self-Assessment</w:t>
            </w:r>
          </w:p>
        </w:tc>
        <w:tc>
          <w:tcPr>
            <w:tcW w:w="992" w:type="dxa"/>
          </w:tcPr>
          <w:p w14:paraId="6FA6F28E" w14:textId="7D03F0BC" w:rsidR="009B69F4" w:rsidRPr="00B070DC" w:rsidRDefault="009B69F4" w:rsidP="009B69F4">
            <w:pPr>
              <w:jc w:val="right"/>
              <w:rPr>
                <w:rFonts w:ascii="Verdana" w:hAnsi="Verdana"/>
              </w:rPr>
            </w:pPr>
            <w:r>
              <w:rPr>
                <w:rFonts w:ascii="Verdana" w:hAnsi="Verdana"/>
              </w:rPr>
              <w:t>Good</w:t>
            </w:r>
          </w:p>
        </w:tc>
        <w:tc>
          <w:tcPr>
            <w:tcW w:w="1134" w:type="dxa"/>
          </w:tcPr>
          <w:p w14:paraId="72B42D24" w14:textId="1B375E73" w:rsidR="009B69F4" w:rsidRPr="00B070DC" w:rsidRDefault="009B69F4" w:rsidP="009B69F4">
            <w:pPr>
              <w:jc w:val="right"/>
              <w:rPr>
                <w:rFonts w:ascii="Verdana" w:hAnsi="Verdana"/>
              </w:rPr>
            </w:pPr>
            <w:r>
              <w:rPr>
                <w:rFonts w:ascii="Verdana" w:hAnsi="Verdana"/>
              </w:rPr>
              <w:t>Good</w:t>
            </w:r>
          </w:p>
        </w:tc>
        <w:tc>
          <w:tcPr>
            <w:tcW w:w="1134" w:type="dxa"/>
          </w:tcPr>
          <w:p w14:paraId="0534AC27" w14:textId="362F28E3" w:rsidR="009B69F4" w:rsidRPr="00B070DC" w:rsidRDefault="009B69F4" w:rsidP="009B69F4">
            <w:pPr>
              <w:jc w:val="right"/>
              <w:rPr>
                <w:rFonts w:ascii="Verdana" w:hAnsi="Verdana"/>
              </w:rPr>
            </w:pPr>
            <w:r>
              <w:rPr>
                <w:rFonts w:ascii="Verdana" w:hAnsi="Verdana"/>
              </w:rPr>
              <w:t>Good</w:t>
            </w:r>
          </w:p>
        </w:tc>
      </w:tr>
    </w:tbl>
    <w:p w14:paraId="286EDDA1" w14:textId="51694A9C" w:rsidR="004829BB" w:rsidRDefault="004829BB" w:rsidP="004F4C55"/>
    <w:tbl>
      <w:tblPr>
        <w:tblW w:w="9322" w:type="dxa"/>
        <w:tblLook w:val="04A0" w:firstRow="1" w:lastRow="0" w:firstColumn="1" w:lastColumn="0" w:noHBand="0" w:noVBand="1"/>
      </w:tblPr>
      <w:tblGrid>
        <w:gridCol w:w="534"/>
        <w:gridCol w:w="8788"/>
      </w:tblGrid>
      <w:tr w:rsidR="00C84904" w:rsidRPr="00A75E90" w14:paraId="3DB2C484" w14:textId="77777777" w:rsidTr="00C25D58">
        <w:tc>
          <w:tcPr>
            <w:tcW w:w="534" w:type="dxa"/>
          </w:tcPr>
          <w:p w14:paraId="663401C9" w14:textId="77777777" w:rsidR="00C84904" w:rsidRPr="00A75E90" w:rsidRDefault="00C84904" w:rsidP="0075391C">
            <w:pPr>
              <w:rPr>
                <w:rFonts w:ascii="Verdana" w:hAnsi="Verdana"/>
                <w:b/>
              </w:rPr>
            </w:pPr>
          </w:p>
        </w:tc>
        <w:tc>
          <w:tcPr>
            <w:tcW w:w="8788" w:type="dxa"/>
          </w:tcPr>
          <w:p w14:paraId="22614A71" w14:textId="5D08E0C5" w:rsidR="00284E8F" w:rsidRDefault="00284E8F" w:rsidP="0075391C">
            <w:pPr>
              <w:contextualSpacing/>
              <w:rPr>
                <w:rFonts w:ascii="Verdana" w:hAnsi="Verdana"/>
              </w:rPr>
            </w:pPr>
            <w:r>
              <w:rPr>
                <w:rFonts w:ascii="Verdana" w:hAnsi="Verdana"/>
              </w:rPr>
              <w:t xml:space="preserve">The above scoring system is due for review by the ESFA, but there are no present </w:t>
            </w:r>
            <w:r w:rsidRPr="00BF7338">
              <w:rPr>
                <w:rFonts w:ascii="Arial" w:hAnsi="Arial" w:cs="Arial"/>
              </w:rPr>
              <w:t xml:space="preserve">indications </w:t>
            </w:r>
            <w:r>
              <w:rPr>
                <w:rFonts w:ascii="Arial" w:hAnsi="Arial" w:cs="Arial"/>
              </w:rPr>
              <w:t>as to</w:t>
            </w:r>
            <w:r w:rsidRPr="00BF7338">
              <w:rPr>
                <w:rFonts w:ascii="Arial" w:hAnsi="Arial" w:cs="Arial"/>
              </w:rPr>
              <w:t xml:space="preserve"> </w:t>
            </w:r>
            <w:r>
              <w:rPr>
                <w:rFonts w:ascii="Arial" w:hAnsi="Arial" w:cs="Arial"/>
              </w:rPr>
              <w:t>the</w:t>
            </w:r>
            <w:r w:rsidRPr="00BF7338">
              <w:rPr>
                <w:rFonts w:ascii="Arial" w:hAnsi="Arial" w:cs="Arial"/>
              </w:rPr>
              <w:t xml:space="preserve"> changes </w:t>
            </w:r>
            <w:r>
              <w:rPr>
                <w:rFonts w:ascii="Arial" w:hAnsi="Arial" w:cs="Arial"/>
              </w:rPr>
              <w:t>contemplated.</w:t>
            </w:r>
          </w:p>
          <w:p w14:paraId="6506E8EB" w14:textId="77777777" w:rsidR="00284E8F" w:rsidRDefault="00284E8F" w:rsidP="0075391C">
            <w:pPr>
              <w:contextualSpacing/>
              <w:rPr>
                <w:rFonts w:ascii="Verdana" w:hAnsi="Verdana"/>
              </w:rPr>
            </w:pPr>
          </w:p>
          <w:p w14:paraId="2EDFF685" w14:textId="16DC0D7B" w:rsidR="00C84904" w:rsidRDefault="00D34C4C" w:rsidP="0075391C">
            <w:pPr>
              <w:contextualSpacing/>
              <w:rPr>
                <w:rFonts w:ascii="Verdana" w:hAnsi="Verdana"/>
              </w:rPr>
            </w:pPr>
            <w:r>
              <w:rPr>
                <w:rFonts w:ascii="Verdana" w:hAnsi="Verdana"/>
              </w:rPr>
              <w:t xml:space="preserve">It was reported that “catch-up” funding from the ESFA in the context of the Covid-19 pandemic is being </w:t>
            </w:r>
            <w:r w:rsidR="00284E8F">
              <w:rPr>
                <w:rFonts w:ascii="Verdana" w:hAnsi="Verdana"/>
              </w:rPr>
              <w:t>requested</w:t>
            </w:r>
            <w:r>
              <w:rPr>
                <w:rFonts w:ascii="Verdana" w:hAnsi="Verdana"/>
              </w:rPr>
              <w:t xml:space="preserve"> by the sector, but with no indication at present that it will be provided.</w:t>
            </w:r>
          </w:p>
          <w:p w14:paraId="00F9E28C" w14:textId="77777777" w:rsidR="00D34C4C" w:rsidRDefault="00D34C4C" w:rsidP="0075391C">
            <w:pPr>
              <w:contextualSpacing/>
              <w:rPr>
                <w:rFonts w:ascii="Verdana" w:hAnsi="Verdana"/>
              </w:rPr>
            </w:pPr>
          </w:p>
          <w:p w14:paraId="39F3EFE7" w14:textId="77777777" w:rsidR="00D34C4C" w:rsidRDefault="00D34C4C" w:rsidP="0075391C">
            <w:pPr>
              <w:contextualSpacing/>
              <w:rPr>
                <w:rFonts w:ascii="Verdana" w:hAnsi="Verdana"/>
              </w:rPr>
            </w:pPr>
            <w:r>
              <w:rPr>
                <w:rFonts w:ascii="Verdana" w:hAnsi="Verdana"/>
              </w:rPr>
              <w:t>In discussion it was confirmed that a surplus in the 2021-22 year is proje</w:t>
            </w:r>
            <w:r w:rsidR="007A2947">
              <w:rPr>
                <w:rFonts w:ascii="Verdana" w:hAnsi="Verdana"/>
              </w:rPr>
              <w:t>c</w:t>
            </w:r>
            <w:r>
              <w:rPr>
                <w:rFonts w:ascii="Verdana" w:hAnsi="Verdana"/>
              </w:rPr>
              <w:t>ted</w:t>
            </w:r>
            <w:r w:rsidR="007A2947">
              <w:rPr>
                <w:rFonts w:ascii="Verdana" w:hAnsi="Verdana"/>
              </w:rPr>
              <w:t>, though this will depend on adequate recruitment of student numbers, which aspect requires continued close monitoring by the Corporation.</w:t>
            </w:r>
          </w:p>
          <w:p w14:paraId="6D00C931" w14:textId="77777777" w:rsidR="007A2947" w:rsidRDefault="007A2947" w:rsidP="0075391C">
            <w:pPr>
              <w:contextualSpacing/>
              <w:rPr>
                <w:rFonts w:ascii="Verdana" w:hAnsi="Verdana"/>
              </w:rPr>
            </w:pPr>
          </w:p>
          <w:p w14:paraId="722E1F19" w14:textId="4EB078C5" w:rsidR="007A2947" w:rsidRDefault="007A2947" w:rsidP="0075391C">
            <w:pPr>
              <w:contextualSpacing/>
              <w:rPr>
                <w:rFonts w:ascii="Verdana" w:hAnsi="Verdana"/>
              </w:rPr>
            </w:pPr>
            <w:r>
              <w:rPr>
                <w:rFonts w:ascii="Verdana" w:hAnsi="Verdana"/>
              </w:rPr>
              <w:t xml:space="preserve">With the agreement of the Drapers’ Company, it is hoped that some funding from this source may be diverted to assist the College </w:t>
            </w:r>
            <w:r w:rsidR="00284E8F">
              <w:rPr>
                <w:rFonts w:ascii="Verdana" w:hAnsi="Verdana"/>
              </w:rPr>
              <w:t>in</w:t>
            </w:r>
            <w:r>
              <w:rPr>
                <w:rFonts w:ascii="Verdana" w:hAnsi="Verdana"/>
              </w:rPr>
              <w:t xml:space="preserve"> provid</w:t>
            </w:r>
            <w:r w:rsidR="00284E8F">
              <w:rPr>
                <w:rFonts w:ascii="Verdana" w:hAnsi="Verdana"/>
              </w:rPr>
              <w:t>ing</w:t>
            </w:r>
            <w:r>
              <w:rPr>
                <w:rFonts w:ascii="Verdana" w:hAnsi="Verdana"/>
              </w:rPr>
              <w:t xml:space="preserve"> </w:t>
            </w:r>
            <w:r w:rsidR="00D5467D">
              <w:rPr>
                <w:rFonts w:ascii="Verdana" w:hAnsi="Verdana"/>
              </w:rPr>
              <w:t>resourc</w:t>
            </w:r>
            <w:r>
              <w:rPr>
                <w:rFonts w:ascii="Verdana" w:hAnsi="Verdana"/>
              </w:rPr>
              <w:t xml:space="preserve">es to make good the learning deficits of students arising from the period of closure. </w:t>
            </w:r>
          </w:p>
          <w:p w14:paraId="41839220" w14:textId="77777777" w:rsidR="007A2947" w:rsidRDefault="007A2947" w:rsidP="0075391C">
            <w:pPr>
              <w:contextualSpacing/>
              <w:rPr>
                <w:rFonts w:ascii="Verdana" w:hAnsi="Verdana"/>
              </w:rPr>
            </w:pPr>
          </w:p>
          <w:p w14:paraId="74355961" w14:textId="2DAA48D3" w:rsidR="007A2947" w:rsidRPr="00A75E90" w:rsidRDefault="007A2947" w:rsidP="0075391C">
            <w:pPr>
              <w:contextualSpacing/>
              <w:rPr>
                <w:rFonts w:ascii="Verdana" w:hAnsi="Verdana"/>
              </w:rPr>
            </w:pPr>
            <w:r>
              <w:rPr>
                <w:rFonts w:ascii="Verdana" w:hAnsi="Verdana"/>
              </w:rPr>
              <w:t>The annual estimates of income and expenditure 2020-21 (including the proposed in-year deficit of £130,000) were recommended for approval by the Corporation at the meeting to be held on 7 July 2020.</w:t>
            </w:r>
          </w:p>
        </w:tc>
      </w:tr>
    </w:tbl>
    <w:p w14:paraId="3B2EDC31" w14:textId="77777777" w:rsidR="007A2947" w:rsidRDefault="007A2947" w:rsidP="00C84904"/>
    <w:tbl>
      <w:tblPr>
        <w:tblW w:w="9322" w:type="dxa"/>
        <w:tblLook w:val="04A0" w:firstRow="1" w:lastRow="0" w:firstColumn="1" w:lastColumn="0" w:noHBand="0" w:noVBand="1"/>
      </w:tblPr>
      <w:tblGrid>
        <w:gridCol w:w="534"/>
        <w:gridCol w:w="8788"/>
      </w:tblGrid>
      <w:tr w:rsidR="00C84904" w:rsidRPr="00AB5692" w14:paraId="23F19868" w14:textId="77777777" w:rsidTr="00C25D58">
        <w:tc>
          <w:tcPr>
            <w:tcW w:w="534" w:type="dxa"/>
          </w:tcPr>
          <w:p w14:paraId="02F6550C" w14:textId="29A7BE46" w:rsidR="00C84904" w:rsidRPr="00AB5692" w:rsidRDefault="00C84904" w:rsidP="0075391C">
            <w:pPr>
              <w:rPr>
                <w:rFonts w:ascii="Verdana" w:hAnsi="Verdana"/>
                <w:b/>
              </w:rPr>
            </w:pPr>
            <w:r>
              <w:rPr>
                <w:rFonts w:ascii="Verdana" w:hAnsi="Verdana"/>
                <w:b/>
              </w:rPr>
              <w:t>8</w:t>
            </w:r>
          </w:p>
        </w:tc>
        <w:tc>
          <w:tcPr>
            <w:tcW w:w="8788" w:type="dxa"/>
          </w:tcPr>
          <w:p w14:paraId="3F29706C" w14:textId="02D79EEF" w:rsidR="00C84904" w:rsidRPr="00AB5692" w:rsidRDefault="00C84904" w:rsidP="0075391C">
            <w:pPr>
              <w:pStyle w:val="NoSpacing"/>
              <w:rPr>
                <w:rFonts w:ascii="Verdana" w:hAnsi="Verdana"/>
                <w:b/>
              </w:rPr>
            </w:pPr>
            <w:r>
              <w:rPr>
                <w:rFonts w:ascii="Verdana" w:hAnsi="Verdana"/>
                <w:b/>
              </w:rPr>
              <w:t>Accelerated Learning Academy</w:t>
            </w:r>
            <w:r w:rsidR="0075391C">
              <w:rPr>
                <w:rFonts w:ascii="Verdana" w:hAnsi="Verdana"/>
                <w:b/>
              </w:rPr>
              <w:t xml:space="preserve"> (ALA)</w:t>
            </w:r>
          </w:p>
          <w:p w14:paraId="33CAA885" w14:textId="77777777" w:rsidR="00C84904" w:rsidRPr="00AB5692" w:rsidRDefault="00C84904" w:rsidP="0075391C">
            <w:pPr>
              <w:rPr>
                <w:rFonts w:ascii="Verdana" w:hAnsi="Verdana"/>
                <w:b/>
              </w:rPr>
            </w:pPr>
          </w:p>
          <w:p w14:paraId="00AFB32A" w14:textId="341C5EF3" w:rsidR="00C84904" w:rsidRDefault="00C84904" w:rsidP="0075391C">
            <w:pPr>
              <w:contextualSpacing/>
              <w:rPr>
                <w:rFonts w:ascii="Verdana" w:hAnsi="Verdana"/>
              </w:rPr>
            </w:pPr>
            <w:r w:rsidRPr="00AB5692">
              <w:rPr>
                <w:rFonts w:ascii="Verdana" w:hAnsi="Verdana"/>
              </w:rPr>
              <w:t xml:space="preserve">A report prepared by the Vice Principal: Corporate Services and the Finance Manager was received and considered. </w:t>
            </w:r>
          </w:p>
          <w:p w14:paraId="3F7353B7" w14:textId="465F593D" w:rsidR="0075391C" w:rsidRDefault="0075391C" w:rsidP="0075391C">
            <w:pPr>
              <w:contextualSpacing/>
              <w:rPr>
                <w:rFonts w:ascii="Verdana" w:hAnsi="Verdana"/>
              </w:rPr>
            </w:pPr>
          </w:p>
          <w:p w14:paraId="52EF571F" w14:textId="3BE22875" w:rsidR="0075391C" w:rsidRPr="00AB5692" w:rsidRDefault="0075391C" w:rsidP="0075391C">
            <w:pPr>
              <w:contextualSpacing/>
              <w:rPr>
                <w:rFonts w:ascii="Verdana" w:hAnsi="Verdana"/>
              </w:rPr>
            </w:pPr>
            <w:r>
              <w:rPr>
                <w:rFonts w:ascii="Verdana" w:hAnsi="Verdana"/>
              </w:rPr>
              <w:t>It was noted that Corporation agreement in principle for the ALA had been secured through the medium of Chair’s Action.</w:t>
            </w:r>
          </w:p>
          <w:p w14:paraId="6F78F240" w14:textId="77777777" w:rsidR="00C84904" w:rsidRPr="00AB5692" w:rsidRDefault="00C84904" w:rsidP="0075391C">
            <w:pPr>
              <w:contextualSpacing/>
              <w:rPr>
                <w:rFonts w:ascii="Verdana" w:hAnsi="Verdana"/>
              </w:rPr>
            </w:pPr>
          </w:p>
          <w:p w14:paraId="01CD7498" w14:textId="36CBBF01" w:rsidR="0075391C" w:rsidRPr="0075391C" w:rsidRDefault="00C84904" w:rsidP="0075391C">
            <w:pPr>
              <w:rPr>
                <w:rFonts w:ascii="Verdana" w:hAnsi="Verdana"/>
              </w:rPr>
            </w:pPr>
            <w:r w:rsidRPr="0075391C">
              <w:rPr>
                <w:rFonts w:ascii="Verdana" w:hAnsi="Verdana"/>
              </w:rPr>
              <w:lastRenderedPageBreak/>
              <w:t xml:space="preserve">It was </w:t>
            </w:r>
            <w:r w:rsidR="00410C89">
              <w:rPr>
                <w:rFonts w:ascii="Verdana" w:hAnsi="Verdana"/>
              </w:rPr>
              <w:t>further</w:t>
            </w:r>
            <w:r w:rsidR="0075391C">
              <w:rPr>
                <w:rFonts w:ascii="Verdana" w:hAnsi="Verdana"/>
              </w:rPr>
              <w:t xml:space="preserve"> </w:t>
            </w:r>
            <w:r w:rsidRPr="0075391C">
              <w:rPr>
                <w:rFonts w:ascii="Verdana" w:hAnsi="Verdana"/>
              </w:rPr>
              <w:t>noted that</w:t>
            </w:r>
            <w:r w:rsidR="0075391C" w:rsidRPr="0075391C">
              <w:rPr>
                <w:rFonts w:ascii="Verdana" w:hAnsi="Verdana"/>
              </w:rPr>
              <w:t xml:space="preserve"> the ALA will be </w:t>
            </w:r>
            <w:r w:rsidR="00456414">
              <w:rPr>
                <w:rFonts w:ascii="Verdana" w:hAnsi="Verdana"/>
              </w:rPr>
              <w:t xml:space="preserve">attended by </w:t>
            </w:r>
            <w:r w:rsidR="0075391C" w:rsidRPr="0075391C">
              <w:rPr>
                <w:rFonts w:ascii="Verdana" w:hAnsi="Verdana"/>
              </w:rPr>
              <w:t xml:space="preserve">a new funding stream, </w:t>
            </w:r>
            <w:r w:rsidR="00456414">
              <w:rPr>
                <w:rFonts w:ascii="Verdana" w:hAnsi="Verdana"/>
              </w:rPr>
              <w:t>which will not be</w:t>
            </w:r>
            <w:r w:rsidR="0075391C" w:rsidRPr="0075391C">
              <w:rPr>
                <w:rFonts w:ascii="Verdana" w:hAnsi="Verdana"/>
              </w:rPr>
              <w:t xml:space="preserve"> lagged </w:t>
            </w:r>
            <w:r w:rsidR="00410C89">
              <w:rPr>
                <w:rFonts w:ascii="Verdana" w:hAnsi="Verdana"/>
              </w:rPr>
              <w:t>by reference to</w:t>
            </w:r>
            <w:r w:rsidR="0075391C" w:rsidRPr="0075391C">
              <w:rPr>
                <w:rFonts w:ascii="Verdana" w:hAnsi="Verdana"/>
              </w:rPr>
              <w:t xml:space="preserve"> the previous year’s student numbers.  </w:t>
            </w:r>
            <w:r w:rsidR="0075391C">
              <w:rPr>
                <w:rFonts w:ascii="Verdana" w:hAnsi="Verdana"/>
              </w:rPr>
              <w:t>Anticipated income is</w:t>
            </w:r>
            <w:r w:rsidR="0075391C" w:rsidRPr="0075391C">
              <w:rPr>
                <w:rFonts w:ascii="Verdana" w:hAnsi="Verdana"/>
              </w:rPr>
              <w:t xml:space="preserve"> in the region of £400</w:t>
            </w:r>
            <w:r w:rsidR="00284E8F">
              <w:rPr>
                <w:rFonts w:ascii="Verdana" w:hAnsi="Verdana"/>
              </w:rPr>
              <w:t>,</w:t>
            </w:r>
            <w:r w:rsidR="0075391C" w:rsidRPr="0075391C">
              <w:rPr>
                <w:rFonts w:ascii="Verdana" w:hAnsi="Verdana"/>
              </w:rPr>
              <w:t xml:space="preserve">000, </w:t>
            </w:r>
            <w:r w:rsidR="00410C89">
              <w:rPr>
                <w:rFonts w:ascii="Verdana" w:hAnsi="Verdana"/>
              </w:rPr>
              <w:t>including</w:t>
            </w:r>
            <w:r w:rsidR="0075391C" w:rsidRPr="0075391C">
              <w:rPr>
                <w:rFonts w:ascii="Verdana" w:hAnsi="Verdana"/>
              </w:rPr>
              <w:t xml:space="preserve"> £100</w:t>
            </w:r>
            <w:r w:rsidR="00456414">
              <w:rPr>
                <w:rFonts w:ascii="Verdana" w:hAnsi="Verdana"/>
              </w:rPr>
              <w:t>,000</w:t>
            </w:r>
            <w:r w:rsidR="0075391C" w:rsidRPr="0075391C">
              <w:rPr>
                <w:rFonts w:ascii="Verdana" w:hAnsi="Verdana"/>
              </w:rPr>
              <w:t xml:space="preserve"> </w:t>
            </w:r>
            <w:r w:rsidR="00410C89">
              <w:rPr>
                <w:rFonts w:ascii="Verdana" w:hAnsi="Verdana"/>
              </w:rPr>
              <w:t xml:space="preserve">as a </w:t>
            </w:r>
            <w:r w:rsidR="0075391C" w:rsidRPr="0075391C">
              <w:rPr>
                <w:rFonts w:ascii="Verdana" w:hAnsi="Verdana"/>
              </w:rPr>
              <w:t>contributi</w:t>
            </w:r>
            <w:r w:rsidR="00410C89">
              <w:rPr>
                <w:rFonts w:ascii="Verdana" w:hAnsi="Verdana"/>
              </w:rPr>
              <w:t>on</w:t>
            </w:r>
            <w:r w:rsidR="0075391C" w:rsidRPr="0075391C">
              <w:rPr>
                <w:rFonts w:ascii="Verdana" w:hAnsi="Verdana"/>
              </w:rPr>
              <w:t xml:space="preserve"> to core costs</w:t>
            </w:r>
            <w:r w:rsidR="00410C89">
              <w:rPr>
                <w:rFonts w:ascii="Verdana" w:hAnsi="Verdana"/>
              </w:rPr>
              <w:t xml:space="preserve"> and </w:t>
            </w:r>
            <w:r w:rsidR="0075391C" w:rsidRPr="0075391C">
              <w:rPr>
                <w:rFonts w:ascii="Verdana" w:hAnsi="Verdana"/>
              </w:rPr>
              <w:t xml:space="preserve">overheads. </w:t>
            </w:r>
            <w:r w:rsidR="00410C89">
              <w:rPr>
                <w:rFonts w:ascii="Verdana" w:hAnsi="Verdana"/>
              </w:rPr>
              <w:t xml:space="preserve"> </w:t>
            </w:r>
            <w:r w:rsidR="0075391C" w:rsidRPr="0075391C">
              <w:rPr>
                <w:rFonts w:ascii="Verdana" w:hAnsi="Verdana"/>
              </w:rPr>
              <w:t xml:space="preserve">Negotiations </w:t>
            </w:r>
            <w:r w:rsidR="0075391C">
              <w:rPr>
                <w:rFonts w:ascii="Verdana" w:hAnsi="Verdana"/>
              </w:rPr>
              <w:t>are</w:t>
            </w:r>
            <w:r w:rsidR="0075391C" w:rsidRPr="0075391C">
              <w:rPr>
                <w:rFonts w:ascii="Verdana" w:hAnsi="Verdana"/>
              </w:rPr>
              <w:t xml:space="preserve"> continuing with Waltham Forest Council on the financial aspects of the provision, with a draft contract expected to be in place by </w:t>
            </w:r>
            <w:r w:rsidR="0075391C">
              <w:rPr>
                <w:rFonts w:ascii="Verdana" w:hAnsi="Verdana"/>
              </w:rPr>
              <w:t>31</w:t>
            </w:r>
            <w:r w:rsidR="0075391C" w:rsidRPr="0075391C">
              <w:rPr>
                <w:rFonts w:ascii="Verdana" w:hAnsi="Verdana"/>
              </w:rPr>
              <w:t xml:space="preserve"> July</w:t>
            </w:r>
            <w:r w:rsidR="00456414">
              <w:rPr>
                <w:rFonts w:ascii="Verdana" w:hAnsi="Verdana"/>
              </w:rPr>
              <w:t xml:space="preserve"> 2020</w:t>
            </w:r>
            <w:r w:rsidR="0075391C" w:rsidRPr="0075391C">
              <w:rPr>
                <w:rFonts w:ascii="Verdana" w:hAnsi="Verdana"/>
              </w:rPr>
              <w:t>.</w:t>
            </w:r>
          </w:p>
          <w:p w14:paraId="0DF27099" w14:textId="41FE9BEC" w:rsidR="0075391C" w:rsidRPr="0075391C" w:rsidRDefault="0075391C" w:rsidP="0075391C">
            <w:pPr>
              <w:contextualSpacing/>
              <w:rPr>
                <w:rFonts w:ascii="Verdana" w:hAnsi="Verdana"/>
              </w:rPr>
            </w:pPr>
          </w:p>
          <w:p w14:paraId="42326FA3" w14:textId="361F4866" w:rsidR="00C84904" w:rsidRPr="00AB5692" w:rsidRDefault="0075391C" w:rsidP="0075391C">
            <w:pPr>
              <w:contextualSpacing/>
              <w:rPr>
                <w:rFonts w:ascii="Verdana" w:hAnsi="Verdana"/>
              </w:rPr>
            </w:pPr>
            <w:r>
              <w:rPr>
                <w:rFonts w:ascii="Verdana" w:hAnsi="Verdana"/>
              </w:rPr>
              <w:t>The following aspects of the</w:t>
            </w:r>
            <w:r w:rsidR="00410C89">
              <w:rPr>
                <w:rFonts w:ascii="Verdana" w:hAnsi="Verdana"/>
              </w:rPr>
              <w:t xml:space="preserve"> proposed</w:t>
            </w:r>
            <w:r>
              <w:rPr>
                <w:rFonts w:ascii="Verdana" w:hAnsi="Verdana"/>
              </w:rPr>
              <w:t xml:space="preserve"> financial arrangements were also noted, namely:</w:t>
            </w:r>
          </w:p>
        </w:tc>
      </w:tr>
    </w:tbl>
    <w:p w14:paraId="27A5C985" w14:textId="2AE8301B" w:rsidR="00C84904" w:rsidRDefault="00C84904"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75391C" w:rsidRPr="00B446C1" w14:paraId="79ABF72A" w14:textId="77777777" w:rsidTr="00C25D58">
        <w:tc>
          <w:tcPr>
            <w:tcW w:w="562" w:type="dxa"/>
          </w:tcPr>
          <w:p w14:paraId="2F942DF2" w14:textId="77777777" w:rsidR="0075391C" w:rsidRPr="003638BE" w:rsidRDefault="0075391C" w:rsidP="0075391C">
            <w:pPr>
              <w:rPr>
                <w:rFonts w:ascii="Verdana" w:hAnsi="Verdana"/>
              </w:rPr>
            </w:pPr>
          </w:p>
        </w:tc>
        <w:tc>
          <w:tcPr>
            <w:tcW w:w="426" w:type="dxa"/>
          </w:tcPr>
          <w:p w14:paraId="62B367D7" w14:textId="77777777" w:rsidR="0075391C" w:rsidRPr="003638BE" w:rsidRDefault="0075391C" w:rsidP="0075391C">
            <w:pPr>
              <w:rPr>
                <w:rFonts w:ascii="Verdana" w:hAnsi="Verdana"/>
                <w:b/>
                <w:bCs/>
              </w:rPr>
            </w:pPr>
            <w:r>
              <w:rPr>
                <w:rFonts w:ascii="Verdana" w:hAnsi="Verdana"/>
                <w:b/>
                <w:bCs/>
              </w:rPr>
              <w:t>.</w:t>
            </w:r>
          </w:p>
        </w:tc>
        <w:tc>
          <w:tcPr>
            <w:tcW w:w="8363" w:type="dxa"/>
          </w:tcPr>
          <w:p w14:paraId="428F6BC5" w14:textId="7DC8EAA5" w:rsidR="0075391C" w:rsidRPr="00410C89" w:rsidRDefault="00410C89" w:rsidP="0075391C">
            <w:pPr>
              <w:rPr>
                <w:rFonts w:ascii="Verdana" w:hAnsi="Verdana"/>
                <w:i/>
                <w:iCs/>
              </w:rPr>
            </w:pPr>
            <w:r w:rsidRPr="00410C89">
              <w:rPr>
                <w:rFonts w:ascii="Verdana" w:hAnsi="Verdana"/>
              </w:rPr>
              <w:t xml:space="preserve">a guarantee of 50 places at a per capita </w:t>
            </w:r>
            <w:r w:rsidR="00456414">
              <w:rPr>
                <w:rFonts w:ascii="Verdana" w:hAnsi="Verdana"/>
              </w:rPr>
              <w:t>fee receivable</w:t>
            </w:r>
            <w:r w:rsidRPr="00410C89">
              <w:rPr>
                <w:rFonts w:ascii="Verdana" w:hAnsi="Verdana"/>
              </w:rPr>
              <w:t xml:space="preserve"> of £8,000;</w:t>
            </w:r>
            <w:r>
              <w:rPr>
                <w:rFonts w:ascii="Verdana" w:hAnsi="Verdana"/>
              </w:rPr>
              <w:t xml:space="preserve"> </w:t>
            </w:r>
            <w:r>
              <w:rPr>
                <w:rFonts w:ascii="Verdana" w:hAnsi="Verdana"/>
                <w:i/>
                <w:iCs/>
              </w:rPr>
              <w:t>and</w:t>
            </w:r>
          </w:p>
          <w:p w14:paraId="17A39586" w14:textId="6747A4F0" w:rsidR="00410C89" w:rsidRPr="00410C89" w:rsidRDefault="00410C89" w:rsidP="0075391C">
            <w:pPr>
              <w:rPr>
                <w:rFonts w:ascii="Verdana" w:hAnsi="Verdana"/>
              </w:rPr>
            </w:pPr>
          </w:p>
        </w:tc>
      </w:tr>
      <w:tr w:rsidR="0075391C" w:rsidRPr="00B446C1" w14:paraId="5F407C3F" w14:textId="77777777" w:rsidTr="00C25D58">
        <w:tc>
          <w:tcPr>
            <w:tcW w:w="562" w:type="dxa"/>
          </w:tcPr>
          <w:p w14:paraId="5535FD05" w14:textId="77777777" w:rsidR="0075391C" w:rsidRPr="003638BE" w:rsidRDefault="0075391C" w:rsidP="0075391C">
            <w:pPr>
              <w:rPr>
                <w:rFonts w:ascii="Verdana" w:hAnsi="Verdana"/>
              </w:rPr>
            </w:pPr>
          </w:p>
        </w:tc>
        <w:tc>
          <w:tcPr>
            <w:tcW w:w="426" w:type="dxa"/>
          </w:tcPr>
          <w:p w14:paraId="13387EE9" w14:textId="77777777" w:rsidR="0075391C" w:rsidRDefault="0075391C" w:rsidP="0075391C">
            <w:pPr>
              <w:rPr>
                <w:rFonts w:ascii="Verdana" w:hAnsi="Verdana"/>
                <w:b/>
                <w:bCs/>
              </w:rPr>
            </w:pPr>
            <w:r>
              <w:rPr>
                <w:rFonts w:ascii="Verdana" w:hAnsi="Verdana"/>
                <w:b/>
                <w:bCs/>
              </w:rPr>
              <w:t>.</w:t>
            </w:r>
          </w:p>
        </w:tc>
        <w:tc>
          <w:tcPr>
            <w:tcW w:w="8363" w:type="dxa"/>
          </w:tcPr>
          <w:p w14:paraId="79697F2B" w14:textId="5F823DDB" w:rsidR="00410C89" w:rsidRPr="00410C89" w:rsidRDefault="00410C89" w:rsidP="0075391C">
            <w:pPr>
              <w:rPr>
                <w:rFonts w:ascii="Verdana" w:hAnsi="Verdana"/>
              </w:rPr>
            </w:pPr>
            <w:r w:rsidRPr="00410C89">
              <w:rPr>
                <w:rFonts w:ascii="Verdana" w:hAnsi="Verdana"/>
              </w:rPr>
              <w:t xml:space="preserve">additional places above 50 </w:t>
            </w:r>
            <w:r w:rsidR="00284E8F">
              <w:rPr>
                <w:rFonts w:ascii="Verdana" w:hAnsi="Verdana"/>
              </w:rPr>
              <w:t>to be funded</w:t>
            </w:r>
            <w:r w:rsidRPr="00410C89">
              <w:rPr>
                <w:rFonts w:ascii="Verdana" w:hAnsi="Verdana"/>
              </w:rPr>
              <w:t xml:space="preserve"> pro-rata</w:t>
            </w:r>
            <w:r w:rsidR="00456414">
              <w:rPr>
                <w:rFonts w:ascii="Verdana" w:hAnsi="Verdana"/>
              </w:rPr>
              <w:t xml:space="preserve"> </w:t>
            </w:r>
            <w:r w:rsidRPr="00410C89">
              <w:rPr>
                <w:rFonts w:ascii="Verdana" w:hAnsi="Verdana"/>
              </w:rPr>
              <w:t xml:space="preserve">to </w:t>
            </w:r>
            <w:r w:rsidR="00456414">
              <w:rPr>
                <w:rFonts w:ascii="Verdana" w:hAnsi="Verdana"/>
              </w:rPr>
              <w:t xml:space="preserve">a maximum of </w:t>
            </w:r>
            <w:r w:rsidRPr="00410C89">
              <w:rPr>
                <w:rFonts w:ascii="Verdana" w:hAnsi="Verdana"/>
              </w:rPr>
              <w:t>60</w:t>
            </w:r>
            <w:r w:rsidR="00456414">
              <w:rPr>
                <w:rFonts w:ascii="Verdana" w:hAnsi="Verdana"/>
              </w:rPr>
              <w:t>,</w:t>
            </w:r>
            <w:r>
              <w:rPr>
                <w:rFonts w:ascii="Verdana" w:hAnsi="Verdana"/>
              </w:rPr>
              <w:t xml:space="preserve"> </w:t>
            </w:r>
            <w:r w:rsidR="00456414">
              <w:rPr>
                <w:rFonts w:ascii="Verdana" w:hAnsi="Verdana"/>
              </w:rPr>
              <w:t>with any above that number</w:t>
            </w:r>
            <w:r w:rsidRPr="00410C89">
              <w:rPr>
                <w:rFonts w:ascii="Verdana" w:hAnsi="Verdana"/>
              </w:rPr>
              <w:t xml:space="preserve"> </w:t>
            </w:r>
            <w:r w:rsidR="00456414">
              <w:rPr>
                <w:rFonts w:ascii="Verdana" w:hAnsi="Verdana"/>
              </w:rPr>
              <w:t xml:space="preserve">attracting a </w:t>
            </w:r>
            <w:r w:rsidR="00284E8F">
              <w:rPr>
                <w:rFonts w:ascii="Verdana" w:hAnsi="Verdana"/>
              </w:rPr>
              <w:t xml:space="preserve">per capita </w:t>
            </w:r>
            <w:r w:rsidR="00456414">
              <w:rPr>
                <w:rFonts w:ascii="Verdana" w:hAnsi="Verdana"/>
              </w:rPr>
              <w:t>fee receivable of</w:t>
            </w:r>
            <w:r w:rsidRPr="00410C89">
              <w:rPr>
                <w:rFonts w:ascii="Verdana" w:hAnsi="Verdana"/>
              </w:rPr>
              <w:t xml:space="preserve"> £8,500</w:t>
            </w:r>
            <w:r w:rsidR="00456414">
              <w:rPr>
                <w:rFonts w:ascii="Verdana" w:hAnsi="Verdana"/>
              </w:rPr>
              <w:t>.</w:t>
            </w:r>
          </w:p>
        </w:tc>
      </w:tr>
    </w:tbl>
    <w:p w14:paraId="68DF2760" w14:textId="77777777" w:rsidR="00410C89" w:rsidRDefault="00410C89" w:rsidP="004F4C55"/>
    <w:tbl>
      <w:tblPr>
        <w:tblW w:w="9322" w:type="dxa"/>
        <w:tblLook w:val="04A0" w:firstRow="1" w:lastRow="0" w:firstColumn="1" w:lastColumn="0" w:noHBand="0" w:noVBand="1"/>
      </w:tblPr>
      <w:tblGrid>
        <w:gridCol w:w="534"/>
        <w:gridCol w:w="8788"/>
      </w:tblGrid>
      <w:tr w:rsidR="00410C89" w:rsidRPr="00A75E90" w14:paraId="2729054A" w14:textId="77777777" w:rsidTr="00C25D58">
        <w:tc>
          <w:tcPr>
            <w:tcW w:w="534" w:type="dxa"/>
          </w:tcPr>
          <w:p w14:paraId="5F878C39" w14:textId="77777777" w:rsidR="00410C89" w:rsidRPr="00A75E90" w:rsidRDefault="00410C89" w:rsidP="00C91791">
            <w:pPr>
              <w:rPr>
                <w:rFonts w:ascii="Verdana" w:hAnsi="Verdana"/>
                <w:b/>
              </w:rPr>
            </w:pPr>
          </w:p>
        </w:tc>
        <w:tc>
          <w:tcPr>
            <w:tcW w:w="8788" w:type="dxa"/>
          </w:tcPr>
          <w:p w14:paraId="6E1B44BD" w14:textId="6053D161" w:rsidR="00410C89" w:rsidRPr="00A75E90" w:rsidRDefault="00410C89" w:rsidP="00C91791">
            <w:pPr>
              <w:contextualSpacing/>
              <w:rPr>
                <w:rFonts w:ascii="Verdana" w:hAnsi="Verdana"/>
              </w:rPr>
            </w:pPr>
            <w:r>
              <w:rPr>
                <w:rFonts w:ascii="Verdana" w:hAnsi="Verdana"/>
              </w:rPr>
              <w:t xml:space="preserve">The following </w:t>
            </w:r>
            <w:r w:rsidR="00D5467D">
              <w:rPr>
                <w:rFonts w:ascii="Verdana" w:hAnsi="Verdana"/>
              </w:rPr>
              <w:t xml:space="preserve">expenditure </w:t>
            </w:r>
            <w:r>
              <w:rPr>
                <w:rFonts w:ascii="Verdana" w:hAnsi="Verdana"/>
              </w:rPr>
              <w:t>estimates were noted:</w:t>
            </w:r>
          </w:p>
        </w:tc>
      </w:tr>
    </w:tbl>
    <w:p w14:paraId="71094CFA" w14:textId="58F2CEDD" w:rsidR="00C84904" w:rsidRDefault="00C84904"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804"/>
        <w:gridCol w:w="1985"/>
      </w:tblGrid>
      <w:tr w:rsidR="00410C89" w:rsidRPr="00410C89" w14:paraId="1C81162E" w14:textId="77777777" w:rsidTr="00C25D58">
        <w:tc>
          <w:tcPr>
            <w:tcW w:w="562" w:type="dxa"/>
          </w:tcPr>
          <w:p w14:paraId="178DDBF7" w14:textId="77777777" w:rsidR="00410C89" w:rsidRPr="003638BE" w:rsidRDefault="00410C89" w:rsidP="00C91791">
            <w:pPr>
              <w:rPr>
                <w:rFonts w:ascii="Verdana" w:hAnsi="Verdana"/>
              </w:rPr>
            </w:pPr>
          </w:p>
        </w:tc>
        <w:tc>
          <w:tcPr>
            <w:tcW w:w="6804" w:type="dxa"/>
          </w:tcPr>
          <w:p w14:paraId="383C4D66" w14:textId="5C76A0B3" w:rsidR="00410C89" w:rsidRPr="003638BE" w:rsidRDefault="00410C89" w:rsidP="00C91791">
            <w:pPr>
              <w:rPr>
                <w:rFonts w:ascii="Verdana" w:hAnsi="Verdana"/>
                <w:b/>
                <w:bCs/>
              </w:rPr>
            </w:pPr>
          </w:p>
        </w:tc>
        <w:tc>
          <w:tcPr>
            <w:tcW w:w="1985" w:type="dxa"/>
          </w:tcPr>
          <w:p w14:paraId="4201ACA8" w14:textId="77777777" w:rsidR="00410C89" w:rsidRDefault="00410C89" w:rsidP="00410C89">
            <w:pPr>
              <w:jc w:val="right"/>
              <w:rPr>
                <w:rFonts w:ascii="Verdana" w:hAnsi="Verdana"/>
                <w:i/>
                <w:iCs/>
              </w:rPr>
            </w:pPr>
            <w:r w:rsidRPr="00410C89">
              <w:rPr>
                <w:rFonts w:ascii="Verdana" w:hAnsi="Verdana"/>
                <w:i/>
                <w:iCs/>
              </w:rPr>
              <w:t>£</w:t>
            </w:r>
          </w:p>
          <w:p w14:paraId="41EF82FE" w14:textId="440D018F" w:rsidR="00410C89" w:rsidRPr="00410C89" w:rsidRDefault="00410C89" w:rsidP="00410C89">
            <w:pPr>
              <w:jc w:val="right"/>
              <w:rPr>
                <w:rFonts w:ascii="Verdana" w:hAnsi="Verdana"/>
                <w:i/>
                <w:iCs/>
              </w:rPr>
            </w:pPr>
          </w:p>
        </w:tc>
      </w:tr>
      <w:tr w:rsidR="00410C89" w:rsidRPr="00410C89" w14:paraId="548DFAE4" w14:textId="77777777" w:rsidTr="00C25D58">
        <w:tc>
          <w:tcPr>
            <w:tcW w:w="562" w:type="dxa"/>
          </w:tcPr>
          <w:p w14:paraId="1F3C9644" w14:textId="77777777" w:rsidR="00410C89" w:rsidRPr="003638BE" w:rsidRDefault="00410C89" w:rsidP="00C91791">
            <w:pPr>
              <w:rPr>
                <w:rFonts w:ascii="Verdana" w:hAnsi="Verdana"/>
              </w:rPr>
            </w:pPr>
          </w:p>
        </w:tc>
        <w:tc>
          <w:tcPr>
            <w:tcW w:w="6804" w:type="dxa"/>
          </w:tcPr>
          <w:p w14:paraId="725D60FA" w14:textId="4991F237" w:rsidR="00410C89" w:rsidRPr="00410C89" w:rsidRDefault="00410C89" w:rsidP="00C91791">
            <w:pPr>
              <w:rPr>
                <w:rFonts w:ascii="Verdana" w:hAnsi="Verdana"/>
              </w:rPr>
            </w:pPr>
            <w:r w:rsidRPr="00410C89">
              <w:rPr>
                <w:rFonts w:ascii="Verdana" w:hAnsi="Verdana"/>
              </w:rPr>
              <w:t>Curriculum</w:t>
            </w:r>
          </w:p>
        </w:tc>
        <w:tc>
          <w:tcPr>
            <w:tcW w:w="1985" w:type="dxa"/>
          </w:tcPr>
          <w:p w14:paraId="035E5275" w14:textId="2782E1C9" w:rsidR="00410C89" w:rsidRPr="00410C89" w:rsidRDefault="00410C89" w:rsidP="00410C89">
            <w:pPr>
              <w:jc w:val="right"/>
              <w:rPr>
                <w:rFonts w:ascii="Verdana" w:hAnsi="Verdana"/>
              </w:rPr>
            </w:pPr>
            <w:r>
              <w:rPr>
                <w:rFonts w:ascii="Verdana" w:hAnsi="Verdana"/>
              </w:rPr>
              <w:t>174,356</w:t>
            </w:r>
          </w:p>
        </w:tc>
      </w:tr>
      <w:tr w:rsidR="00410C89" w:rsidRPr="00410C89" w14:paraId="3DAC9329" w14:textId="77777777" w:rsidTr="00C25D58">
        <w:tc>
          <w:tcPr>
            <w:tcW w:w="562" w:type="dxa"/>
          </w:tcPr>
          <w:p w14:paraId="439F5C54" w14:textId="77777777" w:rsidR="00410C89" w:rsidRPr="003638BE" w:rsidRDefault="00410C89" w:rsidP="00C91791">
            <w:pPr>
              <w:rPr>
                <w:rFonts w:ascii="Verdana" w:hAnsi="Verdana"/>
              </w:rPr>
            </w:pPr>
          </w:p>
        </w:tc>
        <w:tc>
          <w:tcPr>
            <w:tcW w:w="6804" w:type="dxa"/>
          </w:tcPr>
          <w:p w14:paraId="53A5CC05" w14:textId="075FB531" w:rsidR="00410C89" w:rsidRPr="00410C89" w:rsidRDefault="00410C89" w:rsidP="00C91791">
            <w:pPr>
              <w:rPr>
                <w:rFonts w:ascii="Verdana" w:hAnsi="Verdana"/>
              </w:rPr>
            </w:pPr>
            <w:r w:rsidRPr="00410C89">
              <w:rPr>
                <w:rFonts w:ascii="Verdana" w:hAnsi="Verdana"/>
              </w:rPr>
              <w:t>Leadership</w:t>
            </w:r>
          </w:p>
        </w:tc>
        <w:tc>
          <w:tcPr>
            <w:tcW w:w="1985" w:type="dxa"/>
          </w:tcPr>
          <w:p w14:paraId="1A90BCED" w14:textId="574B6206" w:rsidR="00410C89" w:rsidRPr="00410C89" w:rsidRDefault="00410C89" w:rsidP="00410C89">
            <w:pPr>
              <w:jc w:val="right"/>
              <w:rPr>
                <w:rFonts w:ascii="Verdana" w:hAnsi="Verdana"/>
              </w:rPr>
            </w:pPr>
            <w:r>
              <w:rPr>
                <w:rFonts w:ascii="Verdana" w:hAnsi="Verdana"/>
              </w:rPr>
              <w:t>30,000</w:t>
            </w:r>
          </w:p>
        </w:tc>
      </w:tr>
      <w:tr w:rsidR="00410C89" w:rsidRPr="00410C89" w14:paraId="49AADB76" w14:textId="77777777" w:rsidTr="00C25D58">
        <w:tc>
          <w:tcPr>
            <w:tcW w:w="562" w:type="dxa"/>
          </w:tcPr>
          <w:p w14:paraId="2096552D" w14:textId="77777777" w:rsidR="00410C89" w:rsidRPr="003638BE" w:rsidRDefault="00410C89" w:rsidP="00C91791">
            <w:pPr>
              <w:rPr>
                <w:rFonts w:ascii="Verdana" w:hAnsi="Verdana"/>
              </w:rPr>
            </w:pPr>
          </w:p>
        </w:tc>
        <w:tc>
          <w:tcPr>
            <w:tcW w:w="6804" w:type="dxa"/>
          </w:tcPr>
          <w:p w14:paraId="424E6B8D" w14:textId="7FEB379F" w:rsidR="00410C89" w:rsidRPr="00410C89" w:rsidRDefault="00410C89" w:rsidP="00C91791">
            <w:pPr>
              <w:rPr>
                <w:rFonts w:ascii="Verdana" w:hAnsi="Verdana"/>
              </w:rPr>
            </w:pPr>
            <w:r w:rsidRPr="00410C89">
              <w:rPr>
                <w:rFonts w:ascii="Verdana" w:hAnsi="Verdana"/>
              </w:rPr>
              <w:t>Administration</w:t>
            </w:r>
          </w:p>
        </w:tc>
        <w:tc>
          <w:tcPr>
            <w:tcW w:w="1985" w:type="dxa"/>
          </w:tcPr>
          <w:p w14:paraId="5580CFA5" w14:textId="30B94484" w:rsidR="00410C89" w:rsidRPr="00410C89" w:rsidRDefault="00410C89" w:rsidP="00410C89">
            <w:pPr>
              <w:jc w:val="right"/>
              <w:rPr>
                <w:rFonts w:ascii="Verdana" w:hAnsi="Verdana"/>
              </w:rPr>
            </w:pPr>
            <w:r>
              <w:rPr>
                <w:rFonts w:ascii="Verdana" w:hAnsi="Verdana"/>
              </w:rPr>
              <w:t>30,000</w:t>
            </w:r>
          </w:p>
        </w:tc>
      </w:tr>
      <w:tr w:rsidR="00410C89" w:rsidRPr="00410C89" w14:paraId="5F770CA1" w14:textId="77777777" w:rsidTr="00C25D58">
        <w:tc>
          <w:tcPr>
            <w:tcW w:w="562" w:type="dxa"/>
          </w:tcPr>
          <w:p w14:paraId="1D2341D3" w14:textId="77777777" w:rsidR="00410C89" w:rsidRPr="003638BE" w:rsidRDefault="00410C89" w:rsidP="00C91791">
            <w:pPr>
              <w:rPr>
                <w:rFonts w:ascii="Verdana" w:hAnsi="Verdana"/>
              </w:rPr>
            </w:pPr>
          </w:p>
        </w:tc>
        <w:tc>
          <w:tcPr>
            <w:tcW w:w="6804" w:type="dxa"/>
          </w:tcPr>
          <w:p w14:paraId="6CA0FE69" w14:textId="3752D9AC" w:rsidR="00410C89" w:rsidRPr="00410C89" w:rsidRDefault="00410C89" w:rsidP="00C91791">
            <w:pPr>
              <w:rPr>
                <w:rFonts w:ascii="Verdana" w:hAnsi="Verdana"/>
              </w:rPr>
            </w:pPr>
            <w:r w:rsidRPr="00410C89">
              <w:rPr>
                <w:rFonts w:ascii="Verdana" w:hAnsi="Verdana"/>
              </w:rPr>
              <w:t>Student Support</w:t>
            </w:r>
          </w:p>
        </w:tc>
        <w:tc>
          <w:tcPr>
            <w:tcW w:w="1985" w:type="dxa"/>
          </w:tcPr>
          <w:p w14:paraId="774CFC46" w14:textId="63CA0D70" w:rsidR="00410C89" w:rsidRPr="00410C89" w:rsidRDefault="00410C89" w:rsidP="00410C89">
            <w:pPr>
              <w:jc w:val="right"/>
              <w:rPr>
                <w:rFonts w:ascii="Verdana" w:hAnsi="Verdana"/>
              </w:rPr>
            </w:pPr>
            <w:r>
              <w:rPr>
                <w:rFonts w:ascii="Verdana" w:hAnsi="Verdana"/>
              </w:rPr>
              <w:t>56,470</w:t>
            </w:r>
          </w:p>
        </w:tc>
      </w:tr>
      <w:tr w:rsidR="00410C89" w:rsidRPr="00410C89" w14:paraId="371710A9" w14:textId="77777777" w:rsidTr="00C25D58">
        <w:tc>
          <w:tcPr>
            <w:tcW w:w="562" w:type="dxa"/>
          </w:tcPr>
          <w:p w14:paraId="752C586C" w14:textId="77777777" w:rsidR="00410C89" w:rsidRPr="003638BE" w:rsidRDefault="00410C89" w:rsidP="00C91791">
            <w:pPr>
              <w:rPr>
                <w:rFonts w:ascii="Verdana" w:hAnsi="Verdana"/>
              </w:rPr>
            </w:pPr>
          </w:p>
        </w:tc>
        <w:tc>
          <w:tcPr>
            <w:tcW w:w="6804" w:type="dxa"/>
          </w:tcPr>
          <w:p w14:paraId="34370D6E" w14:textId="77777777" w:rsidR="00410C89" w:rsidRPr="00410C89" w:rsidRDefault="00410C89" w:rsidP="00C91791">
            <w:pPr>
              <w:rPr>
                <w:rFonts w:ascii="Verdana" w:hAnsi="Verdana"/>
              </w:rPr>
            </w:pPr>
            <w:r w:rsidRPr="00410C89">
              <w:rPr>
                <w:rFonts w:ascii="Verdana" w:hAnsi="Verdana"/>
              </w:rPr>
              <w:t>Start-Up Costs (over three years)</w:t>
            </w:r>
          </w:p>
          <w:p w14:paraId="41492291" w14:textId="00756F2F" w:rsidR="00410C89" w:rsidRPr="00410C89" w:rsidRDefault="00410C89" w:rsidP="00C91791">
            <w:pPr>
              <w:rPr>
                <w:rFonts w:ascii="Verdana" w:hAnsi="Verdana"/>
              </w:rPr>
            </w:pPr>
          </w:p>
        </w:tc>
        <w:tc>
          <w:tcPr>
            <w:tcW w:w="1985" w:type="dxa"/>
          </w:tcPr>
          <w:p w14:paraId="2DBFEDEB" w14:textId="27E0E3E7" w:rsidR="00410C89" w:rsidRPr="00410C89" w:rsidRDefault="0020631C" w:rsidP="00410C89">
            <w:pPr>
              <w:jc w:val="right"/>
              <w:rPr>
                <w:rFonts w:ascii="Verdana" w:hAnsi="Verdana"/>
              </w:rPr>
            </w:pPr>
            <w:r>
              <w:rPr>
                <w:rFonts w:ascii="Verdana" w:hAnsi="Verdana"/>
              </w:rPr>
              <w:t>13,250</w:t>
            </w:r>
          </w:p>
        </w:tc>
      </w:tr>
      <w:tr w:rsidR="00410C89" w:rsidRPr="00410C89" w14:paraId="2688CAD7" w14:textId="77777777" w:rsidTr="00C25D58">
        <w:tc>
          <w:tcPr>
            <w:tcW w:w="562" w:type="dxa"/>
          </w:tcPr>
          <w:p w14:paraId="09BA9DF6" w14:textId="77777777" w:rsidR="00410C89" w:rsidRPr="003638BE" w:rsidRDefault="00410C89" w:rsidP="00C91791">
            <w:pPr>
              <w:rPr>
                <w:rFonts w:ascii="Verdana" w:hAnsi="Verdana"/>
              </w:rPr>
            </w:pPr>
          </w:p>
        </w:tc>
        <w:tc>
          <w:tcPr>
            <w:tcW w:w="6804" w:type="dxa"/>
          </w:tcPr>
          <w:p w14:paraId="574A920D" w14:textId="553742DD" w:rsidR="00410C89" w:rsidRPr="00410C89" w:rsidRDefault="00410C89" w:rsidP="00C91791">
            <w:pPr>
              <w:rPr>
                <w:rFonts w:ascii="Verdana" w:hAnsi="Verdana"/>
              </w:rPr>
            </w:pPr>
            <w:r w:rsidRPr="00410C89">
              <w:rPr>
                <w:rFonts w:ascii="Verdana" w:hAnsi="Verdana"/>
              </w:rPr>
              <w:t>Total</w:t>
            </w:r>
          </w:p>
        </w:tc>
        <w:tc>
          <w:tcPr>
            <w:tcW w:w="1985" w:type="dxa"/>
          </w:tcPr>
          <w:p w14:paraId="62D1D297" w14:textId="14038E9A" w:rsidR="00410C89" w:rsidRPr="00410C89" w:rsidRDefault="0020631C" w:rsidP="00410C89">
            <w:pPr>
              <w:jc w:val="right"/>
              <w:rPr>
                <w:rFonts w:ascii="Verdana" w:hAnsi="Verdana"/>
              </w:rPr>
            </w:pPr>
            <w:r>
              <w:rPr>
                <w:rFonts w:ascii="Verdana" w:hAnsi="Verdana"/>
              </w:rPr>
              <w:t>304,076</w:t>
            </w:r>
          </w:p>
        </w:tc>
      </w:tr>
    </w:tbl>
    <w:p w14:paraId="75F6C91A" w14:textId="77777777" w:rsidR="00410C89" w:rsidRDefault="00410C89" w:rsidP="004F4C55"/>
    <w:tbl>
      <w:tblPr>
        <w:tblW w:w="9322" w:type="dxa"/>
        <w:tblLook w:val="04A0" w:firstRow="1" w:lastRow="0" w:firstColumn="1" w:lastColumn="0" w:noHBand="0" w:noVBand="1"/>
      </w:tblPr>
      <w:tblGrid>
        <w:gridCol w:w="534"/>
        <w:gridCol w:w="8788"/>
      </w:tblGrid>
      <w:tr w:rsidR="0020631C" w:rsidRPr="0020631C" w14:paraId="2932D4C4" w14:textId="77777777" w:rsidTr="00C25D58">
        <w:tc>
          <w:tcPr>
            <w:tcW w:w="534" w:type="dxa"/>
          </w:tcPr>
          <w:p w14:paraId="559A58DF" w14:textId="77777777" w:rsidR="0020631C" w:rsidRPr="0020631C" w:rsidRDefault="0020631C" w:rsidP="00C91791">
            <w:pPr>
              <w:rPr>
                <w:rFonts w:ascii="Verdana" w:hAnsi="Verdana"/>
                <w:b/>
              </w:rPr>
            </w:pPr>
          </w:p>
        </w:tc>
        <w:tc>
          <w:tcPr>
            <w:tcW w:w="8788" w:type="dxa"/>
          </w:tcPr>
          <w:p w14:paraId="1D5035F6" w14:textId="5345DF0C" w:rsidR="0020631C" w:rsidRPr="0020631C" w:rsidRDefault="0020631C" w:rsidP="00C91791">
            <w:pPr>
              <w:contextualSpacing/>
              <w:rPr>
                <w:rFonts w:ascii="Verdana" w:hAnsi="Verdana"/>
              </w:rPr>
            </w:pPr>
            <w:r w:rsidRPr="0020631C">
              <w:rPr>
                <w:rFonts w:ascii="Verdana" w:hAnsi="Verdana"/>
              </w:rPr>
              <w:t>It was also noted that:</w:t>
            </w:r>
          </w:p>
        </w:tc>
      </w:tr>
    </w:tbl>
    <w:p w14:paraId="6B411414" w14:textId="548A644C" w:rsidR="004829BB" w:rsidRPr="0020631C" w:rsidRDefault="004829BB"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20631C" w:rsidRPr="0020631C" w14:paraId="4C347DD0" w14:textId="77777777" w:rsidTr="00C25D58">
        <w:tc>
          <w:tcPr>
            <w:tcW w:w="562" w:type="dxa"/>
          </w:tcPr>
          <w:p w14:paraId="24224145" w14:textId="77777777" w:rsidR="0020631C" w:rsidRPr="0020631C" w:rsidRDefault="0020631C" w:rsidP="00C91791">
            <w:pPr>
              <w:rPr>
                <w:rFonts w:ascii="Verdana" w:hAnsi="Verdana"/>
              </w:rPr>
            </w:pPr>
          </w:p>
        </w:tc>
        <w:tc>
          <w:tcPr>
            <w:tcW w:w="426" w:type="dxa"/>
          </w:tcPr>
          <w:p w14:paraId="512EB507" w14:textId="77777777" w:rsidR="0020631C" w:rsidRPr="0020631C" w:rsidRDefault="0020631C" w:rsidP="00C91791">
            <w:pPr>
              <w:rPr>
                <w:rFonts w:ascii="Verdana" w:hAnsi="Verdana"/>
                <w:b/>
                <w:bCs/>
              </w:rPr>
            </w:pPr>
            <w:r w:rsidRPr="0020631C">
              <w:rPr>
                <w:rFonts w:ascii="Verdana" w:hAnsi="Verdana"/>
                <w:b/>
                <w:bCs/>
              </w:rPr>
              <w:t>.</w:t>
            </w:r>
          </w:p>
        </w:tc>
        <w:tc>
          <w:tcPr>
            <w:tcW w:w="8363" w:type="dxa"/>
          </w:tcPr>
          <w:p w14:paraId="1466B755" w14:textId="40578309" w:rsidR="0020631C" w:rsidRPr="0020631C" w:rsidRDefault="0020631C" w:rsidP="00C91791">
            <w:pPr>
              <w:rPr>
                <w:rFonts w:ascii="Verdana" w:eastAsia="Times New Roman" w:hAnsi="Verdana" w:cstheme="minorHAnsi"/>
                <w:lang w:eastAsia="en-GB"/>
              </w:rPr>
            </w:pPr>
            <w:r w:rsidRPr="0020631C">
              <w:rPr>
                <w:rFonts w:ascii="Verdana" w:eastAsia="Times New Roman" w:hAnsi="Verdana" w:cstheme="minorHAnsi"/>
                <w:lang w:eastAsia="en-GB"/>
              </w:rPr>
              <w:t>curriculum expenditure s</w:t>
            </w:r>
            <w:r w:rsidR="00456414">
              <w:rPr>
                <w:rFonts w:ascii="Verdana" w:eastAsia="Times New Roman" w:hAnsi="Verdana" w:cstheme="minorHAnsi"/>
                <w:lang w:eastAsia="en-GB"/>
              </w:rPr>
              <w:t>how</w:t>
            </w:r>
            <w:r w:rsidRPr="0020631C">
              <w:rPr>
                <w:rFonts w:ascii="Verdana" w:eastAsia="Times New Roman" w:hAnsi="Verdana" w:cstheme="minorHAnsi"/>
                <w:lang w:eastAsia="en-GB"/>
              </w:rPr>
              <w:t xml:space="preserve">s direct, not marginal, costs (e.g. students in the ALA will join existing classes for English and Math GCSE, vocational courses and some A Level programmes, for which no additional cost is </w:t>
            </w:r>
            <w:r w:rsidR="00D5467D">
              <w:rPr>
                <w:rFonts w:ascii="Verdana" w:eastAsia="Times New Roman" w:hAnsi="Verdana" w:cstheme="minorHAnsi"/>
                <w:lang w:eastAsia="en-GB"/>
              </w:rPr>
              <w:t>projected</w:t>
            </w:r>
            <w:r w:rsidRPr="0020631C">
              <w:rPr>
                <w:rFonts w:ascii="Verdana" w:eastAsia="Times New Roman" w:hAnsi="Verdana" w:cstheme="minorHAnsi"/>
                <w:lang w:eastAsia="en-GB"/>
              </w:rPr>
              <w:t>);</w:t>
            </w:r>
          </w:p>
          <w:p w14:paraId="465F2C54" w14:textId="30AA680E" w:rsidR="0020631C" w:rsidRPr="0020631C" w:rsidRDefault="0020631C" w:rsidP="00C91791">
            <w:pPr>
              <w:rPr>
                <w:rFonts w:ascii="Verdana" w:hAnsi="Verdana"/>
              </w:rPr>
            </w:pPr>
          </w:p>
        </w:tc>
      </w:tr>
      <w:tr w:rsidR="0020631C" w:rsidRPr="00410C89" w14:paraId="37FD66F8" w14:textId="77777777" w:rsidTr="00C25D58">
        <w:tc>
          <w:tcPr>
            <w:tcW w:w="562" w:type="dxa"/>
          </w:tcPr>
          <w:p w14:paraId="14CB729A" w14:textId="77777777" w:rsidR="0020631C" w:rsidRPr="003638BE" w:rsidRDefault="0020631C" w:rsidP="00C91791">
            <w:pPr>
              <w:rPr>
                <w:rFonts w:ascii="Verdana" w:hAnsi="Verdana"/>
              </w:rPr>
            </w:pPr>
          </w:p>
        </w:tc>
        <w:tc>
          <w:tcPr>
            <w:tcW w:w="426" w:type="dxa"/>
          </w:tcPr>
          <w:p w14:paraId="5BF82FD9" w14:textId="77777777" w:rsidR="0020631C" w:rsidRDefault="0020631C" w:rsidP="00C91791">
            <w:pPr>
              <w:rPr>
                <w:rFonts w:ascii="Verdana" w:hAnsi="Verdana"/>
                <w:b/>
                <w:bCs/>
              </w:rPr>
            </w:pPr>
            <w:r>
              <w:rPr>
                <w:rFonts w:ascii="Verdana" w:hAnsi="Verdana"/>
                <w:b/>
                <w:bCs/>
              </w:rPr>
              <w:t>.</w:t>
            </w:r>
          </w:p>
        </w:tc>
        <w:tc>
          <w:tcPr>
            <w:tcW w:w="8363" w:type="dxa"/>
          </w:tcPr>
          <w:p w14:paraId="6A4B39BE" w14:textId="27EA8171" w:rsidR="0020631C" w:rsidRPr="0020631C" w:rsidRDefault="0020631C" w:rsidP="00C91791">
            <w:pPr>
              <w:rPr>
                <w:rFonts w:ascii="Verdana" w:hAnsi="Verdana"/>
                <w:i/>
                <w:iCs/>
              </w:rPr>
            </w:pPr>
            <w:r w:rsidRPr="0020631C">
              <w:rPr>
                <w:rFonts w:ascii="Verdana" w:eastAsia="Times New Roman" w:hAnsi="Verdana" w:cstheme="minorHAnsi"/>
                <w:lang w:eastAsia="en-GB"/>
              </w:rPr>
              <w:t xml:space="preserve">£40 000 of first year income will be applied to provide a base centre for the ALA - this is linked to a successful proposal submitted to the GLA Small Projects Fund for an additional £80 000 </w:t>
            </w:r>
            <w:r w:rsidR="00D5467D">
              <w:rPr>
                <w:rFonts w:ascii="Verdana" w:eastAsia="Times New Roman" w:hAnsi="Verdana" w:cstheme="minorHAnsi"/>
                <w:lang w:eastAsia="en-GB"/>
              </w:rPr>
              <w:t xml:space="preserve">of </w:t>
            </w:r>
            <w:r w:rsidRPr="0020631C">
              <w:rPr>
                <w:rFonts w:ascii="Verdana" w:eastAsia="Times New Roman" w:hAnsi="Verdana" w:cstheme="minorHAnsi"/>
                <w:lang w:eastAsia="en-GB"/>
              </w:rPr>
              <w:t xml:space="preserve">capital funding to refurbish the conference centre space, construction of which </w:t>
            </w:r>
            <w:r w:rsidRPr="0020631C">
              <w:rPr>
                <w:rFonts w:ascii="Verdana" w:hAnsi="Verdana"/>
              </w:rPr>
              <w:t xml:space="preserve">is forecast to be completed before the start of the academic year; </w:t>
            </w:r>
          </w:p>
          <w:p w14:paraId="5B50709F" w14:textId="4B9D3D73" w:rsidR="0020631C" w:rsidRPr="0020631C" w:rsidRDefault="0020631C" w:rsidP="00C91791">
            <w:pPr>
              <w:rPr>
                <w:rFonts w:ascii="Verdana" w:hAnsi="Verdana"/>
                <w:i/>
                <w:iCs/>
              </w:rPr>
            </w:pPr>
          </w:p>
        </w:tc>
      </w:tr>
      <w:tr w:rsidR="0020631C" w:rsidRPr="00410C89" w14:paraId="58770A3C" w14:textId="77777777" w:rsidTr="00C25D58">
        <w:tc>
          <w:tcPr>
            <w:tcW w:w="562" w:type="dxa"/>
          </w:tcPr>
          <w:p w14:paraId="71DD50B4" w14:textId="77777777" w:rsidR="0020631C" w:rsidRPr="003638BE" w:rsidRDefault="0020631C" w:rsidP="00C91791">
            <w:pPr>
              <w:rPr>
                <w:rFonts w:ascii="Verdana" w:hAnsi="Verdana"/>
              </w:rPr>
            </w:pPr>
          </w:p>
        </w:tc>
        <w:tc>
          <w:tcPr>
            <w:tcW w:w="426" w:type="dxa"/>
          </w:tcPr>
          <w:p w14:paraId="526DF85C" w14:textId="69D086D2" w:rsidR="0020631C" w:rsidRDefault="0020631C" w:rsidP="00C91791">
            <w:pPr>
              <w:rPr>
                <w:rFonts w:ascii="Verdana" w:hAnsi="Verdana"/>
                <w:b/>
                <w:bCs/>
              </w:rPr>
            </w:pPr>
            <w:r>
              <w:rPr>
                <w:rFonts w:ascii="Verdana" w:hAnsi="Verdana"/>
                <w:b/>
                <w:bCs/>
              </w:rPr>
              <w:t>.</w:t>
            </w:r>
          </w:p>
        </w:tc>
        <w:tc>
          <w:tcPr>
            <w:tcW w:w="8363" w:type="dxa"/>
          </w:tcPr>
          <w:p w14:paraId="67794255" w14:textId="1499DB27" w:rsidR="0020631C" w:rsidRDefault="0020631C" w:rsidP="00C91791">
            <w:pPr>
              <w:rPr>
                <w:rFonts w:ascii="Verdana" w:eastAsia="Times New Roman" w:hAnsi="Verdana" w:cstheme="minorHAnsi"/>
                <w:i/>
                <w:iCs/>
                <w:lang w:eastAsia="en-GB"/>
              </w:rPr>
            </w:pPr>
            <w:r>
              <w:rPr>
                <w:rFonts w:ascii="Verdana" w:eastAsia="Times New Roman" w:hAnsi="Verdana" w:cstheme="minorHAnsi"/>
                <w:lang w:eastAsia="en-GB"/>
              </w:rPr>
              <w:t>t</w:t>
            </w:r>
            <w:r w:rsidRPr="0020631C">
              <w:rPr>
                <w:rFonts w:ascii="Verdana" w:eastAsia="Times New Roman" w:hAnsi="Verdana" w:cstheme="minorHAnsi"/>
                <w:lang w:eastAsia="en-GB"/>
              </w:rPr>
              <w:t>he Local Authority ha</w:t>
            </w:r>
            <w:r w:rsidR="00D5467D">
              <w:rPr>
                <w:rFonts w:ascii="Verdana" w:eastAsia="Times New Roman" w:hAnsi="Verdana" w:cstheme="minorHAnsi"/>
                <w:lang w:eastAsia="en-GB"/>
              </w:rPr>
              <w:t>d</w:t>
            </w:r>
            <w:r w:rsidRPr="0020631C">
              <w:rPr>
                <w:rFonts w:ascii="Verdana" w:eastAsia="Times New Roman" w:hAnsi="Verdana" w:cstheme="minorHAnsi"/>
                <w:lang w:eastAsia="en-GB"/>
              </w:rPr>
              <w:t xml:space="preserve"> agreed to pay Free School Meals for eligible students</w:t>
            </w:r>
            <w:r>
              <w:rPr>
                <w:rFonts w:ascii="Verdana" w:eastAsia="Times New Roman" w:hAnsi="Verdana" w:cstheme="minorHAnsi"/>
                <w:lang w:eastAsia="en-GB"/>
              </w:rPr>
              <w:t xml:space="preserve"> though, </w:t>
            </w:r>
            <w:r w:rsidRPr="0020631C">
              <w:rPr>
                <w:rFonts w:ascii="Verdana" w:eastAsia="Times New Roman" w:hAnsi="Verdana" w:cstheme="minorHAnsi"/>
                <w:lang w:eastAsia="en-GB"/>
              </w:rPr>
              <w:t xml:space="preserve">the </w:t>
            </w:r>
            <w:r w:rsidR="00E6722D">
              <w:rPr>
                <w:rFonts w:ascii="Verdana" w:eastAsia="Times New Roman" w:hAnsi="Verdana" w:cstheme="minorHAnsi"/>
                <w:lang w:eastAsia="en-GB"/>
              </w:rPr>
              <w:t>provision</w:t>
            </w:r>
            <w:r w:rsidRPr="0020631C">
              <w:rPr>
                <w:rFonts w:ascii="Verdana" w:eastAsia="Times New Roman" w:hAnsi="Verdana" w:cstheme="minorHAnsi"/>
                <w:lang w:eastAsia="en-GB"/>
              </w:rPr>
              <w:t xml:space="preserve"> in mainstream schools </w:t>
            </w:r>
            <w:r>
              <w:rPr>
                <w:rFonts w:ascii="Verdana" w:eastAsia="Times New Roman" w:hAnsi="Verdana" w:cstheme="minorHAnsi"/>
                <w:lang w:eastAsia="en-GB"/>
              </w:rPr>
              <w:t>being</w:t>
            </w:r>
            <w:r w:rsidRPr="0020631C">
              <w:rPr>
                <w:rFonts w:ascii="Verdana" w:eastAsia="Times New Roman" w:hAnsi="Verdana" w:cstheme="minorHAnsi"/>
                <w:lang w:eastAsia="en-GB"/>
              </w:rPr>
              <w:t xml:space="preserve"> slightly less than </w:t>
            </w:r>
            <w:r w:rsidR="00456414">
              <w:rPr>
                <w:rFonts w:ascii="Verdana" w:eastAsia="Times New Roman" w:hAnsi="Verdana" w:cstheme="minorHAnsi"/>
                <w:lang w:eastAsia="en-GB"/>
              </w:rPr>
              <w:t xml:space="preserve">that which </w:t>
            </w:r>
            <w:r>
              <w:rPr>
                <w:rFonts w:ascii="Verdana" w:eastAsia="Times New Roman" w:hAnsi="Verdana" w:cstheme="minorHAnsi"/>
                <w:lang w:eastAsia="en-GB"/>
              </w:rPr>
              <w:t>the College</w:t>
            </w:r>
            <w:r w:rsidRPr="0020631C">
              <w:rPr>
                <w:rFonts w:ascii="Verdana" w:eastAsia="Times New Roman" w:hAnsi="Verdana" w:cstheme="minorHAnsi"/>
                <w:lang w:eastAsia="en-GB"/>
              </w:rPr>
              <w:t xml:space="preserve"> provide</w:t>
            </w:r>
            <w:r>
              <w:rPr>
                <w:rFonts w:ascii="Verdana" w:eastAsia="Times New Roman" w:hAnsi="Verdana" w:cstheme="minorHAnsi"/>
                <w:lang w:eastAsia="en-GB"/>
              </w:rPr>
              <w:t xml:space="preserve">s, </w:t>
            </w:r>
            <w:r w:rsidRPr="0020631C">
              <w:rPr>
                <w:rFonts w:ascii="Verdana" w:eastAsia="Times New Roman" w:hAnsi="Verdana" w:cstheme="minorHAnsi"/>
                <w:lang w:eastAsia="en-GB"/>
              </w:rPr>
              <w:t xml:space="preserve">a </w:t>
            </w:r>
            <w:r>
              <w:rPr>
                <w:rFonts w:ascii="Verdana" w:eastAsia="Times New Roman" w:hAnsi="Verdana" w:cstheme="minorHAnsi"/>
                <w:lang w:eastAsia="en-GB"/>
              </w:rPr>
              <w:t xml:space="preserve">total </w:t>
            </w:r>
            <w:r w:rsidR="00456414">
              <w:rPr>
                <w:rFonts w:ascii="Verdana" w:eastAsia="Times New Roman" w:hAnsi="Verdana" w:cstheme="minorHAnsi"/>
                <w:lang w:eastAsia="en-GB"/>
              </w:rPr>
              <w:t xml:space="preserve">annual </w:t>
            </w:r>
            <w:r w:rsidR="00D5467D">
              <w:rPr>
                <w:rFonts w:ascii="Verdana" w:eastAsia="Times New Roman" w:hAnsi="Verdana" w:cstheme="minorHAnsi"/>
                <w:lang w:eastAsia="en-GB"/>
              </w:rPr>
              <w:t xml:space="preserve">College </w:t>
            </w:r>
            <w:r w:rsidRPr="0020631C">
              <w:rPr>
                <w:rFonts w:ascii="Verdana" w:eastAsia="Times New Roman" w:hAnsi="Verdana" w:cstheme="minorHAnsi"/>
                <w:lang w:eastAsia="en-GB"/>
              </w:rPr>
              <w:t>subsidy of around £5</w:t>
            </w:r>
            <w:r>
              <w:rPr>
                <w:rFonts w:ascii="Verdana" w:eastAsia="Times New Roman" w:hAnsi="Verdana" w:cstheme="minorHAnsi"/>
                <w:lang w:eastAsia="en-GB"/>
              </w:rPr>
              <w:t>,</w:t>
            </w:r>
            <w:r w:rsidRPr="0020631C">
              <w:rPr>
                <w:rFonts w:ascii="Verdana" w:eastAsia="Times New Roman" w:hAnsi="Verdana" w:cstheme="minorHAnsi"/>
                <w:lang w:eastAsia="en-GB"/>
              </w:rPr>
              <w:t xml:space="preserve">000 </w:t>
            </w:r>
            <w:r w:rsidR="00E6722D" w:rsidRPr="0020631C">
              <w:rPr>
                <w:rFonts w:ascii="Verdana" w:eastAsia="Times New Roman" w:hAnsi="Verdana" w:cstheme="minorHAnsi"/>
                <w:lang w:eastAsia="en-GB"/>
              </w:rPr>
              <w:t xml:space="preserve">may </w:t>
            </w:r>
            <w:r w:rsidR="00E6722D">
              <w:rPr>
                <w:rFonts w:ascii="Verdana" w:eastAsia="Times New Roman" w:hAnsi="Verdana" w:cstheme="minorHAnsi"/>
                <w:lang w:eastAsia="en-GB"/>
              </w:rPr>
              <w:t xml:space="preserve">be </w:t>
            </w:r>
            <w:r w:rsidR="00E6722D" w:rsidRPr="0020631C">
              <w:rPr>
                <w:rFonts w:ascii="Verdana" w:eastAsia="Times New Roman" w:hAnsi="Verdana" w:cstheme="minorHAnsi"/>
                <w:lang w:eastAsia="en-GB"/>
              </w:rPr>
              <w:t>require</w:t>
            </w:r>
            <w:r w:rsidR="00E6722D">
              <w:rPr>
                <w:rFonts w:ascii="Verdana" w:eastAsia="Times New Roman" w:hAnsi="Verdana" w:cstheme="minorHAnsi"/>
                <w:lang w:eastAsia="en-GB"/>
              </w:rPr>
              <w:t xml:space="preserve">d; </w:t>
            </w:r>
            <w:r w:rsidR="00E6722D">
              <w:rPr>
                <w:rFonts w:ascii="Verdana" w:eastAsia="Times New Roman" w:hAnsi="Verdana" w:cstheme="minorHAnsi"/>
                <w:i/>
                <w:iCs/>
                <w:lang w:eastAsia="en-GB"/>
              </w:rPr>
              <w:t>and</w:t>
            </w:r>
          </w:p>
          <w:p w14:paraId="5FDDBBB5" w14:textId="1D231F6C" w:rsidR="00E6722D" w:rsidRPr="00E6722D" w:rsidRDefault="00E6722D" w:rsidP="00C91791">
            <w:pPr>
              <w:rPr>
                <w:rFonts w:ascii="Verdana" w:eastAsia="Times New Roman" w:hAnsi="Verdana" w:cstheme="minorHAnsi"/>
                <w:i/>
                <w:iCs/>
                <w:lang w:eastAsia="en-GB"/>
              </w:rPr>
            </w:pPr>
          </w:p>
        </w:tc>
      </w:tr>
      <w:tr w:rsidR="00E6722D" w:rsidRPr="00E6722D" w14:paraId="3BE777F6" w14:textId="77777777" w:rsidTr="00C25D58">
        <w:tc>
          <w:tcPr>
            <w:tcW w:w="562" w:type="dxa"/>
          </w:tcPr>
          <w:p w14:paraId="5E29B13D" w14:textId="77777777" w:rsidR="00E6722D" w:rsidRPr="00E6722D" w:rsidRDefault="00E6722D" w:rsidP="00C91791">
            <w:pPr>
              <w:rPr>
                <w:rFonts w:ascii="Verdana" w:hAnsi="Verdana"/>
              </w:rPr>
            </w:pPr>
          </w:p>
        </w:tc>
        <w:tc>
          <w:tcPr>
            <w:tcW w:w="426" w:type="dxa"/>
          </w:tcPr>
          <w:p w14:paraId="00815CC3" w14:textId="39F1FE32" w:rsidR="00E6722D" w:rsidRPr="00E6722D" w:rsidRDefault="00E6722D" w:rsidP="00C91791">
            <w:pPr>
              <w:rPr>
                <w:rFonts w:ascii="Verdana" w:hAnsi="Verdana"/>
                <w:b/>
                <w:bCs/>
              </w:rPr>
            </w:pPr>
            <w:r w:rsidRPr="00E6722D">
              <w:rPr>
                <w:rFonts w:ascii="Verdana" w:hAnsi="Verdana"/>
                <w:b/>
                <w:bCs/>
              </w:rPr>
              <w:t>.</w:t>
            </w:r>
          </w:p>
        </w:tc>
        <w:tc>
          <w:tcPr>
            <w:tcW w:w="8363" w:type="dxa"/>
          </w:tcPr>
          <w:p w14:paraId="7DD05205" w14:textId="359CF79D" w:rsidR="00E6722D" w:rsidRPr="00E6722D" w:rsidRDefault="00E6722D" w:rsidP="00C91791">
            <w:pPr>
              <w:rPr>
                <w:rFonts w:ascii="Verdana" w:eastAsia="Times New Roman" w:hAnsi="Verdana" w:cstheme="minorHAnsi"/>
                <w:lang w:eastAsia="en-GB"/>
              </w:rPr>
            </w:pPr>
            <w:r w:rsidRPr="00E6722D">
              <w:rPr>
                <w:rFonts w:ascii="Verdana" w:eastAsia="Times New Roman" w:hAnsi="Verdana" w:cstheme="minorHAnsi"/>
                <w:lang w:eastAsia="en-GB"/>
              </w:rPr>
              <w:t xml:space="preserve">the </w:t>
            </w:r>
            <w:r>
              <w:rPr>
                <w:rFonts w:ascii="Verdana" w:eastAsia="Times New Roman" w:hAnsi="Verdana" w:cstheme="minorHAnsi"/>
                <w:lang w:eastAsia="en-GB"/>
              </w:rPr>
              <w:t xml:space="preserve">risk of lower student numbers owing to reduced migration resulting from the effects of Covid-19 and Brexit are mitigated by the Local Authority’s commitment </w:t>
            </w:r>
            <w:r w:rsidRPr="00E6722D">
              <w:rPr>
                <w:rFonts w:ascii="Verdana" w:hAnsi="Verdana"/>
              </w:rPr>
              <w:t xml:space="preserve">to fund 50 places for the first two years, with </w:t>
            </w:r>
            <w:r w:rsidR="00404EAD">
              <w:rPr>
                <w:rFonts w:ascii="Verdana" w:hAnsi="Verdana"/>
              </w:rPr>
              <w:t xml:space="preserve">the outcome of </w:t>
            </w:r>
            <w:r w:rsidRPr="00E6722D">
              <w:rPr>
                <w:rFonts w:ascii="Verdana" w:hAnsi="Verdana"/>
              </w:rPr>
              <w:t xml:space="preserve">any subsequent review of </w:t>
            </w:r>
            <w:r w:rsidR="00404EAD">
              <w:rPr>
                <w:rFonts w:ascii="Verdana" w:hAnsi="Verdana"/>
              </w:rPr>
              <w:t>guaranteed funding</w:t>
            </w:r>
            <w:r w:rsidRPr="00E6722D">
              <w:rPr>
                <w:rFonts w:ascii="Verdana" w:hAnsi="Verdana"/>
              </w:rPr>
              <w:t xml:space="preserve"> confirmed by April </w:t>
            </w:r>
            <w:r>
              <w:rPr>
                <w:rFonts w:ascii="Verdana" w:hAnsi="Verdana"/>
              </w:rPr>
              <w:t xml:space="preserve">2022 </w:t>
            </w:r>
            <w:r w:rsidRPr="00E6722D">
              <w:rPr>
                <w:rFonts w:ascii="Verdana" w:hAnsi="Verdana"/>
              </w:rPr>
              <w:t xml:space="preserve">for the </w:t>
            </w:r>
            <w:r>
              <w:rPr>
                <w:rFonts w:ascii="Verdana" w:hAnsi="Verdana"/>
              </w:rPr>
              <w:t>2022-23</w:t>
            </w:r>
            <w:r w:rsidRPr="00E6722D">
              <w:rPr>
                <w:rFonts w:ascii="Verdana" w:hAnsi="Verdana"/>
              </w:rPr>
              <w:t xml:space="preserve"> year</w:t>
            </w:r>
            <w:r>
              <w:rPr>
                <w:rFonts w:ascii="Verdana" w:hAnsi="Verdana"/>
              </w:rPr>
              <w:t xml:space="preserve"> and subsequently.</w:t>
            </w:r>
          </w:p>
        </w:tc>
      </w:tr>
    </w:tbl>
    <w:p w14:paraId="5C369318" w14:textId="66496C52" w:rsidR="0020631C" w:rsidRPr="00E6722D" w:rsidRDefault="0020631C" w:rsidP="004F4C55">
      <w:pPr>
        <w:rPr>
          <w:rFonts w:ascii="Verdana" w:hAnsi="Verdana"/>
        </w:rPr>
      </w:pPr>
    </w:p>
    <w:tbl>
      <w:tblPr>
        <w:tblW w:w="9322" w:type="dxa"/>
        <w:tblLook w:val="04A0" w:firstRow="1" w:lastRow="0" w:firstColumn="1" w:lastColumn="0" w:noHBand="0" w:noVBand="1"/>
      </w:tblPr>
      <w:tblGrid>
        <w:gridCol w:w="534"/>
        <w:gridCol w:w="8788"/>
      </w:tblGrid>
      <w:tr w:rsidR="00BB2440" w:rsidRPr="00A75E90" w14:paraId="1B7048E5" w14:textId="77777777" w:rsidTr="00C25D58">
        <w:tc>
          <w:tcPr>
            <w:tcW w:w="534" w:type="dxa"/>
          </w:tcPr>
          <w:p w14:paraId="3F81E428" w14:textId="77777777" w:rsidR="00BB2440" w:rsidRPr="00A75E90" w:rsidRDefault="00BB2440" w:rsidP="00C91791">
            <w:pPr>
              <w:rPr>
                <w:rFonts w:ascii="Verdana" w:hAnsi="Verdana"/>
                <w:b/>
              </w:rPr>
            </w:pPr>
          </w:p>
        </w:tc>
        <w:tc>
          <w:tcPr>
            <w:tcW w:w="8788" w:type="dxa"/>
          </w:tcPr>
          <w:p w14:paraId="751AAD1E" w14:textId="45678492" w:rsidR="00BB2440" w:rsidRPr="00A75E90" w:rsidRDefault="007A2947" w:rsidP="00C91791">
            <w:pPr>
              <w:contextualSpacing/>
              <w:rPr>
                <w:rFonts w:ascii="Verdana" w:hAnsi="Verdana"/>
              </w:rPr>
            </w:pPr>
            <w:r>
              <w:rPr>
                <w:rFonts w:ascii="Verdana" w:hAnsi="Verdana"/>
              </w:rPr>
              <w:t>Following discussion</w:t>
            </w:r>
            <w:r w:rsidR="00BA6375">
              <w:rPr>
                <w:rFonts w:ascii="Verdana" w:hAnsi="Verdana"/>
              </w:rPr>
              <w:t>,</w:t>
            </w:r>
            <w:r>
              <w:rPr>
                <w:rFonts w:ascii="Verdana" w:hAnsi="Verdana"/>
              </w:rPr>
              <w:t xml:space="preserve"> it was </w:t>
            </w:r>
            <w:r w:rsidR="00BA6375">
              <w:rPr>
                <w:rFonts w:ascii="Verdana" w:hAnsi="Verdana"/>
              </w:rPr>
              <w:t>agre</w:t>
            </w:r>
            <w:r>
              <w:rPr>
                <w:rFonts w:ascii="Verdana" w:hAnsi="Verdana"/>
              </w:rPr>
              <w:t>ed that:</w:t>
            </w:r>
          </w:p>
        </w:tc>
      </w:tr>
    </w:tbl>
    <w:p w14:paraId="3DA9295F" w14:textId="77777777" w:rsidR="00BB2440" w:rsidRDefault="00BB2440" w:rsidP="00BB2440"/>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BB2440" w:rsidRPr="00B446C1" w14:paraId="57A58F11" w14:textId="77777777" w:rsidTr="00C25D58">
        <w:tc>
          <w:tcPr>
            <w:tcW w:w="562" w:type="dxa"/>
          </w:tcPr>
          <w:p w14:paraId="1DA4F37C" w14:textId="77777777" w:rsidR="00BB2440" w:rsidRPr="003638BE" w:rsidRDefault="00BB2440" w:rsidP="00C91791">
            <w:pPr>
              <w:rPr>
                <w:rFonts w:ascii="Verdana" w:hAnsi="Verdana"/>
              </w:rPr>
            </w:pPr>
          </w:p>
        </w:tc>
        <w:tc>
          <w:tcPr>
            <w:tcW w:w="426" w:type="dxa"/>
          </w:tcPr>
          <w:p w14:paraId="5C1DAAF2" w14:textId="77777777" w:rsidR="00BB2440" w:rsidRPr="003638BE" w:rsidRDefault="00BB2440" w:rsidP="00C91791">
            <w:pPr>
              <w:rPr>
                <w:rFonts w:ascii="Verdana" w:hAnsi="Verdana"/>
                <w:b/>
                <w:bCs/>
              </w:rPr>
            </w:pPr>
            <w:r>
              <w:rPr>
                <w:rFonts w:ascii="Verdana" w:hAnsi="Verdana"/>
                <w:b/>
                <w:bCs/>
              </w:rPr>
              <w:t>.</w:t>
            </w:r>
          </w:p>
        </w:tc>
        <w:tc>
          <w:tcPr>
            <w:tcW w:w="8363" w:type="dxa"/>
          </w:tcPr>
          <w:p w14:paraId="1160F0E5" w14:textId="7DBD8FE8" w:rsidR="00BB2440" w:rsidRDefault="007A2947" w:rsidP="00C91791">
            <w:pPr>
              <w:rPr>
                <w:rFonts w:ascii="Verdana" w:hAnsi="Verdana"/>
              </w:rPr>
            </w:pPr>
            <w:r>
              <w:rPr>
                <w:rFonts w:ascii="Verdana" w:hAnsi="Verdana"/>
              </w:rPr>
              <w:t>most costs attending the Academy are fixed</w:t>
            </w:r>
            <w:r w:rsidR="00284E8F">
              <w:rPr>
                <w:rFonts w:ascii="Verdana" w:hAnsi="Verdana"/>
              </w:rPr>
              <w:t xml:space="preserve"> costs</w:t>
            </w:r>
            <w:r>
              <w:rPr>
                <w:rFonts w:ascii="Verdana" w:hAnsi="Verdana"/>
              </w:rPr>
              <w:t>;</w:t>
            </w:r>
          </w:p>
          <w:p w14:paraId="7933EA04" w14:textId="1CE8285B" w:rsidR="007A2947" w:rsidRPr="00B446C1" w:rsidRDefault="007A2947" w:rsidP="00C91791">
            <w:pPr>
              <w:rPr>
                <w:rFonts w:ascii="Verdana" w:hAnsi="Verdana"/>
              </w:rPr>
            </w:pPr>
          </w:p>
        </w:tc>
      </w:tr>
      <w:tr w:rsidR="00BB2440" w:rsidRPr="00B446C1" w14:paraId="02E7F525" w14:textId="77777777" w:rsidTr="00C25D58">
        <w:tc>
          <w:tcPr>
            <w:tcW w:w="562" w:type="dxa"/>
          </w:tcPr>
          <w:p w14:paraId="056E6382" w14:textId="77777777" w:rsidR="00BB2440" w:rsidRPr="003638BE" w:rsidRDefault="00BB2440" w:rsidP="00C91791">
            <w:pPr>
              <w:rPr>
                <w:rFonts w:ascii="Verdana" w:hAnsi="Verdana"/>
              </w:rPr>
            </w:pPr>
          </w:p>
        </w:tc>
        <w:tc>
          <w:tcPr>
            <w:tcW w:w="426" w:type="dxa"/>
          </w:tcPr>
          <w:p w14:paraId="76EC2E04" w14:textId="77777777" w:rsidR="00BB2440" w:rsidRDefault="00BB2440" w:rsidP="00C91791">
            <w:pPr>
              <w:rPr>
                <w:rFonts w:ascii="Verdana" w:hAnsi="Verdana"/>
                <w:b/>
                <w:bCs/>
              </w:rPr>
            </w:pPr>
            <w:r>
              <w:rPr>
                <w:rFonts w:ascii="Verdana" w:hAnsi="Verdana"/>
                <w:b/>
                <w:bCs/>
              </w:rPr>
              <w:t>.</w:t>
            </w:r>
          </w:p>
        </w:tc>
        <w:tc>
          <w:tcPr>
            <w:tcW w:w="8363" w:type="dxa"/>
          </w:tcPr>
          <w:p w14:paraId="3BC1B3A1" w14:textId="6EFAA1E4" w:rsidR="00BB2440" w:rsidRPr="00BA6375" w:rsidRDefault="007A2947" w:rsidP="00C91791">
            <w:pPr>
              <w:rPr>
                <w:rFonts w:ascii="Verdana" w:hAnsi="Verdana"/>
                <w:i/>
                <w:iCs/>
              </w:rPr>
            </w:pPr>
            <w:r>
              <w:rPr>
                <w:rFonts w:ascii="Verdana" w:hAnsi="Verdana"/>
              </w:rPr>
              <w:t xml:space="preserve">the College </w:t>
            </w:r>
            <w:r w:rsidR="00BA6375">
              <w:rPr>
                <w:rFonts w:ascii="Verdana" w:hAnsi="Verdana"/>
              </w:rPr>
              <w:t>is committed to providing the most economically efficient</w:t>
            </w:r>
            <w:r>
              <w:rPr>
                <w:rFonts w:ascii="Verdana" w:hAnsi="Verdana"/>
              </w:rPr>
              <w:t xml:space="preserve"> </w:t>
            </w:r>
            <w:r w:rsidR="00BA6375">
              <w:rPr>
                <w:rFonts w:ascii="Verdana" w:hAnsi="Verdana"/>
              </w:rPr>
              <w:t xml:space="preserve">approach to </w:t>
            </w:r>
            <w:r>
              <w:rPr>
                <w:rFonts w:ascii="Verdana" w:hAnsi="Verdana"/>
              </w:rPr>
              <w:t>effective delivery of the service</w:t>
            </w:r>
            <w:r w:rsidR="00BA6375">
              <w:rPr>
                <w:rFonts w:ascii="Verdana" w:hAnsi="Verdana"/>
              </w:rPr>
              <w:t xml:space="preserve">; </w:t>
            </w:r>
            <w:r w:rsidR="00BA6375">
              <w:rPr>
                <w:rFonts w:ascii="Verdana" w:hAnsi="Verdana"/>
                <w:i/>
                <w:iCs/>
              </w:rPr>
              <w:t>and</w:t>
            </w:r>
          </w:p>
          <w:p w14:paraId="5DAE4DB5" w14:textId="02D4E0D3" w:rsidR="00BA6375" w:rsidRPr="00B446C1" w:rsidRDefault="00BA6375" w:rsidP="00C91791">
            <w:pPr>
              <w:rPr>
                <w:rFonts w:ascii="Verdana" w:hAnsi="Verdana"/>
              </w:rPr>
            </w:pPr>
          </w:p>
        </w:tc>
      </w:tr>
      <w:tr w:rsidR="00BB2440" w:rsidRPr="00B446C1" w14:paraId="161B97B6" w14:textId="77777777" w:rsidTr="00C25D58">
        <w:tc>
          <w:tcPr>
            <w:tcW w:w="562" w:type="dxa"/>
          </w:tcPr>
          <w:p w14:paraId="17B43E7F" w14:textId="77777777" w:rsidR="00BB2440" w:rsidRPr="003638BE" w:rsidRDefault="00BB2440" w:rsidP="00C91791">
            <w:pPr>
              <w:rPr>
                <w:rFonts w:ascii="Verdana" w:hAnsi="Verdana"/>
              </w:rPr>
            </w:pPr>
          </w:p>
        </w:tc>
        <w:tc>
          <w:tcPr>
            <w:tcW w:w="426" w:type="dxa"/>
          </w:tcPr>
          <w:p w14:paraId="78CE4E80" w14:textId="77777777" w:rsidR="00BB2440" w:rsidRPr="003638BE" w:rsidRDefault="00BB2440" w:rsidP="00C91791">
            <w:pPr>
              <w:rPr>
                <w:rFonts w:ascii="Verdana" w:hAnsi="Verdana"/>
                <w:b/>
                <w:bCs/>
              </w:rPr>
            </w:pPr>
            <w:r>
              <w:rPr>
                <w:rFonts w:ascii="Verdana" w:hAnsi="Verdana"/>
                <w:b/>
                <w:bCs/>
              </w:rPr>
              <w:t>.</w:t>
            </w:r>
          </w:p>
        </w:tc>
        <w:tc>
          <w:tcPr>
            <w:tcW w:w="8363" w:type="dxa"/>
          </w:tcPr>
          <w:p w14:paraId="1DA67678" w14:textId="563B8BBD" w:rsidR="00BB2440" w:rsidRPr="00B446C1" w:rsidRDefault="00BA6375" w:rsidP="00C91791">
            <w:pPr>
              <w:rPr>
                <w:rFonts w:ascii="Verdana" w:hAnsi="Verdana"/>
              </w:rPr>
            </w:pPr>
            <w:r>
              <w:rPr>
                <w:rFonts w:ascii="Verdana" w:hAnsi="Verdana"/>
              </w:rPr>
              <w:t>relevant indemnities (and the time limitations attending them) are to be noted.</w:t>
            </w:r>
          </w:p>
        </w:tc>
      </w:tr>
    </w:tbl>
    <w:p w14:paraId="35B0E5FC" w14:textId="77777777" w:rsidR="00C25D58" w:rsidRDefault="00C25D58" w:rsidP="00BB2440"/>
    <w:tbl>
      <w:tblPr>
        <w:tblW w:w="9322" w:type="dxa"/>
        <w:tblLook w:val="04A0" w:firstRow="1" w:lastRow="0" w:firstColumn="1" w:lastColumn="0" w:noHBand="0" w:noVBand="1"/>
      </w:tblPr>
      <w:tblGrid>
        <w:gridCol w:w="534"/>
        <w:gridCol w:w="8788"/>
      </w:tblGrid>
      <w:tr w:rsidR="00BB2440" w:rsidRPr="00A75E90" w14:paraId="6B7ABFA9" w14:textId="77777777" w:rsidTr="00C25D58">
        <w:tc>
          <w:tcPr>
            <w:tcW w:w="534" w:type="dxa"/>
          </w:tcPr>
          <w:p w14:paraId="7D651324" w14:textId="77777777" w:rsidR="00BB2440" w:rsidRPr="00A75E90" w:rsidRDefault="00BB2440" w:rsidP="00C91791">
            <w:pPr>
              <w:rPr>
                <w:rFonts w:ascii="Verdana" w:hAnsi="Verdana"/>
                <w:b/>
              </w:rPr>
            </w:pPr>
          </w:p>
        </w:tc>
        <w:tc>
          <w:tcPr>
            <w:tcW w:w="8788" w:type="dxa"/>
          </w:tcPr>
          <w:p w14:paraId="636557CC" w14:textId="178C114D" w:rsidR="00BA6375" w:rsidRDefault="00BA6375" w:rsidP="00C91791">
            <w:pPr>
              <w:contextualSpacing/>
              <w:rPr>
                <w:rFonts w:ascii="Verdana" w:hAnsi="Verdana"/>
              </w:rPr>
            </w:pPr>
            <w:r>
              <w:rPr>
                <w:rFonts w:ascii="Verdana" w:hAnsi="Verdana"/>
              </w:rPr>
              <w:t xml:space="preserve">It was also agreed that </w:t>
            </w:r>
            <w:r w:rsidR="00284E8F">
              <w:rPr>
                <w:rFonts w:ascii="Verdana" w:hAnsi="Verdana"/>
              </w:rPr>
              <w:t xml:space="preserve">the ALA’s financial performance will be reported </w:t>
            </w:r>
            <w:r w:rsidR="004920E8">
              <w:rPr>
                <w:rFonts w:ascii="Verdana" w:hAnsi="Verdana"/>
              </w:rPr>
              <w:t>separately within</w:t>
            </w:r>
            <w:r>
              <w:rPr>
                <w:rFonts w:ascii="Verdana" w:hAnsi="Verdana"/>
              </w:rPr>
              <w:t xml:space="preserve"> the management accounts from the start of 2020-21.</w:t>
            </w:r>
          </w:p>
          <w:p w14:paraId="316EA0E6" w14:textId="77777777" w:rsidR="00BA6375" w:rsidRDefault="00BA6375" w:rsidP="00C91791">
            <w:pPr>
              <w:contextualSpacing/>
              <w:rPr>
                <w:rFonts w:ascii="Verdana" w:hAnsi="Verdana"/>
              </w:rPr>
            </w:pPr>
          </w:p>
          <w:p w14:paraId="299C47C9" w14:textId="6005F48E" w:rsidR="00BB2440" w:rsidRPr="00A75E90" w:rsidRDefault="00BB2440" w:rsidP="00C91791">
            <w:pPr>
              <w:contextualSpacing/>
              <w:rPr>
                <w:rFonts w:ascii="Verdana" w:hAnsi="Verdana"/>
              </w:rPr>
            </w:pPr>
            <w:r>
              <w:rPr>
                <w:rFonts w:ascii="Verdana" w:hAnsi="Verdana"/>
              </w:rPr>
              <w:t>The estimates of income and expenditure</w:t>
            </w:r>
            <w:r w:rsidR="00BA6375">
              <w:rPr>
                <w:rFonts w:ascii="Verdana" w:hAnsi="Verdana"/>
              </w:rPr>
              <w:t xml:space="preserve"> </w:t>
            </w:r>
            <w:r>
              <w:rPr>
                <w:rFonts w:ascii="Verdana" w:hAnsi="Verdana"/>
              </w:rPr>
              <w:t>were recommended for approval by the Corporation at the meeting to be held on 7 July 2020.</w:t>
            </w:r>
          </w:p>
        </w:tc>
      </w:tr>
    </w:tbl>
    <w:p w14:paraId="66470936" w14:textId="77777777" w:rsidR="00BB2440" w:rsidRDefault="00BB2440" w:rsidP="004F4C55"/>
    <w:tbl>
      <w:tblPr>
        <w:tblW w:w="9322" w:type="dxa"/>
        <w:tblLook w:val="04A0" w:firstRow="1" w:lastRow="0" w:firstColumn="1" w:lastColumn="0" w:noHBand="0" w:noVBand="1"/>
      </w:tblPr>
      <w:tblGrid>
        <w:gridCol w:w="534"/>
        <w:gridCol w:w="8788"/>
      </w:tblGrid>
      <w:tr w:rsidR="00BB2440" w:rsidRPr="003307CF" w14:paraId="3DBCD30D" w14:textId="77777777" w:rsidTr="00C25D58">
        <w:tc>
          <w:tcPr>
            <w:tcW w:w="534" w:type="dxa"/>
          </w:tcPr>
          <w:p w14:paraId="546CE553" w14:textId="6C74D3C8" w:rsidR="00BB2440" w:rsidRPr="003307CF" w:rsidRDefault="00BB2440" w:rsidP="00C91791">
            <w:pPr>
              <w:rPr>
                <w:rFonts w:ascii="Verdana" w:hAnsi="Verdana"/>
                <w:b/>
              </w:rPr>
            </w:pPr>
            <w:r w:rsidRPr="003307CF">
              <w:rPr>
                <w:rFonts w:ascii="Verdana" w:hAnsi="Verdana"/>
                <w:b/>
              </w:rPr>
              <w:t>9</w:t>
            </w:r>
          </w:p>
        </w:tc>
        <w:tc>
          <w:tcPr>
            <w:tcW w:w="8788" w:type="dxa"/>
          </w:tcPr>
          <w:p w14:paraId="7E366B20" w14:textId="77777777" w:rsidR="00BB2440" w:rsidRPr="003307CF" w:rsidRDefault="00BB2440" w:rsidP="00BB2440">
            <w:pPr>
              <w:pStyle w:val="NoSpacing"/>
              <w:rPr>
                <w:rFonts w:ascii="Verdana" w:hAnsi="Verdana"/>
                <w:b/>
              </w:rPr>
            </w:pPr>
            <w:r w:rsidRPr="003307CF">
              <w:rPr>
                <w:rFonts w:ascii="Verdana" w:hAnsi="Verdana"/>
                <w:b/>
              </w:rPr>
              <w:t>Reserves Policy</w:t>
            </w:r>
          </w:p>
          <w:p w14:paraId="3C732356" w14:textId="77777777" w:rsidR="00BB2440" w:rsidRPr="003307CF" w:rsidRDefault="00BB2440" w:rsidP="00C91791">
            <w:pPr>
              <w:rPr>
                <w:rFonts w:ascii="Verdana" w:hAnsi="Verdana"/>
                <w:b/>
              </w:rPr>
            </w:pPr>
          </w:p>
          <w:p w14:paraId="0DA418FD" w14:textId="4891B237" w:rsidR="00BB2440" w:rsidRPr="003307CF" w:rsidRDefault="00BB2440" w:rsidP="00C91791">
            <w:pPr>
              <w:contextualSpacing/>
              <w:rPr>
                <w:rFonts w:ascii="Verdana" w:hAnsi="Verdana"/>
              </w:rPr>
            </w:pPr>
            <w:r w:rsidRPr="003307CF">
              <w:rPr>
                <w:rFonts w:ascii="Verdana" w:hAnsi="Verdana"/>
              </w:rPr>
              <w:t xml:space="preserve">A draft policy (2020-23) was received and </w:t>
            </w:r>
            <w:r w:rsidR="00F46AFE">
              <w:rPr>
                <w:rFonts w:ascii="Verdana" w:hAnsi="Verdana"/>
              </w:rPr>
              <w:t xml:space="preserve">its provisions </w:t>
            </w:r>
            <w:r w:rsidRPr="003307CF">
              <w:rPr>
                <w:rFonts w:ascii="Verdana" w:hAnsi="Verdana"/>
              </w:rPr>
              <w:t xml:space="preserve">considered. </w:t>
            </w:r>
          </w:p>
          <w:p w14:paraId="429DD12C" w14:textId="77777777" w:rsidR="00BB2440" w:rsidRPr="003307CF" w:rsidRDefault="00BB2440" w:rsidP="00C91791">
            <w:pPr>
              <w:contextualSpacing/>
              <w:rPr>
                <w:rFonts w:ascii="Verdana" w:hAnsi="Verdana"/>
              </w:rPr>
            </w:pPr>
          </w:p>
          <w:p w14:paraId="6AB85C61" w14:textId="4B39C0CD" w:rsidR="00BB2440" w:rsidRPr="003307CF" w:rsidRDefault="00BB2440" w:rsidP="00C91791">
            <w:pPr>
              <w:contextualSpacing/>
              <w:rPr>
                <w:rFonts w:ascii="Verdana" w:hAnsi="Verdana"/>
              </w:rPr>
            </w:pPr>
            <w:r w:rsidRPr="003307CF">
              <w:rPr>
                <w:rFonts w:ascii="Verdana" w:hAnsi="Verdana"/>
              </w:rPr>
              <w:t xml:space="preserve">Charity Commission </w:t>
            </w:r>
            <w:r w:rsidR="003307CF">
              <w:rPr>
                <w:rFonts w:ascii="Verdana" w:hAnsi="Verdana"/>
              </w:rPr>
              <w:t>requirement</w:t>
            </w:r>
            <w:r w:rsidRPr="003307CF">
              <w:rPr>
                <w:rFonts w:ascii="Verdana" w:hAnsi="Verdana"/>
              </w:rPr>
              <w:t>s were noted, namely that:</w:t>
            </w:r>
          </w:p>
        </w:tc>
      </w:tr>
    </w:tbl>
    <w:p w14:paraId="43E8C0C3" w14:textId="5337CF4E" w:rsidR="0020631C" w:rsidRPr="003307CF" w:rsidRDefault="0020631C"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BB2440" w:rsidRPr="003307CF" w14:paraId="7BEC6EC9" w14:textId="77777777" w:rsidTr="00C25D58">
        <w:tc>
          <w:tcPr>
            <w:tcW w:w="562" w:type="dxa"/>
          </w:tcPr>
          <w:p w14:paraId="6E00D9B9" w14:textId="77777777" w:rsidR="00BB2440" w:rsidRPr="003307CF" w:rsidRDefault="00BB2440" w:rsidP="00C91791">
            <w:pPr>
              <w:rPr>
                <w:rFonts w:ascii="Verdana" w:hAnsi="Verdana"/>
              </w:rPr>
            </w:pPr>
          </w:p>
        </w:tc>
        <w:tc>
          <w:tcPr>
            <w:tcW w:w="426" w:type="dxa"/>
          </w:tcPr>
          <w:p w14:paraId="31AD8259" w14:textId="77777777" w:rsidR="00BB2440" w:rsidRPr="003307CF" w:rsidRDefault="00BB2440" w:rsidP="00C91791">
            <w:pPr>
              <w:rPr>
                <w:rFonts w:ascii="Verdana" w:hAnsi="Verdana"/>
                <w:b/>
                <w:bCs/>
              </w:rPr>
            </w:pPr>
            <w:r w:rsidRPr="003307CF">
              <w:rPr>
                <w:rFonts w:ascii="Verdana" w:hAnsi="Verdana"/>
                <w:b/>
                <w:bCs/>
              </w:rPr>
              <w:t>.</w:t>
            </w:r>
          </w:p>
        </w:tc>
        <w:tc>
          <w:tcPr>
            <w:tcW w:w="8363" w:type="dxa"/>
          </w:tcPr>
          <w:p w14:paraId="3901280A" w14:textId="4D65B7B6" w:rsidR="00BB2440" w:rsidRPr="003307CF" w:rsidRDefault="00BB2440" w:rsidP="00BB2440">
            <w:pPr>
              <w:rPr>
                <w:rFonts w:ascii="Verdana" w:hAnsi="Verdana" w:cs="Arial"/>
                <w:i/>
              </w:rPr>
            </w:pPr>
            <w:r w:rsidRPr="003307CF">
              <w:rPr>
                <w:rFonts w:ascii="Verdana" w:hAnsi="Verdana" w:cs="Arial"/>
                <w:i/>
              </w:rPr>
              <w:t>reserves constitute that part of a charity's unrestricted funds that is freely available to spend on any of the charity's purposes, which definition excludes restricted income funds and endowment funds, although holding such funds may influence a charity's reserves policy</w:t>
            </w:r>
            <w:r w:rsidR="003307CF" w:rsidRPr="003307CF">
              <w:rPr>
                <w:rFonts w:ascii="Verdana" w:hAnsi="Verdana" w:cs="Arial"/>
                <w:i/>
              </w:rPr>
              <w:t>,</w:t>
            </w:r>
            <w:r w:rsidRPr="003307CF">
              <w:rPr>
                <w:rFonts w:ascii="Verdana" w:hAnsi="Verdana" w:cs="Arial"/>
                <w:i/>
              </w:rPr>
              <w:t xml:space="preserve"> </w:t>
            </w:r>
            <w:r w:rsidR="003307CF" w:rsidRPr="003307CF">
              <w:rPr>
                <w:rFonts w:ascii="Verdana" w:hAnsi="Verdana" w:cs="Arial"/>
                <w:i/>
              </w:rPr>
              <w:t>as well as</w:t>
            </w:r>
            <w:r w:rsidRPr="003307CF">
              <w:rPr>
                <w:rFonts w:ascii="Verdana" w:hAnsi="Verdana" w:cs="Arial"/>
                <w:i/>
              </w:rPr>
              <w:t xml:space="preserve"> tangible fixed assets held for the charity's use and amounts designated for essential future spending</w:t>
            </w:r>
            <w:r w:rsidR="003307CF" w:rsidRPr="003307CF">
              <w:rPr>
                <w:rFonts w:ascii="Verdana" w:hAnsi="Verdana" w:cs="Arial"/>
                <w:i/>
              </w:rPr>
              <w:t>;</w:t>
            </w:r>
          </w:p>
          <w:p w14:paraId="6C5109A8" w14:textId="77777777" w:rsidR="00BB2440" w:rsidRPr="003307CF" w:rsidRDefault="00BB2440" w:rsidP="00C91791">
            <w:pPr>
              <w:rPr>
                <w:rFonts w:ascii="Verdana" w:hAnsi="Verdana"/>
              </w:rPr>
            </w:pPr>
          </w:p>
        </w:tc>
      </w:tr>
      <w:tr w:rsidR="00BB2440" w:rsidRPr="0020631C" w14:paraId="237AE86E" w14:textId="77777777" w:rsidTr="00C25D58">
        <w:tc>
          <w:tcPr>
            <w:tcW w:w="562" w:type="dxa"/>
          </w:tcPr>
          <w:p w14:paraId="3862FF7E" w14:textId="77777777" w:rsidR="00BB2440" w:rsidRPr="003638BE" w:rsidRDefault="00BB2440" w:rsidP="00C91791">
            <w:pPr>
              <w:rPr>
                <w:rFonts w:ascii="Verdana" w:hAnsi="Verdana"/>
              </w:rPr>
            </w:pPr>
          </w:p>
        </w:tc>
        <w:tc>
          <w:tcPr>
            <w:tcW w:w="426" w:type="dxa"/>
          </w:tcPr>
          <w:p w14:paraId="48F062F5" w14:textId="77777777" w:rsidR="00BB2440" w:rsidRDefault="00BB2440" w:rsidP="00C91791">
            <w:pPr>
              <w:rPr>
                <w:rFonts w:ascii="Verdana" w:hAnsi="Verdana"/>
                <w:b/>
                <w:bCs/>
              </w:rPr>
            </w:pPr>
            <w:r>
              <w:rPr>
                <w:rFonts w:ascii="Verdana" w:hAnsi="Verdana"/>
                <w:b/>
                <w:bCs/>
              </w:rPr>
              <w:t>.</w:t>
            </w:r>
          </w:p>
        </w:tc>
        <w:tc>
          <w:tcPr>
            <w:tcW w:w="8363" w:type="dxa"/>
          </w:tcPr>
          <w:p w14:paraId="1FF9645E" w14:textId="77777777" w:rsidR="00BB2440" w:rsidRDefault="003307CF" w:rsidP="00C91791">
            <w:pPr>
              <w:rPr>
                <w:rFonts w:ascii="Verdana" w:hAnsi="Verdana" w:cs="Arial"/>
                <w:iCs/>
              </w:rPr>
            </w:pPr>
            <w:r w:rsidRPr="003307CF">
              <w:rPr>
                <w:rFonts w:ascii="Verdana" w:hAnsi="Verdana" w:cs="Arial"/>
                <w:i/>
              </w:rPr>
              <w:t>governors of every charity must ensure that the charity's funds are used appropriately, prudently, lawfully and in accordance with the charity's purposes for the public benefit</w:t>
            </w:r>
            <w:r>
              <w:rPr>
                <w:rFonts w:ascii="Verdana" w:hAnsi="Verdana" w:cs="Arial"/>
                <w:i/>
              </w:rPr>
              <w:t>, t</w:t>
            </w:r>
            <w:r w:rsidRPr="003307CF">
              <w:rPr>
                <w:rFonts w:ascii="Verdana" w:hAnsi="Verdana" w:cs="Arial"/>
                <w:i/>
              </w:rPr>
              <w:t xml:space="preserve">he general principle of trust law </w:t>
            </w:r>
            <w:r>
              <w:rPr>
                <w:rFonts w:ascii="Verdana" w:hAnsi="Verdana" w:cs="Arial"/>
                <w:i/>
              </w:rPr>
              <w:t>being</w:t>
            </w:r>
            <w:r w:rsidRPr="003307CF">
              <w:rPr>
                <w:rFonts w:ascii="Verdana" w:hAnsi="Verdana" w:cs="Arial"/>
                <w:i/>
              </w:rPr>
              <w:t xml:space="preserve"> that funds received as income should be spent within a reasonable period of receipt</w:t>
            </w:r>
            <w:r>
              <w:rPr>
                <w:rFonts w:ascii="Verdana" w:hAnsi="Verdana" w:cs="Arial"/>
                <w:i/>
              </w:rPr>
              <w:t xml:space="preserve">; </w:t>
            </w:r>
            <w:r>
              <w:rPr>
                <w:rFonts w:ascii="Verdana" w:hAnsi="Verdana" w:cs="Arial"/>
                <w:iCs/>
              </w:rPr>
              <w:t>and</w:t>
            </w:r>
          </w:p>
          <w:p w14:paraId="347FBCCE" w14:textId="44698AAA" w:rsidR="003307CF" w:rsidRPr="003307CF" w:rsidRDefault="003307CF" w:rsidP="00C91791">
            <w:pPr>
              <w:rPr>
                <w:rFonts w:ascii="Verdana" w:hAnsi="Verdana"/>
                <w:iCs/>
              </w:rPr>
            </w:pPr>
          </w:p>
        </w:tc>
      </w:tr>
      <w:tr w:rsidR="00BB2440" w:rsidRPr="003307CF" w14:paraId="09AEAD50" w14:textId="77777777" w:rsidTr="00C25D58">
        <w:tc>
          <w:tcPr>
            <w:tcW w:w="562" w:type="dxa"/>
          </w:tcPr>
          <w:p w14:paraId="3D338347" w14:textId="77777777" w:rsidR="00BB2440" w:rsidRPr="003307CF" w:rsidRDefault="00BB2440" w:rsidP="00C91791">
            <w:pPr>
              <w:rPr>
                <w:rFonts w:ascii="Verdana" w:hAnsi="Verdana"/>
              </w:rPr>
            </w:pPr>
          </w:p>
        </w:tc>
        <w:tc>
          <w:tcPr>
            <w:tcW w:w="426" w:type="dxa"/>
          </w:tcPr>
          <w:p w14:paraId="7C4000EC" w14:textId="77777777" w:rsidR="00BB2440" w:rsidRPr="003307CF" w:rsidRDefault="00BB2440" w:rsidP="00C91791">
            <w:pPr>
              <w:rPr>
                <w:rFonts w:ascii="Verdana" w:hAnsi="Verdana"/>
                <w:b/>
                <w:bCs/>
              </w:rPr>
            </w:pPr>
            <w:r w:rsidRPr="003307CF">
              <w:rPr>
                <w:rFonts w:ascii="Verdana" w:hAnsi="Verdana"/>
                <w:b/>
                <w:bCs/>
              </w:rPr>
              <w:t>.</w:t>
            </w:r>
          </w:p>
        </w:tc>
        <w:tc>
          <w:tcPr>
            <w:tcW w:w="8363" w:type="dxa"/>
          </w:tcPr>
          <w:p w14:paraId="77E790E6" w14:textId="53F97E17" w:rsidR="00BB2440" w:rsidRPr="003307CF" w:rsidRDefault="003307CF" w:rsidP="00C91791">
            <w:pPr>
              <w:rPr>
                <w:rFonts w:ascii="Verdana" w:eastAsia="Times New Roman" w:hAnsi="Verdana" w:cstheme="minorHAnsi"/>
                <w:i/>
                <w:iCs/>
                <w:lang w:eastAsia="en-GB"/>
              </w:rPr>
            </w:pPr>
            <w:r w:rsidRPr="003307CF">
              <w:rPr>
                <w:rFonts w:ascii="Verdana" w:hAnsi="Verdana" w:cs="Arial"/>
                <w:i/>
              </w:rPr>
              <w:t>the holding of reserves will be authorised either by using an express or implied power to hold reserves, and governors are justified in exercising their power to hold income reserves, whether express or implied</w:t>
            </w:r>
            <w:r w:rsidR="00404EAD">
              <w:rPr>
                <w:rFonts w:ascii="Verdana" w:hAnsi="Verdana" w:cs="Arial"/>
                <w:i/>
              </w:rPr>
              <w:t>,</w:t>
            </w:r>
            <w:r w:rsidRPr="003307CF">
              <w:rPr>
                <w:rFonts w:ascii="Verdana" w:hAnsi="Verdana" w:cs="Arial"/>
                <w:i/>
              </w:rPr>
              <w:t xml:space="preserve"> only if, in their considered view, it is necessary in the charity's best interests.</w:t>
            </w:r>
          </w:p>
        </w:tc>
      </w:tr>
    </w:tbl>
    <w:p w14:paraId="1F18D4B4" w14:textId="2744F26F" w:rsidR="0020631C" w:rsidRPr="003307CF" w:rsidRDefault="0020631C" w:rsidP="004F4C55">
      <w:pPr>
        <w:rPr>
          <w:rFonts w:ascii="Verdana" w:hAnsi="Verdana"/>
        </w:rPr>
      </w:pPr>
    </w:p>
    <w:tbl>
      <w:tblPr>
        <w:tblW w:w="9322" w:type="dxa"/>
        <w:tblLook w:val="04A0" w:firstRow="1" w:lastRow="0" w:firstColumn="1" w:lastColumn="0" w:noHBand="0" w:noVBand="1"/>
      </w:tblPr>
      <w:tblGrid>
        <w:gridCol w:w="534"/>
        <w:gridCol w:w="8788"/>
      </w:tblGrid>
      <w:tr w:rsidR="003307CF" w:rsidRPr="00F46AFE" w14:paraId="75E97EDC" w14:textId="77777777" w:rsidTr="00C25D58">
        <w:tc>
          <w:tcPr>
            <w:tcW w:w="534" w:type="dxa"/>
          </w:tcPr>
          <w:p w14:paraId="1811978A" w14:textId="77777777" w:rsidR="003307CF" w:rsidRPr="00F46AFE" w:rsidRDefault="003307CF" w:rsidP="00C91791">
            <w:pPr>
              <w:rPr>
                <w:rFonts w:ascii="Verdana" w:hAnsi="Verdana"/>
                <w:b/>
              </w:rPr>
            </w:pPr>
          </w:p>
        </w:tc>
        <w:tc>
          <w:tcPr>
            <w:tcW w:w="8788" w:type="dxa"/>
          </w:tcPr>
          <w:p w14:paraId="75EF3C4E" w14:textId="48958AC5" w:rsidR="003307CF" w:rsidRPr="00F46AFE" w:rsidRDefault="003307CF" w:rsidP="00C91791">
            <w:pPr>
              <w:contextualSpacing/>
              <w:rPr>
                <w:rFonts w:ascii="Verdana" w:hAnsi="Verdana"/>
              </w:rPr>
            </w:pPr>
            <w:r w:rsidRPr="00F46AFE">
              <w:rPr>
                <w:rFonts w:ascii="Verdana" w:hAnsi="Verdana" w:cs="Arial"/>
              </w:rPr>
              <w:t xml:space="preserve">There is no explicit legal authority for the College to hold reserves, but the implied authority is deemed sufficient.  The College is not required to formally accumulate reserves, but is required to consider what level of reserves it is appropriate to hold </w:t>
            </w:r>
            <w:r w:rsidR="00F46AFE">
              <w:rPr>
                <w:rFonts w:ascii="Verdana" w:hAnsi="Verdana" w:cs="Arial"/>
              </w:rPr>
              <w:t>so as</w:t>
            </w:r>
            <w:r w:rsidRPr="00F46AFE">
              <w:rPr>
                <w:rFonts w:ascii="Verdana" w:hAnsi="Verdana" w:cs="Arial"/>
              </w:rPr>
              <w:t xml:space="preserve"> to demonstrate </w:t>
            </w:r>
            <w:r w:rsidR="00404EAD">
              <w:rPr>
                <w:rFonts w:ascii="Verdana" w:hAnsi="Verdana" w:cs="Arial"/>
              </w:rPr>
              <w:t>proper</w:t>
            </w:r>
            <w:r w:rsidRPr="00F46AFE">
              <w:rPr>
                <w:rFonts w:ascii="Verdana" w:hAnsi="Verdana" w:cs="Arial"/>
              </w:rPr>
              <w:t xml:space="preserve"> financial management, stewardship and sustainability.  </w:t>
            </w:r>
            <w:r w:rsidR="00404EAD">
              <w:rPr>
                <w:rFonts w:ascii="Verdana" w:hAnsi="Verdana" w:cs="Arial"/>
              </w:rPr>
              <w:t>By considering these factors</w:t>
            </w:r>
            <w:r w:rsidRPr="00F46AFE">
              <w:rPr>
                <w:rFonts w:ascii="Verdana" w:hAnsi="Verdana" w:cs="Arial"/>
              </w:rPr>
              <w:t xml:space="preserve"> governors are able to provide:</w:t>
            </w:r>
          </w:p>
        </w:tc>
      </w:tr>
    </w:tbl>
    <w:p w14:paraId="1B1560EC" w14:textId="77777777" w:rsidR="003307CF" w:rsidRPr="00F46AFE" w:rsidRDefault="003307CF"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3307CF" w:rsidRPr="00F46AFE" w14:paraId="7BEB9491" w14:textId="77777777" w:rsidTr="00C25D58">
        <w:tc>
          <w:tcPr>
            <w:tcW w:w="562" w:type="dxa"/>
          </w:tcPr>
          <w:p w14:paraId="27CF02E0" w14:textId="77777777" w:rsidR="003307CF" w:rsidRPr="00F46AFE" w:rsidRDefault="003307CF" w:rsidP="00C91791">
            <w:pPr>
              <w:rPr>
                <w:rFonts w:ascii="Verdana" w:hAnsi="Verdana"/>
              </w:rPr>
            </w:pPr>
          </w:p>
        </w:tc>
        <w:tc>
          <w:tcPr>
            <w:tcW w:w="426" w:type="dxa"/>
          </w:tcPr>
          <w:p w14:paraId="4BAE1015" w14:textId="77777777" w:rsidR="003307CF" w:rsidRPr="00F46AFE" w:rsidRDefault="003307CF" w:rsidP="00C91791">
            <w:pPr>
              <w:rPr>
                <w:rFonts w:ascii="Verdana" w:hAnsi="Verdana"/>
                <w:b/>
                <w:bCs/>
              </w:rPr>
            </w:pPr>
            <w:r w:rsidRPr="00F46AFE">
              <w:rPr>
                <w:rFonts w:ascii="Verdana" w:hAnsi="Verdana"/>
                <w:b/>
                <w:bCs/>
              </w:rPr>
              <w:t>.</w:t>
            </w:r>
          </w:p>
        </w:tc>
        <w:tc>
          <w:tcPr>
            <w:tcW w:w="8363" w:type="dxa"/>
          </w:tcPr>
          <w:p w14:paraId="4365B861" w14:textId="48A99550" w:rsidR="003307CF" w:rsidRPr="00404EAD" w:rsidRDefault="003307CF" w:rsidP="00C91791">
            <w:pPr>
              <w:rPr>
                <w:rFonts w:ascii="Verdana" w:hAnsi="Verdana" w:cs="Arial"/>
                <w:i/>
                <w:iCs/>
              </w:rPr>
            </w:pPr>
            <w:r w:rsidRPr="00F46AFE">
              <w:rPr>
                <w:rFonts w:ascii="Verdana" w:hAnsi="Verdana" w:cs="Arial"/>
              </w:rPr>
              <w:t>assurance to all stakeholders that the College is being managed in a prudent manner for the best interests of its beneficiaries;</w:t>
            </w:r>
            <w:r w:rsidR="00404EAD">
              <w:rPr>
                <w:rFonts w:ascii="Verdana" w:hAnsi="Verdana" w:cs="Arial"/>
              </w:rPr>
              <w:t xml:space="preserve"> </w:t>
            </w:r>
            <w:r w:rsidR="00404EAD">
              <w:rPr>
                <w:rFonts w:ascii="Verdana" w:hAnsi="Verdana" w:cs="Arial"/>
                <w:i/>
                <w:iCs/>
              </w:rPr>
              <w:t>and</w:t>
            </w:r>
          </w:p>
          <w:p w14:paraId="3081BAE4" w14:textId="5CE474E7" w:rsidR="003307CF" w:rsidRPr="00F46AFE" w:rsidRDefault="003307CF" w:rsidP="00C91791">
            <w:pPr>
              <w:rPr>
                <w:rFonts w:ascii="Verdana" w:hAnsi="Verdana"/>
              </w:rPr>
            </w:pPr>
          </w:p>
        </w:tc>
      </w:tr>
      <w:tr w:rsidR="003307CF" w:rsidRPr="00F46AFE" w14:paraId="07BF5458" w14:textId="77777777" w:rsidTr="00C25D58">
        <w:tc>
          <w:tcPr>
            <w:tcW w:w="562" w:type="dxa"/>
          </w:tcPr>
          <w:p w14:paraId="17AF736B" w14:textId="77777777" w:rsidR="003307CF" w:rsidRPr="00F46AFE" w:rsidRDefault="003307CF" w:rsidP="00C91791">
            <w:pPr>
              <w:rPr>
                <w:rFonts w:ascii="Verdana" w:hAnsi="Verdana"/>
              </w:rPr>
            </w:pPr>
          </w:p>
        </w:tc>
        <w:tc>
          <w:tcPr>
            <w:tcW w:w="426" w:type="dxa"/>
          </w:tcPr>
          <w:p w14:paraId="40EB8359" w14:textId="77777777" w:rsidR="003307CF" w:rsidRPr="00F46AFE" w:rsidRDefault="003307CF" w:rsidP="00C91791">
            <w:pPr>
              <w:rPr>
                <w:rFonts w:ascii="Verdana" w:hAnsi="Verdana"/>
                <w:b/>
                <w:bCs/>
              </w:rPr>
            </w:pPr>
            <w:r w:rsidRPr="00F46AFE">
              <w:rPr>
                <w:rFonts w:ascii="Verdana" w:hAnsi="Verdana"/>
                <w:b/>
                <w:bCs/>
              </w:rPr>
              <w:t>.</w:t>
            </w:r>
          </w:p>
        </w:tc>
        <w:tc>
          <w:tcPr>
            <w:tcW w:w="8363" w:type="dxa"/>
          </w:tcPr>
          <w:p w14:paraId="6B1E62C0" w14:textId="2CD1EB3D" w:rsidR="003307CF" w:rsidRPr="00F46AFE" w:rsidRDefault="003307CF" w:rsidP="00C91791">
            <w:pPr>
              <w:rPr>
                <w:rFonts w:ascii="Verdana" w:hAnsi="Verdana"/>
                <w:iCs/>
              </w:rPr>
            </w:pPr>
            <w:r w:rsidRPr="00F46AFE">
              <w:rPr>
                <w:rFonts w:ascii="Verdana" w:hAnsi="Verdana" w:cs="Arial"/>
              </w:rPr>
              <w:t xml:space="preserve">confidence that there is a strong justification for the reserves held, </w:t>
            </w:r>
            <w:r w:rsidR="00404EAD">
              <w:rPr>
                <w:rFonts w:ascii="Verdana" w:hAnsi="Verdana" w:cs="Arial"/>
              </w:rPr>
              <w:t>as well as</w:t>
            </w:r>
            <w:r w:rsidRPr="00F46AFE">
              <w:rPr>
                <w:rFonts w:ascii="Verdana" w:hAnsi="Verdana" w:cs="Arial"/>
              </w:rPr>
              <w:t xml:space="preserve"> open</w:t>
            </w:r>
            <w:r w:rsidR="00404EAD">
              <w:rPr>
                <w:rFonts w:ascii="Verdana" w:hAnsi="Verdana" w:cs="Arial"/>
              </w:rPr>
              <w:t>ness</w:t>
            </w:r>
            <w:r w:rsidRPr="00F46AFE">
              <w:rPr>
                <w:rFonts w:ascii="Verdana" w:hAnsi="Verdana" w:cs="Arial"/>
              </w:rPr>
              <w:t xml:space="preserve"> and transparen</w:t>
            </w:r>
            <w:r w:rsidR="00404EAD">
              <w:rPr>
                <w:rFonts w:ascii="Verdana" w:hAnsi="Verdana" w:cs="Arial"/>
              </w:rPr>
              <w:t>cy</w:t>
            </w:r>
            <w:r w:rsidRPr="00F46AFE">
              <w:rPr>
                <w:rFonts w:ascii="Verdana" w:hAnsi="Verdana" w:cs="Arial"/>
              </w:rPr>
              <w:t xml:space="preserve"> </w:t>
            </w:r>
            <w:r w:rsidR="00404EAD">
              <w:rPr>
                <w:rFonts w:ascii="Verdana" w:hAnsi="Verdana" w:cs="Arial"/>
              </w:rPr>
              <w:t>concerning</w:t>
            </w:r>
            <w:r w:rsidRPr="00F46AFE">
              <w:rPr>
                <w:rFonts w:ascii="Verdana" w:hAnsi="Verdana" w:cs="Arial"/>
              </w:rPr>
              <w:t xml:space="preserve"> all aspects </w:t>
            </w:r>
            <w:r w:rsidR="00404EAD">
              <w:rPr>
                <w:rFonts w:ascii="Verdana" w:hAnsi="Verdana" w:cs="Arial"/>
              </w:rPr>
              <w:t>of</w:t>
            </w:r>
            <w:r w:rsidRPr="00F46AFE">
              <w:rPr>
                <w:rFonts w:ascii="Verdana" w:hAnsi="Verdana" w:cs="Arial"/>
              </w:rPr>
              <w:t xml:space="preserve"> the College’s reserves policy.</w:t>
            </w:r>
          </w:p>
        </w:tc>
      </w:tr>
    </w:tbl>
    <w:p w14:paraId="4BDC2FE0" w14:textId="5586C706" w:rsidR="0020631C" w:rsidRDefault="0020631C" w:rsidP="004F4C55"/>
    <w:tbl>
      <w:tblPr>
        <w:tblW w:w="9322" w:type="dxa"/>
        <w:tblLook w:val="04A0" w:firstRow="1" w:lastRow="0" w:firstColumn="1" w:lastColumn="0" w:noHBand="0" w:noVBand="1"/>
      </w:tblPr>
      <w:tblGrid>
        <w:gridCol w:w="534"/>
        <w:gridCol w:w="8788"/>
      </w:tblGrid>
      <w:tr w:rsidR="00F46AFE" w:rsidRPr="00F46AFE" w14:paraId="22AA4DA6" w14:textId="77777777" w:rsidTr="00C25D58">
        <w:tc>
          <w:tcPr>
            <w:tcW w:w="534" w:type="dxa"/>
          </w:tcPr>
          <w:p w14:paraId="5C5AD57D" w14:textId="77777777" w:rsidR="00F46AFE" w:rsidRPr="00F46AFE" w:rsidRDefault="00F46AFE" w:rsidP="00C91791">
            <w:pPr>
              <w:rPr>
                <w:rFonts w:ascii="Verdana" w:hAnsi="Verdana"/>
                <w:b/>
              </w:rPr>
            </w:pPr>
          </w:p>
        </w:tc>
        <w:tc>
          <w:tcPr>
            <w:tcW w:w="8788" w:type="dxa"/>
          </w:tcPr>
          <w:p w14:paraId="23BCF25B" w14:textId="7F223CC8" w:rsidR="00F46AFE" w:rsidRPr="00F46AFE" w:rsidRDefault="00F46AFE" w:rsidP="00C91791">
            <w:pPr>
              <w:contextualSpacing/>
              <w:rPr>
                <w:rFonts w:ascii="Verdana" w:hAnsi="Verdana"/>
              </w:rPr>
            </w:pPr>
            <w:r>
              <w:rPr>
                <w:rFonts w:ascii="Verdana" w:hAnsi="Verdana" w:cs="Arial"/>
              </w:rPr>
              <w:t xml:space="preserve">The following issues </w:t>
            </w:r>
            <w:r w:rsidR="009238ED">
              <w:rPr>
                <w:rFonts w:ascii="Verdana" w:hAnsi="Verdana" w:cs="Arial"/>
              </w:rPr>
              <w:t>had</w:t>
            </w:r>
            <w:r>
              <w:rPr>
                <w:rFonts w:ascii="Verdana" w:hAnsi="Verdana" w:cs="Arial"/>
              </w:rPr>
              <w:t xml:space="preserve"> therefore </w:t>
            </w:r>
            <w:r w:rsidR="009238ED">
              <w:rPr>
                <w:rFonts w:ascii="Verdana" w:hAnsi="Verdana" w:cs="Arial"/>
              </w:rPr>
              <w:t xml:space="preserve">been </w:t>
            </w:r>
            <w:r>
              <w:rPr>
                <w:rFonts w:ascii="Verdana" w:hAnsi="Verdana" w:cs="Arial"/>
              </w:rPr>
              <w:t>taken into account</w:t>
            </w:r>
            <w:r w:rsidR="00404EAD">
              <w:rPr>
                <w:rFonts w:ascii="Verdana" w:hAnsi="Verdana" w:cs="Arial"/>
              </w:rPr>
              <w:t>, namely that</w:t>
            </w:r>
            <w:r>
              <w:rPr>
                <w:rFonts w:ascii="Verdana" w:hAnsi="Verdana" w:cs="Arial"/>
              </w:rPr>
              <w:t>:</w:t>
            </w:r>
          </w:p>
        </w:tc>
      </w:tr>
    </w:tbl>
    <w:p w14:paraId="2E8E15E2" w14:textId="77777777" w:rsidR="00F46AFE" w:rsidRDefault="00F46AFE"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F46AFE" w:rsidRPr="00F46AFE" w14:paraId="29375C2A" w14:textId="77777777" w:rsidTr="00C25D58">
        <w:tc>
          <w:tcPr>
            <w:tcW w:w="562" w:type="dxa"/>
          </w:tcPr>
          <w:p w14:paraId="04BC1FF4" w14:textId="77777777" w:rsidR="00F46AFE" w:rsidRPr="00F46AFE" w:rsidRDefault="00F46AFE" w:rsidP="00C91791">
            <w:pPr>
              <w:rPr>
                <w:rFonts w:ascii="Verdana" w:hAnsi="Verdana"/>
              </w:rPr>
            </w:pPr>
          </w:p>
        </w:tc>
        <w:tc>
          <w:tcPr>
            <w:tcW w:w="426" w:type="dxa"/>
          </w:tcPr>
          <w:p w14:paraId="40228BE9" w14:textId="77777777" w:rsidR="00F46AFE" w:rsidRPr="00F46AFE" w:rsidRDefault="00F46AFE" w:rsidP="00C91791">
            <w:pPr>
              <w:rPr>
                <w:rFonts w:ascii="Verdana" w:hAnsi="Verdana"/>
                <w:b/>
                <w:bCs/>
              </w:rPr>
            </w:pPr>
            <w:r w:rsidRPr="00F46AFE">
              <w:rPr>
                <w:rFonts w:ascii="Verdana" w:hAnsi="Verdana"/>
                <w:b/>
                <w:bCs/>
              </w:rPr>
              <w:t>.</w:t>
            </w:r>
          </w:p>
        </w:tc>
        <w:tc>
          <w:tcPr>
            <w:tcW w:w="8363" w:type="dxa"/>
          </w:tcPr>
          <w:p w14:paraId="7E9C8024" w14:textId="1F3713AD" w:rsidR="00F46AFE" w:rsidRPr="00F46AFE" w:rsidRDefault="00404EAD" w:rsidP="00C91791">
            <w:pPr>
              <w:rPr>
                <w:rFonts w:ascii="Verdana" w:hAnsi="Verdana"/>
              </w:rPr>
            </w:pPr>
            <w:r>
              <w:rPr>
                <w:rFonts w:ascii="Verdana" w:hAnsi="Verdana"/>
              </w:rPr>
              <w:t>because core funding is received on an appropriate basis and at due intervals from public funds,</w:t>
            </w:r>
            <w:r w:rsidR="00F46AFE" w:rsidRPr="00404EAD">
              <w:rPr>
                <w:rFonts w:ascii="Verdana" w:hAnsi="Verdana"/>
              </w:rPr>
              <w:t xml:space="preserve"> </w:t>
            </w:r>
            <w:r w:rsidR="00F46AFE" w:rsidRPr="00F46AFE">
              <w:rPr>
                <w:rFonts w:ascii="Verdana" w:hAnsi="Verdana"/>
              </w:rPr>
              <w:t>reserves are not required to fund working capital;</w:t>
            </w:r>
          </w:p>
          <w:p w14:paraId="25AE426F" w14:textId="01C506A4" w:rsidR="00F46AFE" w:rsidRPr="00F46AFE" w:rsidRDefault="00F46AFE" w:rsidP="00C91791">
            <w:pPr>
              <w:rPr>
                <w:rFonts w:ascii="Verdana" w:hAnsi="Verdana"/>
              </w:rPr>
            </w:pPr>
          </w:p>
        </w:tc>
      </w:tr>
      <w:tr w:rsidR="00F46AFE" w:rsidRPr="00F46AFE" w14:paraId="4DCAF012" w14:textId="77777777" w:rsidTr="00C25D58">
        <w:tc>
          <w:tcPr>
            <w:tcW w:w="562" w:type="dxa"/>
          </w:tcPr>
          <w:p w14:paraId="279038BE" w14:textId="77777777" w:rsidR="00F46AFE" w:rsidRPr="00F46AFE" w:rsidRDefault="00F46AFE" w:rsidP="00C91791">
            <w:pPr>
              <w:rPr>
                <w:rFonts w:ascii="Verdana" w:hAnsi="Verdana"/>
              </w:rPr>
            </w:pPr>
          </w:p>
        </w:tc>
        <w:tc>
          <w:tcPr>
            <w:tcW w:w="426" w:type="dxa"/>
          </w:tcPr>
          <w:p w14:paraId="62DD9894" w14:textId="5FDB25F3" w:rsidR="00F46AFE" w:rsidRPr="00F46AFE" w:rsidRDefault="00F46AFE" w:rsidP="00C91791">
            <w:pPr>
              <w:rPr>
                <w:rFonts w:ascii="Verdana" w:hAnsi="Verdana"/>
                <w:b/>
                <w:bCs/>
              </w:rPr>
            </w:pPr>
            <w:r w:rsidRPr="00F46AFE">
              <w:rPr>
                <w:rFonts w:ascii="Verdana" w:hAnsi="Verdana"/>
                <w:b/>
                <w:bCs/>
              </w:rPr>
              <w:t>.</w:t>
            </w:r>
          </w:p>
        </w:tc>
        <w:tc>
          <w:tcPr>
            <w:tcW w:w="8363" w:type="dxa"/>
          </w:tcPr>
          <w:p w14:paraId="6981B965" w14:textId="5A3DE0DE" w:rsidR="00F46AFE" w:rsidRPr="00F46AFE" w:rsidRDefault="00F46AFE" w:rsidP="00C91791">
            <w:pPr>
              <w:rPr>
                <w:rFonts w:ascii="Verdana" w:hAnsi="Verdana"/>
              </w:rPr>
            </w:pPr>
            <w:r w:rsidRPr="00F46AFE">
              <w:rPr>
                <w:rFonts w:ascii="Verdana" w:hAnsi="Verdana"/>
              </w:rPr>
              <w:t>variations in student enrolment numbers</w:t>
            </w:r>
            <w:r w:rsidR="00404EAD">
              <w:rPr>
                <w:rFonts w:ascii="Verdana" w:hAnsi="Verdana"/>
              </w:rPr>
              <w:t xml:space="preserve"> </w:t>
            </w:r>
            <w:r w:rsidR="00EC035F">
              <w:rPr>
                <w:rFonts w:ascii="Verdana" w:hAnsi="Verdana"/>
              </w:rPr>
              <w:t>require</w:t>
            </w:r>
            <w:r w:rsidR="00404EAD">
              <w:rPr>
                <w:rFonts w:ascii="Verdana" w:hAnsi="Verdana"/>
              </w:rPr>
              <w:t xml:space="preserve"> a measure of financial buffering to obviate their effects</w:t>
            </w:r>
            <w:r w:rsidRPr="00F46AFE">
              <w:rPr>
                <w:rFonts w:ascii="Verdana" w:hAnsi="Verdana"/>
              </w:rPr>
              <w:t>;</w:t>
            </w:r>
          </w:p>
          <w:p w14:paraId="6A335183" w14:textId="142BA5BB" w:rsidR="00F46AFE" w:rsidRPr="00F46AFE" w:rsidRDefault="00F46AFE" w:rsidP="00C91791">
            <w:pPr>
              <w:rPr>
                <w:rFonts w:ascii="Verdana" w:hAnsi="Verdana"/>
              </w:rPr>
            </w:pPr>
          </w:p>
        </w:tc>
      </w:tr>
      <w:tr w:rsidR="00F46AFE" w:rsidRPr="00F46AFE" w14:paraId="79BEA19B" w14:textId="77777777" w:rsidTr="00C25D58">
        <w:tc>
          <w:tcPr>
            <w:tcW w:w="562" w:type="dxa"/>
          </w:tcPr>
          <w:p w14:paraId="7F590202" w14:textId="77777777" w:rsidR="00F46AFE" w:rsidRPr="00F46AFE" w:rsidRDefault="00F46AFE" w:rsidP="00C91791">
            <w:pPr>
              <w:rPr>
                <w:rFonts w:ascii="Verdana" w:hAnsi="Verdana"/>
              </w:rPr>
            </w:pPr>
          </w:p>
        </w:tc>
        <w:tc>
          <w:tcPr>
            <w:tcW w:w="426" w:type="dxa"/>
          </w:tcPr>
          <w:p w14:paraId="14AEFD57" w14:textId="754BC646" w:rsidR="00F46AFE" w:rsidRPr="00F46AFE" w:rsidRDefault="00F46AFE" w:rsidP="00C91791">
            <w:pPr>
              <w:rPr>
                <w:rFonts w:ascii="Verdana" w:hAnsi="Verdana"/>
                <w:b/>
                <w:bCs/>
              </w:rPr>
            </w:pPr>
            <w:r w:rsidRPr="00F46AFE">
              <w:rPr>
                <w:rFonts w:ascii="Verdana" w:hAnsi="Verdana"/>
                <w:b/>
                <w:bCs/>
              </w:rPr>
              <w:t>.</w:t>
            </w:r>
          </w:p>
        </w:tc>
        <w:tc>
          <w:tcPr>
            <w:tcW w:w="8363" w:type="dxa"/>
          </w:tcPr>
          <w:p w14:paraId="0E7F85E1" w14:textId="4D50E808" w:rsidR="00F46AFE" w:rsidRPr="009238ED" w:rsidRDefault="00F46AFE" w:rsidP="00C91791">
            <w:pPr>
              <w:rPr>
                <w:rFonts w:ascii="Verdana" w:hAnsi="Verdana" w:cs="Arial"/>
                <w:i/>
                <w:iCs/>
              </w:rPr>
            </w:pPr>
            <w:r w:rsidRPr="00F46AFE">
              <w:rPr>
                <w:rFonts w:ascii="Verdana" w:hAnsi="Verdana" w:cs="Arial"/>
              </w:rPr>
              <w:t xml:space="preserve">funds </w:t>
            </w:r>
            <w:r w:rsidR="00404EAD">
              <w:rPr>
                <w:rFonts w:ascii="Verdana" w:hAnsi="Verdana" w:cs="Arial"/>
              </w:rPr>
              <w:t xml:space="preserve">are needed </w:t>
            </w:r>
            <w:r w:rsidRPr="00F46AFE">
              <w:rPr>
                <w:rFonts w:ascii="Verdana" w:hAnsi="Verdana" w:cs="Arial"/>
              </w:rPr>
              <w:t xml:space="preserve">to develop the College’s activities or to consider new opportunities to assist its </w:t>
            </w:r>
            <w:r w:rsidR="00EC035F">
              <w:rPr>
                <w:rFonts w:ascii="Verdana" w:hAnsi="Verdana" w:cs="Arial"/>
              </w:rPr>
              <w:t>student</w:t>
            </w:r>
            <w:r w:rsidRPr="00F46AFE">
              <w:rPr>
                <w:rFonts w:ascii="Verdana" w:hAnsi="Verdana" w:cs="Arial"/>
              </w:rPr>
              <w:t>s;</w:t>
            </w:r>
            <w:r w:rsidR="009238ED">
              <w:rPr>
                <w:rFonts w:ascii="Verdana" w:hAnsi="Verdana" w:cs="Arial"/>
              </w:rPr>
              <w:t xml:space="preserve"> </w:t>
            </w:r>
            <w:r w:rsidR="009238ED">
              <w:rPr>
                <w:rFonts w:ascii="Verdana" w:hAnsi="Verdana" w:cs="Arial"/>
                <w:i/>
                <w:iCs/>
              </w:rPr>
              <w:t>and</w:t>
            </w:r>
          </w:p>
          <w:p w14:paraId="1839BAC4" w14:textId="59899755" w:rsidR="00F46AFE" w:rsidRPr="00F46AFE" w:rsidRDefault="00F46AFE" w:rsidP="00C91791">
            <w:pPr>
              <w:rPr>
                <w:rFonts w:ascii="Verdana" w:hAnsi="Verdana"/>
              </w:rPr>
            </w:pPr>
          </w:p>
        </w:tc>
      </w:tr>
      <w:tr w:rsidR="00F46AFE" w:rsidRPr="00F46AFE" w14:paraId="2348F2BE" w14:textId="77777777" w:rsidTr="00C25D58">
        <w:tc>
          <w:tcPr>
            <w:tcW w:w="562" w:type="dxa"/>
          </w:tcPr>
          <w:p w14:paraId="547EAE83" w14:textId="77777777" w:rsidR="00F46AFE" w:rsidRPr="00F46AFE" w:rsidRDefault="00F46AFE" w:rsidP="00C91791">
            <w:pPr>
              <w:rPr>
                <w:rFonts w:ascii="Verdana" w:hAnsi="Verdana"/>
              </w:rPr>
            </w:pPr>
          </w:p>
        </w:tc>
        <w:tc>
          <w:tcPr>
            <w:tcW w:w="426" w:type="dxa"/>
          </w:tcPr>
          <w:p w14:paraId="1AF9CB22" w14:textId="770253F4" w:rsidR="00F46AFE" w:rsidRPr="00F46AFE" w:rsidRDefault="00F46AFE" w:rsidP="00C91791">
            <w:pPr>
              <w:rPr>
                <w:rFonts w:ascii="Verdana" w:hAnsi="Verdana"/>
                <w:b/>
                <w:bCs/>
              </w:rPr>
            </w:pPr>
            <w:r w:rsidRPr="00F46AFE">
              <w:rPr>
                <w:rFonts w:ascii="Verdana" w:hAnsi="Verdana"/>
                <w:b/>
                <w:bCs/>
              </w:rPr>
              <w:t>.</w:t>
            </w:r>
          </w:p>
        </w:tc>
        <w:tc>
          <w:tcPr>
            <w:tcW w:w="8363" w:type="dxa"/>
          </w:tcPr>
          <w:p w14:paraId="7BF28E45" w14:textId="26C2FFC5" w:rsidR="00F46AFE" w:rsidRPr="009238ED" w:rsidRDefault="00F46AFE" w:rsidP="00C91791">
            <w:pPr>
              <w:rPr>
                <w:rFonts w:ascii="Verdana" w:hAnsi="Verdana" w:cs="Arial"/>
                <w:iCs/>
              </w:rPr>
            </w:pPr>
            <w:r w:rsidRPr="00F46AFE">
              <w:rPr>
                <w:rFonts w:ascii="Verdana" w:hAnsi="Verdana" w:cs="Arial"/>
              </w:rPr>
              <w:t>the</w:t>
            </w:r>
            <w:r w:rsidR="00404EAD">
              <w:rPr>
                <w:rFonts w:ascii="Verdana" w:hAnsi="Verdana" w:cs="Arial"/>
              </w:rPr>
              <w:t>re is a</w:t>
            </w:r>
            <w:r w:rsidRPr="00F46AFE">
              <w:rPr>
                <w:rFonts w:ascii="Verdana" w:hAnsi="Verdana" w:cs="Arial"/>
              </w:rPr>
              <w:t xml:space="preserve"> need to convert underlying assets into cash in order to fulfil a reserve utilisation</w:t>
            </w:r>
            <w:r w:rsidR="009238ED">
              <w:rPr>
                <w:rFonts w:ascii="Verdana" w:hAnsi="Verdana" w:cs="Arial"/>
              </w:rPr>
              <w:t>.</w:t>
            </w:r>
          </w:p>
        </w:tc>
      </w:tr>
    </w:tbl>
    <w:p w14:paraId="0D0C054E" w14:textId="21DAEDBA" w:rsidR="0020631C" w:rsidRDefault="0020631C" w:rsidP="004F4C55"/>
    <w:tbl>
      <w:tblPr>
        <w:tblW w:w="9322" w:type="dxa"/>
        <w:tblLook w:val="04A0" w:firstRow="1" w:lastRow="0" w:firstColumn="1" w:lastColumn="0" w:noHBand="0" w:noVBand="1"/>
      </w:tblPr>
      <w:tblGrid>
        <w:gridCol w:w="534"/>
        <w:gridCol w:w="8788"/>
      </w:tblGrid>
      <w:tr w:rsidR="00404EAD" w:rsidRPr="00A75E90" w14:paraId="0F2C5D29" w14:textId="77777777" w:rsidTr="00C25D58">
        <w:tc>
          <w:tcPr>
            <w:tcW w:w="534" w:type="dxa"/>
          </w:tcPr>
          <w:p w14:paraId="24B6393C" w14:textId="77777777" w:rsidR="00404EAD" w:rsidRPr="00A75E90" w:rsidRDefault="00404EAD" w:rsidP="00496B99">
            <w:pPr>
              <w:rPr>
                <w:rFonts w:ascii="Verdana" w:hAnsi="Verdana"/>
                <w:b/>
              </w:rPr>
            </w:pPr>
          </w:p>
        </w:tc>
        <w:tc>
          <w:tcPr>
            <w:tcW w:w="8788" w:type="dxa"/>
          </w:tcPr>
          <w:p w14:paraId="13C7D934" w14:textId="77777777" w:rsidR="00404EAD" w:rsidRDefault="00404EAD" w:rsidP="00404EAD">
            <w:pPr>
              <w:contextualSpacing/>
              <w:rPr>
                <w:rFonts w:ascii="Verdana" w:hAnsi="Verdana"/>
              </w:rPr>
            </w:pPr>
            <w:r>
              <w:rPr>
                <w:rFonts w:ascii="Verdana" w:hAnsi="Verdana"/>
              </w:rPr>
              <w:t xml:space="preserve">The disclosure requirements attending the College’s reserves policy in the Annual Report, as set out in the Statement of Recommended Practice 2015, were also noted. </w:t>
            </w:r>
          </w:p>
          <w:p w14:paraId="74E45370" w14:textId="77777777" w:rsidR="00404EAD" w:rsidRDefault="00404EAD" w:rsidP="00404EAD">
            <w:pPr>
              <w:contextualSpacing/>
              <w:rPr>
                <w:rFonts w:ascii="Verdana" w:hAnsi="Verdana"/>
              </w:rPr>
            </w:pPr>
          </w:p>
          <w:p w14:paraId="7AD76E0F" w14:textId="77777777" w:rsidR="00404EAD" w:rsidRDefault="00404EAD" w:rsidP="00404EAD">
            <w:pPr>
              <w:contextualSpacing/>
              <w:rPr>
                <w:rFonts w:ascii="Verdana" w:hAnsi="Verdana"/>
              </w:rPr>
            </w:pPr>
            <w:r>
              <w:rPr>
                <w:rFonts w:ascii="Verdana" w:hAnsi="Verdana"/>
              </w:rPr>
              <w:t>Members commented that</w:t>
            </w:r>
            <w:r w:rsidR="00BA6375">
              <w:rPr>
                <w:rFonts w:ascii="Verdana" w:hAnsi="Verdana"/>
              </w:rPr>
              <w:t>, although it is important for a reserves policy to be place, the virtual guarantee of continuing government funding places a lower degree of strain on its operation.</w:t>
            </w:r>
          </w:p>
          <w:p w14:paraId="430C28EF" w14:textId="77777777" w:rsidR="00BA6375" w:rsidRDefault="00BA6375" w:rsidP="00404EAD">
            <w:pPr>
              <w:contextualSpacing/>
              <w:rPr>
                <w:rFonts w:ascii="Verdana" w:hAnsi="Verdana"/>
              </w:rPr>
            </w:pPr>
          </w:p>
          <w:p w14:paraId="7DBE78C7" w14:textId="431FE9B6" w:rsidR="00BA6375" w:rsidRPr="00A75E90" w:rsidRDefault="00BA6375" w:rsidP="00404EAD">
            <w:pPr>
              <w:contextualSpacing/>
              <w:rPr>
                <w:rFonts w:ascii="Verdana" w:hAnsi="Verdana"/>
              </w:rPr>
            </w:pPr>
            <w:r>
              <w:rPr>
                <w:rFonts w:ascii="Verdana" w:hAnsi="Verdana"/>
              </w:rPr>
              <w:t>The policy was approved by the Committee on behalf of the Corporation.</w:t>
            </w:r>
          </w:p>
        </w:tc>
      </w:tr>
    </w:tbl>
    <w:p w14:paraId="6AC6C223" w14:textId="6612AEF3" w:rsidR="0020631C" w:rsidRDefault="0020631C" w:rsidP="004F4C55"/>
    <w:tbl>
      <w:tblPr>
        <w:tblW w:w="9322" w:type="dxa"/>
        <w:tblLook w:val="04A0" w:firstRow="1" w:lastRow="0" w:firstColumn="1" w:lastColumn="0" w:noHBand="0" w:noVBand="1"/>
      </w:tblPr>
      <w:tblGrid>
        <w:gridCol w:w="534"/>
        <w:gridCol w:w="8788"/>
      </w:tblGrid>
      <w:tr w:rsidR="00E7455A" w:rsidRPr="003307CF" w14:paraId="3203DDEB" w14:textId="77777777" w:rsidTr="00C25D58">
        <w:tc>
          <w:tcPr>
            <w:tcW w:w="534" w:type="dxa"/>
          </w:tcPr>
          <w:p w14:paraId="6F0A2A4A" w14:textId="157AA5C3" w:rsidR="00E7455A" w:rsidRPr="003307CF" w:rsidRDefault="00E7455A" w:rsidP="00C91791">
            <w:pPr>
              <w:rPr>
                <w:rFonts w:ascii="Verdana" w:hAnsi="Verdana"/>
                <w:b/>
              </w:rPr>
            </w:pPr>
            <w:r>
              <w:rPr>
                <w:rFonts w:ascii="Verdana" w:hAnsi="Verdana"/>
                <w:b/>
              </w:rPr>
              <w:t>10</w:t>
            </w:r>
          </w:p>
        </w:tc>
        <w:tc>
          <w:tcPr>
            <w:tcW w:w="8788" w:type="dxa"/>
          </w:tcPr>
          <w:p w14:paraId="41109BB4" w14:textId="77777777" w:rsidR="00E7455A" w:rsidRDefault="00E7455A" w:rsidP="00E7455A">
            <w:pPr>
              <w:pStyle w:val="NoSpacing"/>
              <w:rPr>
                <w:rFonts w:ascii="Verdana" w:hAnsi="Verdana"/>
                <w:b/>
              </w:rPr>
            </w:pPr>
            <w:r>
              <w:rPr>
                <w:rFonts w:ascii="Verdana" w:hAnsi="Verdana"/>
                <w:b/>
              </w:rPr>
              <w:t>Health &amp; Safety Annual Report 2020</w:t>
            </w:r>
          </w:p>
          <w:p w14:paraId="0CBE8CBD" w14:textId="77777777" w:rsidR="00E7455A" w:rsidRPr="003307CF" w:rsidRDefault="00E7455A" w:rsidP="00C91791">
            <w:pPr>
              <w:rPr>
                <w:rFonts w:ascii="Verdana" w:hAnsi="Verdana"/>
                <w:b/>
              </w:rPr>
            </w:pPr>
          </w:p>
          <w:p w14:paraId="00803AB2" w14:textId="77777777" w:rsidR="00E7455A" w:rsidRDefault="00E7455A" w:rsidP="00C91791">
            <w:pPr>
              <w:contextualSpacing/>
              <w:rPr>
                <w:rFonts w:ascii="Verdana" w:hAnsi="Verdana"/>
              </w:rPr>
            </w:pPr>
            <w:r>
              <w:rPr>
                <w:rFonts w:ascii="Verdana" w:hAnsi="Verdana"/>
              </w:rPr>
              <w:t xml:space="preserve">It was </w:t>
            </w:r>
            <w:r w:rsidR="00A45C7F">
              <w:rPr>
                <w:rFonts w:ascii="Verdana" w:hAnsi="Verdana"/>
              </w:rPr>
              <w:t>agre</w:t>
            </w:r>
            <w:r>
              <w:rPr>
                <w:rFonts w:ascii="Verdana" w:hAnsi="Verdana"/>
              </w:rPr>
              <w:t xml:space="preserve">ed that, owing to operational reasons </w:t>
            </w:r>
            <w:r w:rsidR="00A45C7F">
              <w:rPr>
                <w:rFonts w:ascii="Verdana" w:hAnsi="Verdana"/>
              </w:rPr>
              <w:t>attending</w:t>
            </w:r>
            <w:r>
              <w:rPr>
                <w:rFonts w:ascii="Verdana" w:hAnsi="Verdana"/>
              </w:rPr>
              <w:t xml:space="preserve"> the “lockdown” and shielding arrangements for </w:t>
            </w:r>
            <w:r w:rsidR="00A45C7F">
              <w:rPr>
                <w:rFonts w:ascii="Verdana" w:hAnsi="Verdana"/>
              </w:rPr>
              <w:t>a</w:t>
            </w:r>
            <w:r>
              <w:rPr>
                <w:rFonts w:ascii="Verdana" w:hAnsi="Verdana"/>
              </w:rPr>
              <w:t xml:space="preserve"> key member of staff, consideration of this business </w:t>
            </w:r>
            <w:r w:rsidR="00BA6375">
              <w:rPr>
                <w:rFonts w:ascii="Verdana" w:hAnsi="Verdana"/>
              </w:rPr>
              <w:t>be</w:t>
            </w:r>
            <w:r>
              <w:rPr>
                <w:rFonts w:ascii="Verdana" w:hAnsi="Verdana"/>
              </w:rPr>
              <w:t xml:space="preserve"> held over to the next meeting.</w:t>
            </w:r>
          </w:p>
          <w:p w14:paraId="25286BE0" w14:textId="77777777" w:rsidR="00BA6375" w:rsidRDefault="00BA6375" w:rsidP="00C91791">
            <w:pPr>
              <w:contextualSpacing/>
              <w:rPr>
                <w:rFonts w:ascii="Verdana" w:hAnsi="Verdana"/>
              </w:rPr>
            </w:pPr>
          </w:p>
          <w:p w14:paraId="69B0784C" w14:textId="340BB267" w:rsidR="00BA6375" w:rsidRPr="003307CF" w:rsidRDefault="00EC035F" w:rsidP="00C91791">
            <w:pPr>
              <w:contextualSpacing/>
              <w:rPr>
                <w:rFonts w:ascii="Verdana" w:hAnsi="Verdana"/>
              </w:rPr>
            </w:pPr>
            <w:r>
              <w:rPr>
                <w:rFonts w:ascii="Verdana" w:hAnsi="Verdana"/>
              </w:rPr>
              <w:t>In the interim, i</w:t>
            </w:r>
            <w:r w:rsidR="00BA6375">
              <w:rPr>
                <w:rFonts w:ascii="Verdana" w:hAnsi="Verdana"/>
              </w:rPr>
              <w:t>t was reported that the Colleg</w:t>
            </w:r>
            <w:r w:rsidR="00251C3E">
              <w:rPr>
                <w:rFonts w:ascii="Verdana" w:hAnsi="Verdana"/>
              </w:rPr>
              <w:t>e</w:t>
            </w:r>
            <w:r w:rsidR="00BA6375">
              <w:rPr>
                <w:rFonts w:ascii="Verdana" w:hAnsi="Verdana"/>
              </w:rPr>
              <w:t xml:space="preserve"> is complying with</w:t>
            </w:r>
            <w:r w:rsidR="00251C3E">
              <w:rPr>
                <w:rFonts w:ascii="Verdana" w:hAnsi="Verdana"/>
              </w:rPr>
              <w:t xml:space="preserve"> all relevant current guidance in relation to the pandemic, and</w:t>
            </w:r>
            <w:r>
              <w:rPr>
                <w:rFonts w:ascii="Verdana" w:hAnsi="Verdana"/>
              </w:rPr>
              <w:t xml:space="preserve"> </w:t>
            </w:r>
            <w:r w:rsidR="00251C3E">
              <w:rPr>
                <w:rFonts w:ascii="Verdana" w:hAnsi="Verdana"/>
              </w:rPr>
              <w:t xml:space="preserve">measures will be reviewed in the context of </w:t>
            </w:r>
            <w:r w:rsidR="004920E8">
              <w:rPr>
                <w:rFonts w:ascii="Verdana" w:hAnsi="Verdana"/>
              </w:rPr>
              <w:t>an</w:t>
            </w:r>
            <w:r w:rsidR="00251C3E">
              <w:rPr>
                <w:rFonts w:ascii="Verdana" w:hAnsi="Verdana"/>
              </w:rPr>
              <w:t xml:space="preserve"> anticipated full opening of the College</w:t>
            </w:r>
            <w:r w:rsidR="004920E8">
              <w:rPr>
                <w:rFonts w:ascii="Verdana" w:hAnsi="Verdana"/>
              </w:rPr>
              <w:t xml:space="preserve"> in September</w:t>
            </w:r>
            <w:r w:rsidR="00251C3E">
              <w:rPr>
                <w:rFonts w:ascii="Verdana" w:hAnsi="Verdana"/>
              </w:rPr>
              <w:t xml:space="preserve"> taking account of fresh guidance issued in that regard.  It was confirmed that oversight of the measures, both current and prospective, is carried out through the College’s regular management structure</w:t>
            </w:r>
            <w:r w:rsidR="004920E8">
              <w:rPr>
                <w:rFonts w:ascii="Verdana" w:hAnsi="Verdana"/>
              </w:rPr>
              <w:t>s</w:t>
            </w:r>
            <w:r w:rsidR="00251C3E">
              <w:rPr>
                <w:rFonts w:ascii="Verdana" w:hAnsi="Verdana"/>
              </w:rPr>
              <w:t xml:space="preserve"> and processes and that no specialised group had been convened for th</w:t>
            </w:r>
            <w:r w:rsidR="004920E8">
              <w:rPr>
                <w:rFonts w:ascii="Verdana" w:hAnsi="Verdana"/>
              </w:rPr>
              <w:t>e</w:t>
            </w:r>
            <w:r w:rsidR="00251C3E">
              <w:rPr>
                <w:rFonts w:ascii="Verdana" w:hAnsi="Verdana"/>
              </w:rPr>
              <w:t xml:space="preserve"> purpose.</w:t>
            </w:r>
          </w:p>
        </w:tc>
      </w:tr>
    </w:tbl>
    <w:p w14:paraId="42DFEF0E" w14:textId="4A4E08FE" w:rsidR="009C7232" w:rsidRDefault="009C7232" w:rsidP="004F4C55"/>
    <w:tbl>
      <w:tblPr>
        <w:tblW w:w="9322" w:type="dxa"/>
        <w:tblLook w:val="04A0" w:firstRow="1" w:lastRow="0" w:firstColumn="1" w:lastColumn="0" w:noHBand="0" w:noVBand="1"/>
      </w:tblPr>
      <w:tblGrid>
        <w:gridCol w:w="534"/>
        <w:gridCol w:w="8788"/>
      </w:tblGrid>
      <w:tr w:rsidR="00E7455A" w:rsidRPr="003307CF" w14:paraId="4B2C4C15" w14:textId="77777777" w:rsidTr="00C25D58">
        <w:tc>
          <w:tcPr>
            <w:tcW w:w="534" w:type="dxa"/>
          </w:tcPr>
          <w:p w14:paraId="745E98FB" w14:textId="64E2AF30" w:rsidR="00E7455A" w:rsidRPr="003307CF" w:rsidRDefault="00E7455A" w:rsidP="00C91791">
            <w:pPr>
              <w:rPr>
                <w:rFonts w:ascii="Verdana" w:hAnsi="Verdana"/>
                <w:b/>
              </w:rPr>
            </w:pPr>
            <w:r>
              <w:rPr>
                <w:rFonts w:ascii="Verdana" w:hAnsi="Verdana"/>
                <w:b/>
              </w:rPr>
              <w:t>11</w:t>
            </w:r>
          </w:p>
        </w:tc>
        <w:tc>
          <w:tcPr>
            <w:tcW w:w="8788" w:type="dxa"/>
          </w:tcPr>
          <w:p w14:paraId="17A99192" w14:textId="77777777" w:rsidR="00E7455A" w:rsidRDefault="00E7455A" w:rsidP="00E7455A">
            <w:pPr>
              <w:pStyle w:val="NoSpacing"/>
              <w:rPr>
                <w:rFonts w:ascii="Verdana" w:hAnsi="Verdana"/>
                <w:b/>
              </w:rPr>
            </w:pPr>
            <w:r>
              <w:rPr>
                <w:rFonts w:ascii="Verdana" w:hAnsi="Verdana"/>
                <w:b/>
              </w:rPr>
              <w:t>Human Resources Annual Report 2018-19</w:t>
            </w:r>
          </w:p>
          <w:p w14:paraId="1B10B6E3" w14:textId="77777777" w:rsidR="00E7455A" w:rsidRPr="003307CF" w:rsidRDefault="00E7455A" w:rsidP="00C91791">
            <w:pPr>
              <w:rPr>
                <w:rFonts w:ascii="Verdana" w:hAnsi="Verdana"/>
                <w:b/>
              </w:rPr>
            </w:pPr>
          </w:p>
          <w:p w14:paraId="70A42698" w14:textId="1652EE09" w:rsidR="00E7455A" w:rsidRDefault="00E7455A" w:rsidP="00C91791">
            <w:pPr>
              <w:contextualSpacing/>
              <w:rPr>
                <w:rFonts w:ascii="Verdana" w:hAnsi="Verdana"/>
              </w:rPr>
            </w:pPr>
            <w:r>
              <w:rPr>
                <w:rFonts w:ascii="Verdana" w:hAnsi="Verdana"/>
              </w:rPr>
              <w:t>The above report, prepared by the interim HR consultant, was received and noted.</w:t>
            </w:r>
          </w:p>
          <w:p w14:paraId="0682860C" w14:textId="585D255E" w:rsidR="00251C3E" w:rsidRDefault="00251C3E" w:rsidP="00C91791">
            <w:pPr>
              <w:contextualSpacing/>
              <w:rPr>
                <w:rFonts w:ascii="Verdana" w:hAnsi="Verdana"/>
              </w:rPr>
            </w:pPr>
          </w:p>
          <w:p w14:paraId="086F6B08" w14:textId="59F11D22" w:rsidR="00251C3E" w:rsidRDefault="00251C3E" w:rsidP="00C91791">
            <w:pPr>
              <w:contextualSpacing/>
              <w:rPr>
                <w:rFonts w:ascii="Verdana" w:hAnsi="Verdana"/>
              </w:rPr>
            </w:pPr>
            <w:r>
              <w:rPr>
                <w:rFonts w:ascii="Verdana" w:hAnsi="Verdana"/>
              </w:rPr>
              <w:t xml:space="preserve">It was reported that, although delayed for operational reasons, the report is important in not only recording progress made during the </w:t>
            </w:r>
            <w:r w:rsidR="00EC035F">
              <w:rPr>
                <w:rFonts w:ascii="Verdana" w:hAnsi="Verdana"/>
              </w:rPr>
              <w:t xml:space="preserve">2018-19 </w:t>
            </w:r>
            <w:r>
              <w:rPr>
                <w:rFonts w:ascii="Verdana" w:hAnsi="Verdana"/>
              </w:rPr>
              <w:t xml:space="preserve">year but </w:t>
            </w:r>
            <w:r w:rsidR="00EC035F">
              <w:rPr>
                <w:rFonts w:ascii="Verdana" w:hAnsi="Verdana"/>
              </w:rPr>
              <w:t xml:space="preserve">also </w:t>
            </w:r>
            <w:r>
              <w:rPr>
                <w:rFonts w:ascii="Verdana" w:hAnsi="Verdana"/>
              </w:rPr>
              <w:t>in providing baseline data for the 2019-20 report which will be considered at the next meeting of the Committee.</w:t>
            </w:r>
          </w:p>
          <w:p w14:paraId="3D1575EB" w14:textId="77777777" w:rsidR="00E7455A" w:rsidRDefault="00E7455A" w:rsidP="00C91791">
            <w:pPr>
              <w:contextualSpacing/>
              <w:rPr>
                <w:rFonts w:ascii="Verdana" w:hAnsi="Verdana"/>
              </w:rPr>
            </w:pPr>
          </w:p>
          <w:p w14:paraId="6B44D856" w14:textId="154D1485" w:rsidR="00E7455A" w:rsidRPr="003307CF" w:rsidRDefault="00E7455A" w:rsidP="00C91791">
            <w:pPr>
              <w:contextualSpacing/>
              <w:rPr>
                <w:rFonts w:ascii="Verdana" w:hAnsi="Verdana"/>
              </w:rPr>
            </w:pPr>
            <w:r>
              <w:rPr>
                <w:rFonts w:ascii="Verdana" w:hAnsi="Verdana"/>
              </w:rPr>
              <w:t xml:space="preserve">It was specifically reported </w:t>
            </w:r>
            <w:r w:rsidR="00A45C7F">
              <w:rPr>
                <w:rFonts w:ascii="Verdana" w:hAnsi="Verdana"/>
              </w:rPr>
              <w:t xml:space="preserve">that </w:t>
            </w:r>
            <w:r>
              <w:rPr>
                <w:rFonts w:ascii="Verdana" w:hAnsi="Verdana"/>
              </w:rPr>
              <w:t>for the year in question:</w:t>
            </w:r>
          </w:p>
        </w:tc>
      </w:tr>
    </w:tbl>
    <w:p w14:paraId="2EBBCE38" w14:textId="75E2FAEE" w:rsidR="00F46AFE" w:rsidRDefault="00F46AFE"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8363"/>
      </w:tblGrid>
      <w:tr w:rsidR="00E7455A" w:rsidRPr="00B446C1" w14:paraId="008D8407" w14:textId="77777777" w:rsidTr="00C25D58">
        <w:tc>
          <w:tcPr>
            <w:tcW w:w="562" w:type="dxa"/>
          </w:tcPr>
          <w:p w14:paraId="05C40516" w14:textId="77777777" w:rsidR="00E7455A" w:rsidRPr="00E90B94" w:rsidRDefault="00E7455A" w:rsidP="00C91791">
            <w:pPr>
              <w:rPr>
                <w:rFonts w:ascii="Verdana" w:hAnsi="Verdana"/>
              </w:rPr>
            </w:pPr>
          </w:p>
        </w:tc>
        <w:tc>
          <w:tcPr>
            <w:tcW w:w="426" w:type="dxa"/>
          </w:tcPr>
          <w:p w14:paraId="4C03BF62" w14:textId="77777777" w:rsidR="00E7455A" w:rsidRPr="00E90B94" w:rsidRDefault="00E7455A" w:rsidP="00C91791">
            <w:pPr>
              <w:rPr>
                <w:rFonts w:ascii="Verdana" w:hAnsi="Verdana"/>
                <w:b/>
                <w:bCs/>
              </w:rPr>
            </w:pPr>
            <w:r w:rsidRPr="00E90B94">
              <w:rPr>
                <w:rFonts w:ascii="Verdana" w:hAnsi="Verdana"/>
                <w:b/>
                <w:bCs/>
              </w:rPr>
              <w:t>.</w:t>
            </w:r>
          </w:p>
        </w:tc>
        <w:tc>
          <w:tcPr>
            <w:tcW w:w="8363" w:type="dxa"/>
          </w:tcPr>
          <w:p w14:paraId="170B8529" w14:textId="75D75786" w:rsidR="00E7455A" w:rsidRPr="00E90B94" w:rsidRDefault="00E7455A" w:rsidP="00C91791">
            <w:pPr>
              <w:rPr>
                <w:rFonts w:ascii="Verdana" w:hAnsi="Verdana"/>
              </w:rPr>
            </w:pPr>
            <w:r w:rsidRPr="00E90B94">
              <w:rPr>
                <w:rFonts w:ascii="Verdana" w:hAnsi="Verdana"/>
              </w:rPr>
              <w:t xml:space="preserve">there had been greater staffing stability, and </w:t>
            </w:r>
            <w:r w:rsidR="00E90B94">
              <w:rPr>
                <w:rFonts w:ascii="Verdana" w:hAnsi="Verdana"/>
              </w:rPr>
              <w:t>therefore</w:t>
            </w:r>
            <w:r w:rsidR="00EC035F">
              <w:rPr>
                <w:rFonts w:ascii="Verdana" w:hAnsi="Verdana"/>
              </w:rPr>
              <w:t xml:space="preserve"> </w:t>
            </w:r>
            <w:r w:rsidRPr="00E90B94">
              <w:rPr>
                <w:rFonts w:ascii="Verdana" w:hAnsi="Verdana"/>
              </w:rPr>
              <w:t>less reliance on agency teaching staff;</w:t>
            </w:r>
          </w:p>
          <w:p w14:paraId="46D1FAC0" w14:textId="58462BCF" w:rsidR="00E7455A" w:rsidRPr="00E90B94" w:rsidRDefault="00E7455A" w:rsidP="00C91791">
            <w:pPr>
              <w:rPr>
                <w:rFonts w:ascii="Verdana" w:hAnsi="Verdana"/>
              </w:rPr>
            </w:pPr>
          </w:p>
        </w:tc>
      </w:tr>
      <w:tr w:rsidR="00E7455A" w:rsidRPr="00B446C1" w14:paraId="59A3831C" w14:textId="77777777" w:rsidTr="00C25D58">
        <w:tc>
          <w:tcPr>
            <w:tcW w:w="562" w:type="dxa"/>
          </w:tcPr>
          <w:p w14:paraId="636BC46C" w14:textId="77777777" w:rsidR="00E7455A" w:rsidRPr="00E90B94" w:rsidRDefault="00E7455A" w:rsidP="00C91791">
            <w:pPr>
              <w:rPr>
                <w:rFonts w:ascii="Verdana" w:hAnsi="Verdana"/>
              </w:rPr>
            </w:pPr>
          </w:p>
        </w:tc>
        <w:tc>
          <w:tcPr>
            <w:tcW w:w="426" w:type="dxa"/>
          </w:tcPr>
          <w:p w14:paraId="385B45C4" w14:textId="77777777" w:rsidR="00E7455A" w:rsidRPr="00E90B94" w:rsidRDefault="00E7455A" w:rsidP="00C91791">
            <w:pPr>
              <w:rPr>
                <w:rFonts w:ascii="Verdana" w:hAnsi="Verdana"/>
                <w:b/>
                <w:bCs/>
              </w:rPr>
            </w:pPr>
            <w:r w:rsidRPr="00E90B94">
              <w:rPr>
                <w:rFonts w:ascii="Verdana" w:hAnsi="Verdana"/>
                <w:b/>
                <w:bCs/>
              </w:rPr>
              <w:t>.</w:t>
            </w:r>
          </w:p>
        </w:tc>
        <w:tc>
          <w:tcPr>
            <w:tcW w:w="8363" w:type="dxa"/>
          </w:tcPr>
          <w:p w14:paraId="21CFE336" w14:textId="5CD81B89" w:rsidR="00E7455A" w:rsidRPr="00E90B94" w:rsidRDefault="00E7455A" w:rsidP="00C91791">
            <w:pPr>
              <w:rPr>
                <w:rFonts w:ascii="Verdana" w:eastAsia="Times New Roman" w:hAnsi="Verdana" w:cs="Calibri"/>
                <w:color w:val="000000"/>
                <w:lang w:eastAsia="en-GB"/>
              </w:rPr>
            </w:pPr>
            <w:r w:rsidRPr="00E90B94">
              <w:rPr>
                <w:rFonts w:ascii="Verdana" w:eastAsia="Times New Roman" w:hAnsi="Verdana" w:cs="Calibri"/>
                <w:color w:val="000000"/>
                <w:lang w:eastAsia="en-GB"/>
              </w:rPr>
              <w:t xml:space="preserve">staff turnover </w:t>
            </w:r>
            <w:r w:rsidR="00E90B94" w:rsidRPr="00E90B94">
              <w:rPr>
                <w:rFonts w:ascii="Verdana" w:eastAsia="Times New Roman" w:hAnsi="Verdana" w:cs="Calibri"/>
                <w:color w:val="000000"/>
                <w:lang w:eastAsia="en-GB"/>
              </w:rPr>
              <w:t>had</w:t>
            </w:r>
            <w:r w:rsidRPr="00E90B94">
              <w:rPr>
                <w:rFonts w:ascii="Verdana" w:eastAsia="Times New Roman" w:hAnsi="Verdana" w:cs="Calibri"/>
                <w:color w:val="000000"/>
                <w:lang w:eastAsia="en-GB"/>
              </w:rPr>
              <w:t xml:space="preserve"> </w:t>
            </w:r>
            <w:r w:rsidR="00A45C7F">
              <w:rPr>
                <w:rFonts w:ascii="Verdana" w:eastAsia="Times New Roman" w:hAnsi="Verdana" w:cs="Calibri"/>
                <w:color w:val="000000"/>
                <w:lang w:eastAsia="en-GB"/>
              </w:rPr>
              <w:t>m</w:t>
            </w:r>
            <w:r w:rsidR="00E90B94">
              <w:rPr>
                <w:rFonts w:ascii="Verdana" w:eastAsia="Times New Roman" w:hAnsi="Verdana" w:cs="Calibri"/>
                <w:color w:val="000000"/>
                <w:lang w:eastAsia="en-GB"/>
              </w:rPr>
              <w:t>oved</w:t>
            </w:r>
            <w:r w:rsidRPr="00E90B94">
              <w:rPr>
                <w:rFonts w:ascii="Verdana" w:eastAsia="Times New Roman" w:hAnsi="Verdana" w:cs="Calibri"/>
                <w:color w:val="000000"/>
                <w:lang w:eastAsia="en-GB"/>
              </w:rPr>
              <w:t xml:space="preserve"> </w:t>
            </w:r>
            <w:r w:rsidR="00E90B94" w:rsidRPr="00E90B94">
              <w:rPr>
                <w:rFonts w:ascii="Verdana" w:eastAsia="Times New Roman" w:hAnsi="Verdana" w:cs="Calibri"/>
                <w:color w:val="000000"/>
                <w:lang w:eastAsia="en-GB"/>
              </w:rPr>
              <w:t>close</w:t>
            </w:r>
            <w:r w:rsidR="00E90B94">
              <w:rPr>
                <w:rFonts w:ascii="Verdana" w:eastAsia="Times New Roman" w:hAnsi="Verdana" w:cs="Calibri"/>
                <w:color w:val="000000"/>
                <w:lang w:eastAsia="en-GB"/>
              </w:rPr>
              <w:t>r</w:t>
            </w:r>
            <w:r w:rsidRPr="00E90B94">
              <w:rPr>
                <w:rFonts w:ascii="Verdana" w:eastAsia="Times New Roman" w:hAnsi="Verdana" w:cs="Calibri"/>
                <w:color w:val="000000"/>
                <w:lang w:eastAsia="en-GB"/>
              </w:rPr>
              <w:t xml:space="preserve"> to the 2018 average public sector turnover rate of 16%</w:t>
            </w:r>
            <w:r w:rsidR="00E90B94" w:rsidRPr="00E90B94">
              <w:rPr>
                <w:rFonts w:ascii="Verdana" w:eastAsia="Times New Roman" w:hAnsi="Verdana" w:cs="Calibri"/>
                <w:color w:val="000000"/>
                <w:lang w:eastAsia="en-GB"/>
              </w:rPr>
              <w:t>;</w:t>
            </w:r>
          </w:p>
          <w:p w14:paraId="20904493" w14:textId="61840C11" w:rsidR="00E90B94" w:rsidRPr="00E90B94" w:rsidRDefault="00E90B94" w:rsidP="00C91791">
            <w:pPr>
              <w:rPr>
                <w:rFonts w:ascii="Verdana" w:hAnsi="Verdana"/>
              </w:rPr>
            </w:pPr>
          </w:p>
        </w:tc>
      </w:tr>
      <w:tr w:rsidR="00E7455A" w:rsidRPr="00B446C1" w14:paraId="72A460E3" w14:textId="77777777" w:rsidTr="00C25D58">
        <w:tc>
          <w:tcPr>
            <w:tcW w:w="562" w:type="dxa"/>
          </w:tcPr>
          <w:p w14:paraId="70E99C7D" w14:textId="77777777" w:rsidR="00E7455A" w:rsidRPr="00E90B94" w:rsidRDefault="00E7455A" w:rsidP="00C91791">
            <w:pPr>
              <w:rPr>
                <w:rFonts w:ascii="Verdana" w:hAnsi="Verdana"/>
              </w:rPr>
            </w:pPr>
          </w:p>
        </w:tc>
        <w:tc>
          <w:tcPr>
            <w:tcW w:w="426" w:type="dxa"/>
          </w:tcPr>
          <w:p w14:paraId="4D256703" w14:textId="77777777" w:rsidR="00E7455A" w:rsidRPr="00E90B94" w:rsidRDefault="00E7455A" w:rsidP="00C91791">
            <w:pPr>
              <w:rPr>
                <w:rFonts w:ascii="Verdana" w:hAnsi="Verdana"/>
                <w:b/>
                <w:bCs/>
              </w:rPr>
            </w:pPr>
            <w:r w:rsidRPr="00E90B94">
              <w:rPr>
                <w:rFonts w:ascii="Verdana" w:hAnsi="Verdana"/>
                <w:b/>
                <w:bCs/>
              </w:rPr>
              <w:t>.</w:t>
            </w:r>
          </w:p>
        </w:tc>
        <w:tc>
          <w:tcPr>
            <w:tcW w:w="8363" w:type="dxa"/>
          </w:tcPr>
          <w:p w14:paraId="68DE2A21" w14:textId="69A53C4C" w:rsidR="00E90B94" w:rsidRPr="00E90B94" w:rsidRDefault="00E90B94" w:rsidP="00E90B94">
            <w:pPr>
              <w:rPr>
                <w:rFonts w:ascii="Verdana" w:hAnsi="Verdana"/>
              </w:rPr>
            </w:pPr>
            <w:r w:rsidRPr="00E90B94">
              <w:rPr>
                <w:rFonts w:ascii="Verdana" w:hAnsi="Verdana"/>
              </w:rPr>
              <w:t>the number of formal performance management actions had remained low;</w:t>
            </w:r>
          </w:p>
          <w:p w14:paraId="2EEDC4D1" w14:textId="77777777" w:rsidR="00E7455A" w:rsidRPr="00E90B94" w:rsidRDefault="00E7455A" w:rsidP="00C91791">
            <w:pPr>
              <w:rPr>
                <w:rFonts w:ascii="Verdana" w:hAnsi="Verdana"/>
                <w:i/>
                <w:iCs/>
              </w:rPr>
            </w:pPr>
          </w:p>
        </w:tc>
      </w:tr>
      <w:tr w:rsidR="00E7455A" w:rsidRPr="00B446C1" w14:paraId="67416223" w14:textId="77777777" w:rsidTr="00C25D58">
        <w:tc>
          <w:tcPr>
            <w:tcW w:w="562" w:type="dxa"/>
          </w:tcPr>
          <w:p w14:paraId="2725D1F0" w14:textId="77777777" w:rsidR="00E7455A" w:rsidRPr="00E90B94" w:rsidRDefault="00E7455A" w:rsidP="00C91791">
            <w:pPr>
              <w:rPr>
                <w:rFonts w:ascii="Verdana" w:hAnsi="Verdana"/>
              </w:rPr>
            </w:pPr>
          </w:p>
        </w:tc>
        <w:tc>
          <w:tcPr>
            <w:tcW w:w="426" w:type="dxa"/>
          </w:tcPr>
          <w:p w14:paraId="70F3A632" w14:textId="77777777" w:rsidR="00E7455A" w:rsidRPr="00E90B94" w:rsidRDefault="00E7455A" w:rsidP="00C91791">
            <w:pPr>
              <w:rPr>
                <w:rFonts w:ascii="Verdana" w:hAnsi="Verdana"/>
                <w:b/>
                <w:bCs/>
              </w:rPr>
            </w:pPr>
            <w:r w:rsidRPr="00E90B94">
              <w:rPr>
                <w:rFonts w:ascii="Verdana" w:hAnsi="Verdana"/>
                <w:b/>
                <w:bCs/>
              </w:rPr>
              <w:t>.</w:t>
            </w:r>
          </w:p>
        </w:tc>
        <w:tc>
          <w:tcPr>
            <w:tcW w:w="8363" w:type="dxa"/>
          </w:tcPr>
          <w:p w14:paraId="6163903E" w14:textId="563AAE21" w:rsidR="00E7455A" w:rsidRPr="00E90B94" w:rsidRDefault="00E90B94" w:rsidP="00C91791">
            <w:pPr>
              <w:rPr>
                <w:rFonts w:ascii="Verdana" w:hAnsi="Verdana"/>
              </w:rPr>
            </w:pPr>
            <w:r w:rsidRPr="00E90B94">
              <w:rPr>
                <w:rFonts w:ascii="Verdana" w:hAnsi="Verdana"/>
              </w:rPr>
              <w:t>improved sickness monitoring arrangements had been operated resulting in a</w:t>
            </w:r>
            <w:r w:rsidR="00A45C7F">
              <w:rPr>
                <w:rFonts w:ascii="Verdana" w:hAnsi="Verdana"/>
              </w:rPr>
              <w:t xml:space="preserve"> more</w:t>
            </w:r>
            <w:r w:rsidRPr="00E90B94">
              <w:rPr>
                <w:rFonts w:ascii="Verdana" w:hAnsi="Verdana"/>
              </w:rPr>
              <w:t xml:space="preserve"> accurate record</w:t>
            </w:r>
            <w:r w:rsidR="00A45C7F">
              <w:rPr>
                <w:rFonts w:ascii="Verdana" w:hAnsi="Verdana"/>
              </w:rPr>
              <w:t xml:space="preserve"> being maintained</w:t>
            </w:r>
            <w:r w:rsidRPr="00E90B94">
              <w:rPr>
                <w:rFonts w:ascii="Verdana" w:hAnsi="Verdana"/>
              </w:rPr>
              <w:t>;</w:t>
            </w:r>
          </w:p>
          <w:p w14:paraId="4E3BCD57" w14:textId="17097894" w:rsidR="00E90B94" w:rsidRPr="00E90B94" w:rsidRDefault="00E90B94" w:rsidP="00C91791">
            <w:pPr>
              <w:rPr>
                <w:rFonts w:ascii="Verdana" w:hAnsi="Verdana"/>
              </w:rPr>
            </w:pPr>
          </w:p>
        </w:tc>
      </w:tr>
      <w:tr w:rsidR="00E90B94" w:rsidRPr="00B446C1" w14:paraId="34019CB8" w14:textId="77777777" w:rsidTr="00C25D58">
        <w:tc>
          <w:tcPr>
            <w:tcW w:w="562" w:type="dxa"/>
          </w:tcPr>
          <w:p w14:paraId="61C986E9" w14:textId="77777777" w:rsidR="00E90B94" w:rsidRPr="00E90B94" w:rsidRDefault="00E90B94" w:rsidP="00C91791">
            <w:pPr>
              <w:rPr>
                <w:rFonts w:ascii="Verdana" w:hAnsi="Verdana"/>
              </w:rPr>
            </w:pPr>
          </w:p>
        </w:tc>
        <w:tc>
          <w:tcPr>
            <w:tcW w:w="426" w:type="dxa"/>
          </w:tcPr>
          <w:p w14:paraId="0B49904F" w14:textId="3CE608B9" w:rsidR="00E90B94" w:rsidRPr="00E90B94" w:rsidRDefault="00E90B94" w:rsidP="00C91791">
            <w:pPr>
              <w:rPr>
                <w:rFonts w:ascii="Verdana" w:hAnsi="Verdana"/>
                <w:b/>
                <w:bCs/>
              </w:rPr>
            </w:pPr>
            <w:r>
              <w:rPr>
                <w:rFonts w:ascii="Verdana" w:hAnsi="Verdana"/>
                <w:b/>
                <w:bCs/>
              </w:rPr>
              <w:t>.</w:t>
            </w:r>
          </w:p>
        </w:tc>
        <w:tc>
          <w:tcPr>
            <w:tcW w:w="8363" w:type="dxa"/>
          </w:tcPr>
          <w:p w14:paraId="601FBF9E" w14:textId="0D80162A" w:rsidR="00E90B94" w:rsidRPr="00E90B94" w:rsidRDefault="00E90B94" w:rsidP="00C91791">
            <w:pPr>
              <w:rPr>
                <w:rFonts w:ascii="Verdana" w:hAnsi="Verdana"/>
              </w:rPr>
            </w:pPr>
            <w:r w:rsidRPr="00E90B94">
              <w:rPr>
                <w:rFonts w:ascii="Verdana" w:hAnsi="Verdana"/>
              </w:rPr>
              <w:t xml:space="preserve">the amount of training delivered in-house or online </w:t>
            </w:r>
            <w:r w:rsidR="00A45C7F">
              <w:rPr>
                <w:rFonts w:ascii="Verdana" w:hAnsi="Verdana"/>
              </w:rPr>
              <w:t xml:space="preserve">had </w:t>
            </w:r>
            <w:r w:rsidRPr="00E90B94">
              <w:rPr>
                <w:rFonts w:ascii="Verdana" w:hAnsi="Verdana"/>
              </w:rPr>
              <w:t>increased, in line with sector trends;</w:t>
            </w:r>
          </w:p>
          <w:p w14:paraId="2031DD40" w14:textId="44E35424" w:rsidR="00E90B94" w:rsidRPr="00E90B94" w:rsidRDefault="00E90B94" w:rsidP="00C91791">
            <w:pPr>
              <w:rPr>
                <w:rFonts w:ascii="Verdana" w:hAnsi="Verdana"/>
              </w:rPr>
            </w:pPr>
          </w:p>
        </w:tc>
      </w:tr>
      <w:tr w:rsidR="00E90B94" w:rsidRPr="00B446C1" w14:paraId="701473F1" w14:textId="77777777" w:rsidTr="00C25D58">
        <w:tc>
          <w:tcPr>
            <w:tcW w:w="562" w:type="dxa"/>
          </w:tcPr>
          <w:p w14:paraId="4F87EE7A" w14:textId="77777777" w:rsidR="00E90B94" w:rsidRPr="00E90B94" w:rsidRDefault="00E90B94" w:rsidP="00C91791">
            <w:pPr>
              <w:rPr>
                <w:rFonts w:ascii="Verdana" w:hAnsi="Verdana"/>
              </w:rPr>
            </w:pPr>
          </w:p>
        </w:tc>
        <w:tc>
          <w:tcPr>
            <w:tcW w:w="426" w:type="dxa"/>
          </w:tcPr>
          <w:p w14:paraId="2CD49C5B" w14:textId="2210F0DE" w:rsidR="00E90B94" w:rsidRPr="00E90B94" w:rsidRDefault="00E90B94" w:rsidP="00C91791">
            <w:pPr>
              <w:rPr>
                <w:rFonts w:ascii="Verdana" w:hAnsi="Verdana"/>
                <w:b/>
                <w:bCs/>
              </w:rPr>
            </w:pPr>
            <w:r w:rsidRPr="00E90B94">
              <w:rPr>
                <w:rFonts w:ascii="Verdana" w:hAnsi="Verdana"/>
                <w:b/>
                <w:bCs/>
              </w:rPr>
              <w:t>.</w:t>
            </w:r>
          </w:p>
        </w:tc>
        <w:tc>
          <w:tcPr>
            <w:tcW w:w="8363" w:type="dxa"/>
          </w:tcPr>
          <w:p w14:paraId="2569AFAE" w14:textId="1A796CCC" w:rsidR="00E90B94" w:rsidRPr="00E90B94" w:rsidRDefault="00E90B94" w:rsidP="00C91791">
            <w:pPr>
              <w:rPr>
                <w:rFonts w:ascii="Verdana" w:hAnsi="Verdana"/>
                <w:i/>
                <w:iCs/>
              </w:rPr>
            </w:pPr>
            <w:r w:rsidRPr="00E90B94">
              <w:rPr>
                <w:rFonts w:ascii="Verdana" w:hAnsi="Verdana"/>
              </w:rPr>
              <w:t xml:space="preserve">the </w:t>
            </w:r>
            <w:r w:rsidR="00A45C7F">
              <w:rPr>
                <w:rFonts w:ascii="Verdana" w:hAnsi="Verdana"/>
              </w:rPr>
              <w:t xml:space="preserve">staff </w:t>
            </w:r>
            <w:r w:rsidRPr="00E90B94">
              <w:rPr>
                <w:rFonts w:ascii="Verdana" w:hAnsi="Verdana"/>
              </w:rPr>
              <w:t>age and gender profile</w:t>
            </w:r>
            <w:r w:rsidR="00A45C7F">
              <w:rPr>
                <w:rFonts w:ascii="Verdana" w:hAnsi="Verdana"/>
              </w:rPr>
              <w:t>s</w:t>
            </w:r>
            <w:r w:rsidRPr="00E90B94">
              <w:rPr>
                <w:rFonts w:ascii="Verdana" w:hAnsi="Verdana"/>
              </w:rPr>
              <w:t xml:space="preserve"> had remained typical of the education sector, with </w:t>
            </w:r>
            <w:r w:rsidR="00EC035F">
              <w:rPr>
                <w:rFonts w:ascii="Verdana" w:hAnsi="Verdana"/>
              </w:rPr>
              <w:t>a majority of</w:t>
            </w:r>
            <w:r w:rsidRPr="00E90B94">
              <w:rPr>
                <w:rFonts w:ascii="Verdana" w:hAnsi="Verdana"/>
              </w:rPr>
              <w:t xml:space="preserve"> staff being under 50 and female; </w:t>
            </w:r>
            <w:r w:rsidRPr="00E90B94">
              <w:rPr>
                <w:rFonts w:ascii="Verdana" w:hAnsi="Verdana"/>
                <w:i/>
                <w:iCs/>
              </w:rPr>
              <w:t>and</w:t>
            </w:r>
          </w:p>
          <w:p w14:paraId="737F2752" w14:textId="26F523C3" w:rsidR="00E90B94" w:rsidRPr="00E90B94" w:rsidRDefault="00E90B94" w:rsidP="00C91791">
            <w:pPr>
              <w:rPr>
                <w:rFonts w:ascii="Verdana" w:hAnsi="Verdana"/>
              </w:rPr>
            </w:pPr>
          </w:p>
        </w:tc>
      </w:tr>
      <w:tr w:rsidR="00E90B94" w:rsidRPr="00B446C1" w14:paraId="5FA0F6FE" w14:textId="77777777" w:rsidTr="00C25D58">
        <w:tc>
          <w:tcPr>
            <w:tcW w:w="562" w:type="dxa"/>
          </w:tcPr>
          <w:p w14:paraId="5BB0C7D4" w14:textId="77777777" w:rsidR="00E90B94" w:rsidRPr="00E90B94" w:rsidRDefault="00E90B94" w:rsidP="00C91791">
            <w:pPr>
              <w:rPr>
                <w:rFonts w:ascii="Verdana" w:hAnsi="Verdana"/>
              </w:rPr>
            </w:pPr>
          </w:p>
        </w:tc>
        <w:tc>
          <w:tcPr>
            <w:tcW w:w="426" w:type="dxa"/>
          </w:tcPr>
          <w:p w14:paraId="27EF03C8" w14:textId="7EF52F9D" w:rsidR="00E90B94" w:rsidRPr="00E90B94" w:rsidRDefault="00E90B94" w:rsidP="00C91791">
            <w:pPr>
              <w:rPr>
                <w:rFonts w:ascii="Verdana" w:hAnsi="Verdana"/>
                <w:b/>
                <w:bCs/>
              </w:rPr>
            </w:pPr>
            <w:r w:rsidRPr="00E90B94">
              <w:rPr>
                <w:rFonts w:ascii="Verdana" w:hAnsi="Verdana"/>
                <w:b/>
                <w:bCs/>
              </w:rPr>
              <w:t>.</w:t>
            </w:r>
          </w:p>
        </w:tc>
        <w:tc>
          <w:tcPr>
            <w:tcW w:w="8363" w:type="dxa"/>
          </w:tcPr>
          <w:p w14:paraId="1770DB7D" w14:textId="45B5C71A" w:rsidR="00E90B94" w:rsidRPr="00E90B94" w:rsidRDefault="00E90B94" w:rsidP="00C91791">
            <w:pPr>
              <w:rPr>
                <w:rFonts w:ascii="Verdana" w:hAnsi="Verdana"/>
              </w:rPr>
            </w:pPr>
            <w:r w:rsidRPr="00E90B94">
              <w:rPr>
                <w:rFonts w:ascii="Verdana" w:hAnsi="Verdana"/>
              </w:rPr>
              <w:t>the College management profile had remained skewed by comparison with the overall staff profile in terms of gender and ethnicity.</w:t>
            </w:r>
          </w:p>
        </w:tc>
      </w:tr>
    </w:tbl>
    <w:p w14:paraId="1FC16C55" w14:textId="6D623FA7" w:rsidR="00F46AFE" w:rsidRDefault="00F46AFE" w:rsidP="004F4C55"/>
    <w:tbl>
      <w:tblPr>
        <w:tblW w:w="9322" w:type="dxa"/>
        <w:tblLook w:val="04A0" w:firstRow="1" w:lastRow="0" w:firstColumn="1" w:lastColumn="0" w:noHBand="0" w:noVBand="1"/>
      </w:tblPr>
      <w:tblGrid>
        <w:gridCol w:w="534"/>
        <w:gridCol w:w="8788"/>
      </w:tblGrid>
      <w:tr w:rsidR="00E90B94" w:rsidRPr="00A75E90" w14:paraId="4717E9F4" w14:textId="77777777" w:rsidTr="00C25D58">
        <w:tc>
          <w:tcPr>
            <w:tcW w:w="534" w:type="dxa"/>
          </w:tcPr>
          <w:p w14:paraId="0510A9CD" w14:textId="77777777" w:rsidR="00E90B94" w:rsidRPr="00A75E90" w:rsidRDefault="00E90B94" w:rsidP="00C91791">
            <w:pPr>
              <w:rPr>
                <w:rFonts w:ascii="Verdana" w:hAnsi="Verdana"/>
                <w:b/>
              </w:rPr>
            </w:pPr>
          </w:p>
        </w:tc>
        <w:tc>
          <w:tcPr>
            <w:tcW w:w="8788" w:type="dxa"/>
          </w:tcPr>
          <w:p w14:paraId="385976C0" w14:textId="77777777" w:rsidR="00E90B94" w:rsidRDefault="00E90B94" w:rsidP="00C91791">
            <w:pPr>
              <w:contextualSpacing/>
              <w:rPr>
                <w:rFonts w:ascii="Verdana" w:hAnsi="Verdana"/>
              </w:rPr>
            </w:pPr>
            <w:r>
              <w:rPr>
                <w:rFonts w:ascii="Verdana" w:hAnsi="Verdana"/>
              </w:rPr>
              <w:t xml:space="preserve">Members </w:t>
            </w:r>
            <w:r w:rsidR="00251C3E">
              <w:rPr>
                <w:rFonts w:ascii="Verdana" w:hAnsi="Verdana"/>
              </w:rPr>
              <w:t>ask</w:t>
            </w:r>
            <w:r>
              <w:rPr>
                <w:rFonts w:ascii="Verdana" w:hAnsi="Verdana"/>
              </w:rPr>
              <w:t>ed that</w:t>
            </w:r>
            <w:r w:rsidR="00251C3E">
              <w:rPr>
                <w:rFonts w:ascii="Verdana" w:hAnsi="Verdana"/>
              </w:rPr>
              <w:t xml:space="preserve"> the financial implications of any disciplinary proceedings be included in the next report, whilst noting that none had attended the matters reported for 2018-19.</w:t>
            </w:r>
          </w:p>
          <w:p w14:paraId="7763A7A0" w14:textId="77777777" w:rsidR="00251C3E" w:rsidRDefault="00251C3E" w:rsidP="00C91791">
            <w:pPr>
              <w:contextualSpacing/>
              <w:rPr>
                <w:rFonts w:ascii="Verdana" w:hAnsi="Verdana"/>
              </w:rPr>
            </w:pPr>
          </w:p>
          <w:p w14:paraId="7322CF3B" w14:textId="75A77392" w:rsidR="00251C3E" w:rsidRDefault="00251C3E" w:rsidP="00C91791">
            <w:pPr>
              <w:contextualSpacing/>
              <w:rPr>
                <w:rFonts w:ascii="Verdana" w:hAnsi="Verdana"/>
              </w:rPr>
            </w:pPr>
            <w:r>
              <w:rPr>
                <w:rFonts w:ascii="Verdana" w:hAnsi="Verdana"/>
              </w:rPr>
              <w:t xml:space="preserve">It was also reported that, despite the period of College closure, most vacancies, including key teaching vacancies, had been filled, demonstrating the generally positive light in which the College is now viewed within the sector and the local area.  A trend had also been observed towards staff transferring </w:t>
            </w:r>
            <w:r w:rsidR="00EC035F">
              <w:rPr>
                <w:rFonts w:ascii="Verdana" w:hAnsi="Verdana"/>
              </w:rPr>
              <w:t>between</w:t>
            </w:r>
            <w:r>
              <w:rPr>
                <w:rFonts w:ascii="Verdana" w:hAnsi="Verdana"/>
              </w:rPr>
              <w:t xml:space="preserve"> school and College </w:t>
            </w:r>
            <w:r w:rsidR="00EC035F">
              <w:rPr>
                <w:rFonts w:ascii="Verdana" w:hAnsi="Verdana"/>
              </w:rPr>
              <w:t>pos</w:t>
            </w:r>
            <w:r>
              <w:rPr>
                <w:rFonts w:ascii="Verdana" w:hAnsi="Verdana"/>
              </w:rPr>
              <w:t xml:space="preserve">ts </w:t>
            </w:r>
            <w:r w:rsidR="00EC035F">
              <w:rPr>
                <w:rFonts w:ascii="Verdana" w:hAnsi="Verdana"/>
              </w:rPr>
              <w:t xml:space="preserve">thereby </w:t>
            </w:r>
            <w:r>
              <w:rPr>
                <w:rFonts w:ascii="Verdana" w:hAnsi="Verdana"/>
              </w:rPr>
              <w:t>contributing to a more integrated perception of educational provision.</w:t>
            </w:r>
          </w:p>
          <w:p w14:paraId="3A9612EC" w14:textId="77777777" w:rsidR="00251C3E" w:rsidRDefault="00251C3E" w:rsidP="00C91791">
            <w:pPr>
              <w:contextualSpacing/>
              <w:rPr>
                <w:rFonts w:ascii="Verdana" w:hAnsi="Verdana"/>
              </w:rPr>
            </w:pPr>
          </w:p>
          <w:p w14:paraId="6B4EBF90" w14:textId="68CC4956" w:rsidR="007C4167" w:rsidRPr="00A75E90" w:rsidRDefault="00251C3E" w:rsidP="00C91791">
            <w:pPr>
              <w:contextualSpacing/>
              <w:rPr>
                <w:rFonts w:ascii="Verdana" w:hAnsi="Verdana"/>
              </w:rPr>
            </w:pPr>
            <w:r>
              <w:rPr>
                <w:rFonts w:ascii="Verdana" w:hAnsi="Verdana"/>
              </w:rPr>
              <w:t xml:space="preserve">Attention was drawn to the </w:t>
            </w:r>
            <w:r w:rsidR="007C4167">
              <w:rPr>
                <w:rFonts w:ascii="Verdana" w:hAnsi="Verdana"/>
              </w:rPr>
              <w:t xml:space="preserve">contrast in gender and ethnicity </w:t>
            </w:r>
            <w:r w:rsidR="00EC035F">
              <w:rPr>
                <w:rFonts w:ascii="Verdana" w:hAnsi="Verdana"/>
              </w:rPr>
              <w:t>data</w:t>
            </w:r>
            <w:r w:rsidR="007C4167">
              <w:rPr>
                <w:rFonts w:ascii="Verdana" w:hAnsi="Verdana"/>
              </w:rPr>
              <w:t xml:space="preserve"> between those in management roles and the generality of staff.  In response it was reported that, since most appointments to management roles are internal promotions, the contrast should become less marked over time, even without any special initiatives to harmonise them.  It was agreed that such initiatives may be difficult to operate equitably in all instances, but </w:t>
            </w:r>
            <w:r w:rsidR="004920E8">
              <w:rPr>
                <w:rFonts w:ascii="Verdana" w:hAnsi="Verdana"/>
              </w:rPr>
              <w:t>t</w:t>
            </w:r>
            <w:r w:rsidR="007C4167">
              <w:rPr>
                <w:rFonts w:ascii="Verdana" w:hAnsi="Verdana"/>
              </w:rPr>
              <w:t xml:space="preserve">hat </w:t>
            </w:r>
            <w:r w:rsidR="004920E8">
              <w:rPr>
                <w:rFonts w:ascii="Verdana" w:hAnsi="Verdana"/>
              </w:rPr>
              <w:t>gender and ethnicity</w:t>
            </w:r>
            <w:r w:rsidR="007C4167">
              <w:rPr>
                <w:rFonts w:ascii="Verdana" w:hAnsi="Verdana"/>
              </w:rPr>
              <w:t xml:space="preserve"> data</w:t>
            </w:r>
            <w:r w:rsidR="004920E8">
              <w:rPr>
                <w:rFonts w:ascii="Verdana" w:hAnsi="Verdana"/>
              </w:rPr>
              <w:t xml:space="preserve"> for managerial roles</w:t>
            </w:r>
            <w:r w:rsidR="007C4167">
              <w:rPr>
                <w:rFonts w:ascii="Verdana" w:hAnsi="Verdana"/>
              </w:rPr>
              <w:t xml:space="preserve"> should be monitored at least annually</w:t>
            </w:r>
            <w:r w:rsidR="004920E8">
              <w:rPr>
                <w:rFonts w:ascii="Verdana" w:hAnsi="Verdana"/>
              </w:rPr>
              <w:t xml:space="preserve"> </w:t>
            </w:r>
            <w:r w:rsidR="007C4167">
              <w:rPr>
                <w:rFonts w:ascii="Verdana" w:hAnsi="Verdana"/>
              </w:rPr>
              <w:t>to ensure that anticipated progress is being achieved.</w:t>
            </w:r>
          </w:p>
        </w:tc>
      </w:tr>
    </w:tbl>
    <w:p w14:paraId="6D30D2B7" w14:textId="2287C701" w:rsidR="00E90B94" w:rsidRDefault="00E90B94" w:rsidP="004F4C55"/>
    <w:p w14:paraId="4DEA2A75" w14:textId="2B6BB414" w:rsidR="00C25D58" w:rsidRDefault="00C25D58" w:rsidP="004F4C55"/>
    <w:p w14:paraId="5DE83A7B" w14:textId="31186B02" w:rsidR="00C25D58" w:rsidRDefault="00C25D58" w:rsidP="004F4C55"/>
    <w:p w14:paraId="1F578F8F" w14:textId="1D99C7A4" w:rsidR="00C25D58" w:rsidRDefault="00C25D58" w:rsidP="004F4C55"/>
    <w:p w14:paraId="2F8C9CC5" w14:textId="40670244" w:rsidR="00C25D58" w:rsidRDefault="00C25D58" w:rsidP="004F4C55"/>
    <w:p w14:paraId="4ACEB63B" w14:textId="7731D2DE" w:rsidR="00C25D58" w:rsidRDefault="00C25D58" w:rsidP="004F4C55"/>
    <w:p w14:paraId="4D737BE5" w14:textId="6264D3BC" w:rsidR="00C25D58" w:rsidRDefault="00C25D58" w:rsidP="004F4C55"/>
    <w:p w14:paraId="511BC171" w14:textId="30D8E657" w:rsidR="00C25D58" w:rsidRDefault="00C25D58" w:rsidP="004F4C55"/>
    <w:p w14:paraId="0C096CBA" w14:textId="77777777" w:rsidR="00C25D58" w:rsidRDefault="00C25D58" w:rsidP="004F4C55"/>
    <w:p w14:paraId="6737517D" w14:textId="7C2BC60D" w:rsidR="006A55DA" w:rsidRPr="00413682" w:rsidRDefault="006A55DA" w:rsidP="006A55DA">
      <w:pPr>
        <w:rPr>
          <w:rFonts w:ascii="Verdana" w:hAnsi="Verdana"/>
          <w:b/>
        </w:rPr>
      </w:pPr>
      <w:r w:rsidRPr="00413682">
        <w:rPr>
          <w:rFonts w:ascii="Verdana" w:hAnsi="Verdana"/>
          <w:b/>
        </w:rPr>
        <w:lastRenderedPageBreak/>
        <w:t xml:space="preserve">List of Actions Arising from </w:t>
      </w:r>
      <w:r>
        <w:rPr>
          <w:rFonts w:ascii="Verdana" w:hAnsi="Verdana"/>
          <w:b/>
        </w:rPr>
        <w:t>Th</w:t>
      </w:r>
      <w:r w:rsidR="00C25D58">
        <w:rPr>
          <w:rFonts w:ascii="Verdana" w:hAnsi="Verdana"/>
          <w:b/>
        </w:rPr>
        <w:t>e</w:t>
      </w:r>
      <w:r>
        <w:rPr>
          <w:rFonts w:ascii="Verdana" w:hAnsi="Verdana"/>
          <w:b/>
        </w:rPr>
        <w:t xml:space="preserve"> Meeting </w:t>
      </w:r>
    </w:p>
    <w:p w14:paraId="503E2491" w14:textId="77777777" w:rsidR="006A55DA" w:rsidRDefault="006A55DA" w:rsidP="006A55DA">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6A55DA" w14:paraId="6D25274B" w14:textId="77777777" w:rsidTr="00EC035F">
        <w:tc>
          <w:tcPr>
            <w:tcW w:w="1060" w:type="dxa"/>
          </w:tcPr>
          <w:p w14:paraId="7B0DA7B0" w14:textId="57489576" w:rsidR="00593049" w:rsidRPr="00593049" w:rsidRDefault="006A55DA" w:rsidP="007D5E3C">
            <w:pPr>
              <w:rPr>
                <w:rFonts w:ascii="Verdana" w:hAnsi="Verdana"/>
                <w:b/>
                <w:i/>
              </w:rPr>
            </w:pPr>
            <w:r w:rsidRPr="00413682">
              <w:rPr>
                <w:rFonts w:ascii="Verdana" w:hAnsi="Verdana"/>
                <w:b/>
                <w:i/>
              </w:rPr>
              <w:t>Minute</w:t>
            </w:r>
          </w:p>
        </w:tc>
        <w:tc>
          <w:tcPr>
            <w:tcW w:w="3017" w:type="dxa"/>
          </w:tcPr>
          <w:p w14:paraId="33624299" w14:textId="00E31ABB" w:rsidR="006A55DA" w:rsidRDefault="006A55DA" w:rsidP="007D5E3C">
            <w:pPr>
              <w:rPr>
                <w:rFonts w:ascii="Verdana" w:hAnsi="Verdana"/>
                <w:b/>
                <w:i/>
              </w:rPr>
            </w:pPr>
            <w:r w:rsidRPr="00413682">
              <w:rPr>
                <w:rFonts w:ascii="Verdana" w:hAnsi="Verdana"/>
                <w:b/>
                <w:i/>
              </w:rPr>
              <w:t>Person Responsible</w:t>
            </w:r>
          </w:p>
          <w:p w14:paraId="2385396C" w14:textId="77777777" w:rsidR="00593049" w:rsidRDefault="00593049" w:rsidP="007D5E3C">
            <w:pPr>
              <w:rPr>
                <w:rFonts w:ascii="Verdana" w:hAnsi="Verdana"/>
                <w:b/>
                <w:i/>
              </w:rPr>
            </w:pPr>
          </w:p>
          <w:p w14:paraId="55E7030C" w14:textId="77191672" w:rsidR="00593049" w:rsidRPr="00593049" w:rsidRDefault="00593049" w:rsidP="007D5E3C">
            <w:pPr>
              <w:rPr>
                <w:rFonts w:ascii="Verdana" w:hAnsi="Verdana"/>
                <w:bCs/>
                <w:iCs/>
              </w:rPr>
            </w:pPr>
          </w:p>
        </w:tc>
        <w:tc>
          <w:tcPr>
            <w:tcW w:w="5387" w:type="dxa"/>
          </w:tcPr>
          <w:p w14:paraId="59A013D1" w14:textId="0C969E05" w:rsidR="006A55DA" w:rsidRPr="00413682" w:rsidRDefault="006A55DA" w:rsidP="00593049">
            <w:pPr>
              <w:rPr>
                <w:rFonts w:ascii="Verdana" w:hAnsi="Verdana"/>
                <w:b/>
                <w:i/>
              </w:rPr>
            </w:pPr>
            <w:r w:rsidRPr="00413682">
              <w:rPr>
                <w:rFonts w:ascii="Verdana" w:hAnsi="Verdana"/>
                <w:b/>
                <w:i/>
              </w:rPr>
              <w:t>Action</w:t>
            </w:r>
          </w:p>
        </w:tc>
      </w:tr>
      <w:tr w:rsidR="00467525" w14:paraId="26C79C5A" w14:textId="77777777" w:rsidTr="00EC035F">
        <w:tc>
          <w:tcPr>
            <w:tcW w:w="1060" w:type="dxa"/>
          </w:tcPr>
          <w:p w14:paraId="5611E3E0" w14:textId="4857FA6F" w:rsidR="00467525" w:rsidRPr="005511E8" w:rsidRDefault="00284E8F" w:rsidP="007D5E3C">
            <w:pPr>
              <w:rPr>
                <w:rFonts w:ascii="Verdana" w:hAnsi="Verdana"/>
                <w:b/>
                <w:iCs/>
              </w:rPr>
            </w:pPr>
            <w:r>
              <w:rPr>
                <w:rFonts w:ascii="Verdana" w:hAnsi="Verdana"/>
                <w:b/>
                <w:iCs/>
              </w:rPr>
              <w:t>8</w:t>
            </w:r>
          </w:p>
        </w:tc>
        <w:tc>
          <w:tcPr>
            <w:tcW w:w="3017" w:type="dxa"/>
          </w:tcPr>
          <w:p w14:paraId="075FDBD9" w14:textId="51F7AADB" w:rsidR="00467525" w:rsidRPr="005511E8" w:rsidRDefault="00284E8F" w:rsidP="007D5E3C">
            <w:pPr>
              <w:rPr>
                <w:rFonts w:ascii="Verdana" w:hAnsi="Verdana"/>
                <w:bCs/>
                <w:iCs/>
              </w:rPr>
            </w:pPr>
            <w:r>
              <w:rPr>
                <w:rFonts w:ascii="Verdana" w:hAnsi="Verdana"/>
                <w:bCs/>
                <w:iCs/>
              </w:rPr>
              <w:t>Vice-Principal: Corporate Services</w:t>
            </w:r>
          </w:p>
        </w:tc>
        <w:tc>
          <w:tcPr>
            <w:tcW w:w="5387" w:type="dxa"/>
          </w:tcPr>
          <w:p w14:paraId="000A0CF3" w14:textId="589B5FA2" w:rsidR="004E0ABD" w:rsidRDefault="00284E8F" w:rsidP="007D5E3C">
            <w:pPr>
              <w:contextualSpacing/>
              <w:rPr>
                <w:rFonts w:ascii="Verdana" w:hAnsi="Verdana"/>
                <w:bCs/>
                <w:iCs/>
              </w:rPr>
            </w:pPr>
            <w:r>
              <w:rPr>
                <w:rFonts w:ascii="Verdana" w:hAnsi="Verdana"/>
                <w:bCs/>
                <w:iCs/>
              </w:rPr>
              <w:t xml:space="preserve">Report ALA financial performance </w:t>
            </w:r>
            <w:r w:rsidR="004920E8">
              <w:rPr>
                <w:rFonts w:ascii="Verdana" w:hAnsi="Verdana"/>
                <w:bCs/>
                <w:iCs/>
              </w:rPr>
              <w:t>separately within</w:t>
            </w:r>
            <w:r>
              <w:rPr>
                <w:rFonts w:ascii="Verdana" w:hAnsi="Verdana"/>
                <w:bCs/>
                <w:iCs/>
              </w:rPr>
              <w:t xml:space="preserve"> the management accounts from start of 2020-21 year.</w:t>
            </w:r>
          </w:p>
          <w:p w14:paraId="0381D4A6" w14:textId="007ABF50" w:rsidR="00284E8F" w:rsidRPr="005511E8" w:rsidRDefault="00284E8F" w:rsidP="007D5E3C">
            <w:pPr>
              <w:contextualSpacing/>
              <w:rPr>
                <w:rFonts w:ascii="Verdana" w:hAnsi="Verdana"/>
                <w:bCs/>
                <w:iCs/>
              </w:rPr>
            </w:pPr>
          </w:p>
        </w:tc>
      </w:tr>
      <w:tr w:rsidR="004E0ABD" w14:paraId="0D4D8365" w14:textId="77777777" w:rsidTr="00EC035F">
        <w:tc>
          <w:tcPr>
            <w:tcW w:w="1060" w:type="dxa"/>
          </w:tcPr>
          <w:p w14:paraId="75416129" w14:textId="550AA051" w:rsidR="004E0ABD" w:rsidRPr="005511E8" w:rsidRDefault="004920E8" w:rsidP="007D5E3C">
            <w:pPr>
              <w:rPr>
                <w:rFonts w:ascii="Verdana" w:hAnsi="Verdana"/>
                <w:b/>
                <w:iCs/>
              </w:rPr>
            </w:pPr>
            <w:r>
              <w:rPr>
                <w:rFonts w:ascii="Verdana" w:hAnsi="Verdana"/>
                <w:b/>
                <w:iCs/>
              </w:rPr>
              <w:t>11</w:t>
            </w:r>
          </w:p>
        </w:tc>
        <w:tc>
          <w:tcPr>
            <w:tcW w:w="3017" w:type="dxa"/>
          </w:tcPr>
          <w:p w14:paraId="683946AC" w14:textId="05DA8B8A" w:rsidR="00FB2376" w:rsidRDefault="004920E8" w:rsidP="007D5E3C">
            <w:pPr>
              <w:rPr>
                <w:rFonts w:ascii="Verdana" w:hAnsi="Verdana"/>
                <w:bCs/>
                <w:iCs/>
              </w:rPr>
            </w:pPr>
            <w:r>
              <w:rPr>
                <w:rFonts w:ascii="Verdana" w:hAnsi="Verdana"/>
                <w:bCs/>
                <w:iCs/>
              </w:rPr>
              <w:t>Vice-Principal: Corporate Services</w:t>
            </w:r>
          </w:p>
        </w:tc>
        <w:tc>
          <w:tcPr>
            <w:tcW w:w="5387" w:type="dxa"/>
          </w:tcPr>
          <w:p w14:paraId="0090165F" w14:textId="77777777" w:rsidR="00FB2376" w:rsidRDefault="004920E8" w:rsidP="007D5E3C">
            <w:pPr>
              <w:contextualSpacing/>
              <w:rPr>
                <w:rFonts w:ascii="Verdana" w:hAnsi="Verdana"/>
              </w:rPr>
            </w:pPr>
            <w:r>
              <w:rPr>
                <w:rFonts w:ascii="Verdana" w:hAnsi="Verdana"/>
              </w:rPr>
              <w:t xml:space="preserve">Include the financial implications of any disciplinary proceedings in the HR Annual Report 2019-20, and subsequently. </w:t>
            </w:r>
          </w:p>
          <w:p w14:paraId="78591A29" w14:textId="37F657B9" w:rsidR="004920E8" w:rsidRDefault="004920E8" w:rsidP="007D5E3C">
            <w:pPr>
              <w:contextualSpacing/>
              <w:rPr>
                <w:rFonts w:ascii="Verdana" w:hAnsi="Verdana"/>
                <w:bCs/>
                <w:iCs/>
              </w:rPr>
            </w:pPr>
          </w:p>
        </w:tc>
      </w:tr>
      <w:tr w:rsidR="004920E8" w14:paraId="7185E02F" w14:textId="77777777" w:rsidTr="00EC035F">
        <w:tc>
          <w:tcPr>
            <w:tcW w:w="1060" w:type="dxa"/>
          </w:tcPr>
          <w:p w14:paraId="74C9B618" w14:textId="3110DAD9" w:rsidR="004920E8" w:rsidRDefault="004920E8" w:rsidP="007D5E3C">
            <w:pPr>
              <w:rPr>
                <w:rFonts w:ascii="Verdana" w:hAnsi="Verdana"/>
                <w:b/>
                <w:iCs/>
              </w:rPr>
            </w:pPr>
            <w:r>
              <w:rPr>
                <w:rFonts w:ascii="Verdana" w:hAnsi="Verdana"/>
                <w:b/>
                <w:iCs/>
              </w:rPr>
              <w:t>11</w:t>
            </w:r>
          </w:p>
        </w:tc>
        <w:tc>
          <w:tcPr>
            <w:tcW w:w="3017" w:type="dxa"/>
          </w:tcPr>
          <w:p w14:paraId="795B9CEB" w14:textId="052E121D" w:rsidR="004920E8" w:rsidRDefault="004920E8" w:rsidP="007D5E3C">
            <w:pPr>
              <w:rPr>
                <w:rFonts w:ascii="Verdana" w:hAnsi="Verdana"/>
                <w:bCs/>
                <w:iCs/>
              </w:rPr>
            </w:pPr>
            <w:r>
              <w:rPr>
                <w:rFonts w:ascii="Verdana" w:hAnsi="Verdana"/>
                <w:bCs/>
                <w:iCs/>
              </w:rPr>
              <w:t>Chair of the Resources Committee</w:t>
            </w:r>
          </w:p>
        </w:tc>
        <w:tc>
          <w:tcPr>
            <w:tcW w:w="5387" w:type="dxa"/>
          </w:tcPr>
          <w:p w14:paraId="4A9FDA48" w14:textId="7A44606C" w:rsidR="004920E8" w:rsidRDefault="004920E8" w:rsidP="007D5E3C">
            <w:pPr>
              <w:contextualSpacing/>
              <w:rPr>
                <w:rFonts w:ascii="Verdana" w:hAnsi="Verdana"/>
              </w:rPr>
            </w:pPr>
            <w:r>
              <w:rPr>
                <w:rFonts w:ascii="Verdana" w:hAnsi="Verdana"/>
              </w:rPr>
              <w:t>Monitor at least annually the gender and ethnicity data for those in management roles by comparison with the generality of staff.</w:t>
            </w:r>
          </w:p>
        </w:tc>
      </w:tr>
    </w:tbl>
    <w:p w14:paraId="6AB9712A" w14:textId="37DE5A3B" w:rsidR="006A55DA" w:rsidRDefault="006A55DA" w:rsidP="004F4C55"/>
    <w:p w14:paraId="68384F7D" w14:textId="77777777" w:rsidR="0043581E" w:rsidRDefault="0043581E" w:rsidP="004F4C55"/>
    <w:p w14:paraId="61800BAF" w14:textId="084D279F" w:rsidR="00B814F2" w:rsidRDefault="00B814F2" w:rsidP="00B814F2">
      <w:pPr>
        <w:pStyle w:val="Verdana"/>
        <w:rPr>
          <w:b/>
          <w:bCs/>
        </w:rPr>
      </w:pPr>
      <w:bookmarkStart w:id="0" w:name="_GoBack"/>
      <w:bookmarkEnd w:id="0"/>
    </w:p>
    <w:sectPr w:rsidR="00B8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CE2"/>
    <w:multiLevelType w:val="hybridMultilevel"/>
    <w:tmpl w:val="3B02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656EF"/>
    <w:multiLevelType w:val="hybridMultilevel"/>
    <w:tmpl w:val="9FBEC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817EDB"/>
    <w:multiLevelType w:val="hybridMultilevel"/>
    <w:tmpl w:val="DE2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C0030"/>
    <w:multiLevelType w:val="hybridMultilevel"/>
    <w:tmpl w:val="E416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739E"/>
    <w:multiLevelType w:val="hybridMultilevel"/>
    <w:tmpl w:val="66E6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2143B"/>
    <w:multiLevelType w:val="hybridMultilevel"/>
    <w:tmpl w:val="7D7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17D8D"/>
    <w:multiLevelType w:val="hybridMultilevel"/>
    <w:tmpl w:val="F36AB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E7E4D"/>
    <w:multiLevelType w:val="hybridMultilevel"/>
    <w:tmpl w:val="3DD6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72228"/>
    <w:multiLevelType w:val="hybridMultilevel"/>
    <w:tmpl w:val="FB6ACFCC"/>
    <w:lvl w:ilvl="0" w:tplc="35D465BA">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F0825"/>
    <w:multiLevelType w:val="hybridMultilevel"/>
    <w:tmpl w:val="543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C1E1C"/>
    <w:multiLevelType w:val="hybridMultilevel"/>
    <w:tmpl w:val="8BCE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36C55"/>
    <w:multiLevelType w:val="hybridMultilevel"/>
    <w:tmpl w:val="A4D4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773C5"/>
    <w:multiLevelType w:val="hybridMultilevel"/>
    <w:tmpl w:val="D93C6AB4"/>
    <w:lvl w:ilvl="0" w:tplc="08090001">
      <w:start w:val="1"/>
      <w:numFmt w:val="bullet"/>
      <w:lvlText w:val=""/>
      <w:lvlJc w:val="left"/>
      <w:pPr>
        <w:tabs>
          <w:tab w:val="num" w:pos="720"/>
        </w:tabs>
        <w:ind w:left="720" w:hanging="360"/>
      </w:pPr>
      <w:rPr>
        <w:rFonts w:ascii="Symbol" w:hAnsi="Symbol" w:hint="default"/>
      </w:rPr>
    </w:lvl>
    <w:lvl w:ilvl="1" w:tplc="6E2AA1E2">
      <w:start w:val="3"/>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71A1C"/>
    <w:multiLevelType w:val="hybridMultilevel"/>
    <w:tmpl w:val="D5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0B5B87"/>
    <w:multiLevelType w:val="hybridMultilevel"/>
    <w:tmpl w:val="915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E2DB0"/>
    <w:multiLevelType w:val="hybridMultilevel"/>
    <w:tmpl w:val="ED628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4"/>
  </w:num>
  <w:num w:numId="5">
    <w:abstractNumId w:val="14"/>
  </w:num>
  <w:num w:numId="6">
    <w:abstractNumId w:val="2"/>
  </w:num>
  <w:num w:numId="7">
    <w:abstractNumId w:val="5"/>
  </w:num>
  <w:num w:numId="8">
    <w:abstractNumId w:val="3"/>
  </w:num>
  <w:num w:numId="9">
    <w:abstractNumId w:val="15"/>
  </w:num>
  <w:num w:numId="10">
    <w:abstractNumId w:val="6"/>
  </w:num>
  <w:num w:numId="11">
    <w:abstractNumId w:val="11"/>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4E"/>
    <w:rsid w:val="00005B4A"/>
    <w:rsid w:val="00007FC0"/>
    <w:rsid w:val="00011CD9"/>
    <w:rsid w:val="00012BA4"/>
    <w:rsid w:val="00014529"/>
    <w:rsid w:val="000151A8"/>
    <w:rsid w:val="0001737C"/>
    <w:rsid w:val="00020ADD"/>
    <w:rsid w:val="000220A5"/>
    <w:rsid w:val="00026381"/>
    <w:rsid w:val="00032EF3"/>
    <w:rsid w:val="00035B29"/>
    <w:rsid w:val="00044B16"/>
    <w:rsid w:val="00044EF9"/>
    <w:rsid w:val="00052605"/>
    <w:rsid w:val="0005304E"/>
    <w:rsid w:val="00054296"/>
    <w:rsid w:val="0005695F"/>
    <w:rsid w:val="00062135"/>
    <w:rsid w:val="00066965"/>
    <w:rsid w:val="000734E6"/>
    <w:rsid w:val="000768B9"/>
    <w:rsid w:val="00083F5C"/>
    <w:rsid w:val="00084126"/>
    <w:rsid w:val="00090F36"/>
    <w:rsid w:val="00091237"/>
    <w:rsid w:val="00094D85"/>
    <w:rsid w:val="0009514A"/>
    <w:rsid w:val="000955C7"/>
    <w:rsid w:val="00096317"/>
    <w:rsid w:val="00096B47"/>
    <w:rsid w:val="00096EE9"/>
    <w:rsid w:val="000A3026"/>
    <w:rsid w:val="000A4701"/>
    <w:rsid w:val="000A5A31"/>
    <w:rsid w:val="000A7EB7"/>
    <w:rsid w:val="000B0F76"/>
    <w:rsid w:val="000B0F91"/>
    <w:rsid w:val="000B33A1"/>
    <w:rsid w:val="000B7F3D"/>
    <w:rsid w:val="000C15EE"/>
    <w:rsid w:val="000C31CC"/>
    <w:rsid w:val="000D081E"/>
    <w:rsid w:val="000D4683"/>
    <w:rsid w:val="000D4784"/>
    <w:rsid w:val="000D734E"/>
    <w:rsid w:val="000E2D15"/>
    <w:rsid w:val="000E718C"/>
    <w:rsid w:val="000E75C1"/>
    <w:rsid w:val="000F7CAB"/>
    <w:rsid w:val="00100DB8"/>
    <w:rsid w:val="00112BC7"/>
    <w:rsid w:val="00113116"/>
    <w:rsid w:val="00114983"/>
    <w:rsid w:val="00114E16"/>
    <w:rsid w:val="001176AC"/>
    <w:rsid w:val="001218D1"/>
    <w:rsid w:val="0012739C"/>
    <w:rsid w:val="001359BD"/>
    <w:rsid w:val="001434D1"/>
    <w:rsid w:val="00144B1A"/>
    <w:rsid w:val="00145538"/>
    <w:rsid w:val="00152971"/>
    <w:rsid w:val="00160261"/>
    <w:rsid w:val="00160959"/>
    <w:rsid w:val="001726DC"/>
    <w:rsid w:val="00173740"/>
    <w:rsid w:val="00173C78"/>
    <w:rsid w:val="0017770B"/>
    <w:rsid w:val="00181A4F"/>
    <w:rsid w:val="00181BFC"/>
    <w:rsid w:val="0018545A"/>
    <w:rsid w:val="0019046B"/>
    <w:rsid w:val="00192F99"/>
    <w:rsid w:val="001950A3"/>
    <w:rsid w:val="001A06BE"/>
    <w:rsid w:val="001A1D95"/>
    <w:rsid w:val="001A2738"/>
    <w:rsid w:val="001A2D89"/>
    <w:rsid w:val="001A31D6"/>
    <w:rsid w:val="001A36CA"/>
    <w:rsid w:val="001B0932"/>
    <w:rsid w:val="001B1365"/>
    <w:rsid w:val="001B4420"/>
    <w:rsid w:val="001B4AFA"/>
    <w:rsid w:val="001B63C7"/>
    <w:rsid w:val="001B739E"/>
    <w:rsid w:val="001C0A00"/>
    <w:rsid w:val="001C4DD3"/>
    <w:rsid w:val="001C69C1"/>
    <w:rsid w:val="001C746E"/>
    <w:rsid w:val="001D0987"/>
    <w:rsid w:val="001D0EF6"/>
    <w:rsid w:val="001D3131"/>
    <w:rsid w:val="001D3374"/>
    <w:rsid w:val="001D550C"/>
    <w:rsid w:val="001E1079"/>
    <w:rsid w:val="001E1778"/>
    <w:rsid w:val="001E18F8"/>
    <w:rsid w:val="001E1E77"/>
    <w:rsid w:val="001E2C2D"/>
    <w:rsid w:val="001E2D8C"/>
    <w:rsid w:val="001E4EB2"/>
    <w:rsid w:val="001E5F8F"/>
    <w:rsid w:val="001E7DA9"/>
    <w:rsid w:val="001F2500"/>
    <w:rsid w:val="001F2DC1"/>
    <w:rsid w:val="001F3083"/>
    <w:rsid w:val="001F760D"/>
    <w:rsid w:val="00200C66"/>
    <w:rsid w:val="002057D6"/>
    <w:rsid w:val="00205D8D"/>
    <w:rsid w:val="0020631C"/>
    <w:rsid w:val="0020744E"/>
    <w:rsid w:val="00210A83"/>
    <w:rsid w:val="00210DDF"/>
    <w:rsid w:val="002136ED"/>
    <w:rsid w:val="00216092"/>
    <w:rsid w:val="00217ADB"/>
    <w:rsid w:val="00222E73"/>
    <w:rsid w:val="00223BC3"/>
    <w:rsid w:val="00224BAE"/>
    <w:rsid w:val="0022757D"/>
    <w:rsid w:val="002276CA"/>
    <w:rsid w:val="00232B9C"/>
    <w:rsid w:val="0024052E"/>
    <w:rsid w:val="00242A9A"/>
    <w:rsid w:val="00242F9C"/>
    <w:rsid w:val="002478A6"/>
    <w:rsid w:val="00251C3E"/>
    <w:rsid w:val="00254878"/>
    <w:rsid w:val="00254F63"/>
    <w:rsid w:val="00256047"/>
    <w:rsid w:val="00260D64"/>
    <w:rsid w:val="00260E93"/>
    <w:rsid w:val="00263B29"/>
    <w:rsid w:val="00267515"/>
    <w:rsid w:val="00267FC6"/>
    <w:rsid w:val="00270409"/>
    <w:rsid w:val="0027151B"/>
    <w:rsid w:val="0027745A"/>
    <w:rsid w:val="00283349"/>
    <w:rsid w:val="00283C9C"/>
    <w:rsid w:val="00284E8F"/>
    <w:rsid w:val="00287ACA"/>
    <w:rsid w:val="00291A9A"/>
    <w:rsid w:val="00296A3A"/>
    <w:rsid w:val="002A08D9"/>
    <w:rsid w:val="002A5DE0"/>
    <w:rsid w:val="002B0EB1"/>
    <w:rsid w:val="002B2F54"/>
    <w:rsid w:val="002B6900"/>
    <w:rsid w:val="002C3345"/>
    <w:rsid w:val="002C5665"/>
    <w:rsid w:val="002D06EF"/>
    <w:rsid w:val="002D189E"/>
    <w:rsid w:val="002D260A"/>
    <w:rsid w:val="002D2E7D"/>
    <w:rsid w:val="002D5314"/>
    <w:rsid w:val="002D7F83"/>
    <w:rsid w:val="002E39BF"/>
    <w:rsid w:val="002F4079"/>
    <w:rsid w:val="002F6DD1"/>
    <w:rsid w:val="00303773"/>
    <w:rsid w:val="003047BB"/>
    <w:rsid w:val="003048D4"/>
    <w:rsid w:val="003051AF"/>
    <w:rsid w:val="0031164C"/>
    <w:rsid w:val="003121E4"/>
    <w:rsid w:val="003158E4"/>
    <w:rsid w:val="00316763"/>
    <w:rsid w:val="0031679F"/>
    <w:rsid w:val="00323D47"/>
    <w:rsid w:val="003275B0"/>
    <w:rsid w:val="003307CF"/>
    <w:rsid w:val="003332FB"/>
    <w:rsid w:val="00334682"/>
    <w:rsid w:val="003370A8"/>
    <w:rsid w:val="003377CD"/>
    <w:rsid w:val="0034231B"/>
    <w:rsid w:val="00343A4E"/>
    <w:rsid w:val="003514A2"/>
    <w:rsid w:val="0036346D"/>
    <w:rsid w:val="003638BE"/>
    <w:rsid w:val="003675F7"/>
    <w:rsid w:val="003677BF"/>
    <w:rsid w:val="00376A8E"/>
    <w:rsid w:val="00382376"/>
    <w:rsid w:val="0039466A"/>
    <w:rsid w:val="003A4D45"/>
    <w:rsid w:val="003A711A"/>
    <w:rsid w:val="003B1C00"/>
    <w:rsid w:val="003B2119"/>
    <w:rsid w:val="003B4860"/>
    <w:rsid w:val="003B6572"/>
    <w:rsid w:val="003B6DF3"/>
    <w:rsid w:val="003B7E6E"/>
    <w:rsid w:val="003C23B2"/>
    <w:rsid w:val="003C407C"/>
    <w:rsid w:val="003C7785"/>
    <w:rsid w:val="003D170F"/>
    <w:rsid w:val="003D45B8"/>
    <w:rsid w:val="003D4C32"/>
    <w:rsid w:val="003D6982"/>
    <w:rsid w:val="003E1B0F"/>
    <w:rsid w:val="003E41ED"/>
    <w:rsid w:val="003E4B94"/>
    <w:rsid w:val="003E5024"/>
    <w:rsid w:val="003F0E4B"/>
    <w:rsid w:val="003F5F19"/>
    <w:rsid w:val="003F6C09"/>
    <w:rsid w:val="003F7322"/>
    <w:rsid w:val="00400A03"/>
    <w:rsid w:val="00403178"/>
    <w:rsid w:val="00403CFD"/>
    <w:rsid w:val="0040406F"/>
    <w:rsid w:val="00404EAD"/>
    <w:rsid w:val="004054DF"/>
    <w:rsid w:val="00410C89"/>
    <w:rsid w:val="00410F2C"/>
    <w:rsid w:val="00415400"/>
    <w:rsid w:val="00421A00"/>
    <w:rsid w:val="0042206F"/>
    <w:rsid w:val="0042394D"/>
    <w:rsid w:val="004241F0"/>
    <w:rsid w:val="0043581E"/>
    <w:rsid w:val="00436F19"/>
    <w:rsid w:val="0044098C"/>
    <w:rsid w:val="004442F5"/>
    <w:rsid w:val="00450D96"/>
    <w:rsid w:val="004537E6"/>
    <w:rsid w:val="00453DDA"/>
    <w:rsid w:val="00456414"/>
    <w:rsid w:val="00463CDF"/>
    <w:rsid w:val="00464724"/>
    <w:rsid w:val="00466B92"/>
    <w:rsid w:val="00466CD1"/>
    <w:rsid w:val="00467525"/>
    <w:rsid w:val="004712C9"/>
    <w:rsid w:val="0047331C"/>
    <w:rsid w:val="0047706B"/>
    <w:rsid w:val="004829BB"/>
    <w:rsid w:val="00483C6C"/>
    <w:rsid w:val="004849BE"/>
    <w:rsid w:val="00485D81"/>
    <w:rsid w:val="004919B3"/>
    <w:rsid w:val="004920E8"/>
    <w:rsid w:val="00496B99"/>
    <w:rsid w:val="00496CB0"/>
    <w:rsid w:val="004978F4"/>
    <w:rsid w:val="004B0DDE"/>
    <w:rsid w:val="004B7094"/>
    <w:rsid w:val="004C13C1"/>
    <w:rsid w:val="004C18D3"/>
    <w:rsid w:val="004C390C"/>
    <w:rsid w:val="004D0F6A"/>
    <w:rsid w:val="004D4806"/>
    <w:rsid w:val="004D4D39"/>
    <w:rsid w:val="004D7DB1"/>
    <w:rsid w:val="004E0ABD"/>
    <w:rsid w:val="004E7128"/>
    <w:rsid w:val="004F2B66"/>
    <w:rsid w:val="004F4C55"/>
    <w:rsid w:val="005022F6"/>
    <w:rsid w:val="0050589F"/>
    <w:rsid w:val="005111D7"/>
    <w:rsid w:val="00513F35"/>
    <w:rsid w:val="005149C9"/>
    <w:rsid w:val="00515916"/>
    <w:rsid w:val="005167E8"/>
    <w:rsid w:val="00520C83"/>
    <w:rsid w:val="005256A7"/>
    <w:rsid w:val="00526961"/>
    <w:rsid w:val="00531359"/>
    <w:rsid w:val="00532624"/>
    <w:rsid w:val="00532B6B"/>
    <w:rsid w:val="00532D90"/>
    <w:rsid w:val="00532F99"/>
    <w:rsid w:val="0053720D"/>
    <w:rsid w:val="00541404"/>
    <w:rsid w:val="00541B61"/>
    <w:rsid w:val="00547F03"/>
    <w:rsid w:val="005511E8"/>
    <w:rsid w:val="005550A6"/>
    <w:rsid w:val="00561C1E"/>
    <w:rsid w:val="005629AA"/>
    <w:rsid w:val="00563141"/>
    <w:rsid w:val="00566AC5"/>
    <w:rsid w:val="00567AED"/>
    <w:rsid w:val="00570086"/>
    <w:rsid w:val="00570821"/>
    <w:rsid w:val="005751EF"/>
    <w:rsid w:val="00585941"/>
    <w:rsid w:val="005902FA"/>
    <w:rsid w:val="00593049"/>
    <w:rsid w:val="00593B73"/>
    <w:rsid w:val="005A0135"/>
    <w:rsid w:val="005A3352"/>
    <w:rsid w:val="005A4C8A"/>
    <w:rsid w:val="005A53DD"/>
    <w:rsid w:val="005B0912"/>
    <w:rsid w:val="005B55F3"/>
    <w:rsid w:val="005C4323"/>
    <w:rsid w:val="005C6552"/>
    <w:rsid w:val="005C6C0F"/>
    <w:rsid w:val="005C72FE"/>
    <w:rsid w:val="005D0C11"/>
    <w:rsid w:val="005D1EDD"/>
    <w:rsid w:val="005D70D6"/>
    <w:rsid w:val="005E0D14"/>
    <w:rsid w:val="005E1FD6"/>
    <w:rsid w:val="005E20DC"/>
    <w:rsid w:val="005E3EB3"/>
    <w:rsid w:val="005E6D7D"/>
    <w:rsid w:val="005F29AB"/>
    <w:rsid w:val="00612B3F"/>
    <w:rsid w:val="00615A25"/>
    <w:rsid w:val="00620A62"/>
    <w:rsid w:val="00624F38"/>
    <w:rsid w:val="00626B68"/>
    <w:rsid w:val="00627940"/>
    <w:rsid w:val="0063043F"/>
    <w:rsid w:val="006404F8"/>
    <w:rsid w:val="00640E6B"/>
    <w:rsid w:val="00640F7C"/>
    <w:rsid w:val="006418AB"/>
    <w:rsid w:val="00641963"/>
    <w:rsid w:val="0065071C"/>
    <w:rsid w:val="00651B90"/>
    <w:rsid w:val="00656CB2"/>
    <w:rsid w:val="0066082E"/>
    <w:rsid w:val="00665CC3"/>
    <w:rsid w:val="00667DFF"/>
    <w:rsid w:val="006711BB"/>
    <w:rsid w:val="00677DC2"/>
    <w:rsid w:val="00686041"/>
    <w:rsid w:val="00686CE1"/>
    <w:rsid w:val="00692AD6"/>
    <w:rsid w:val="006954F5"/>
    <w:rsid w:val="006957D1"/>
    <w:rsid w:val="00695DDB"/>
    <w:rsid w:val="006A205C"/>
    <w:rsid w:val="006A55DA"/>
    <w:rsid w:val="006A5F68"/>
    <w:rsid w:val="006A620A"/>
    <w:rsid w:val="006B23E2"/>
    <w:rsid w:val="006B34CF"/>
    <w:rsid w:val="006B5E80"/>
    <w:rsid w:val="006C1BD0"/>
    <w:rsid w:val="006C7448"/>
    <w:rsid w:val="006D00F2"/>
    <w:rsid w:val="006D43DB"/>
    <w:rsid w:val="006E19BB"/>
    <w:rsid w:val="006E357F"/>
    <w:rsid w:val="006E52DC"/>
    <w:rsid w:val="006F2984"/>
    <w:rsid w:val="006F5AC3"/>
    <w:rsid w:val="00701B1A"/>
    <w:rsid w:val="00702927"/>
    <w:rsid w:val="00703FFE"/>
    <w:rsid w:val="00706434"/>
    <w:rsid w:val="0070775E"/>
    <w:rsid w:val="00715FA8"/>
    <w:rsid w:val="00721161"/>
    <w:rsid w:val="00722E12"/>
    <w:rsid w:val="0072391E"/>
    <w:rsid w:val="0072520F"/>
    <w:rsid w:val="0072769C"/>
    <w:rsid w:val="007332D8"/>
    <w:rsid w:val="0073486B"/>
    <w:rsid w:val="00734ABA"/>
    <w:rsid w:val="00735AC9"/>
    <w:rsid w:val="0073752B"/>
    <w:rsid w:val="00737785"/>
    <w:rsid w:val="00743BF9"/>
    <w:rsid w:val="0075391C"/>
    <w:rsid w:val="007625D6"/>
    <w:rsid w:val="007654B2"/>
    <w:rsid w:val="007702AA"/>
    <w:rsid w:val="007732D8"/>
    <w:rsid w:val="0077530B"/>
    <w:rsid w:val="0077638A"/>
    <w:rsid w:val="00786B42"/>
    <w:rsid w:val="00787D4E"/>
    <w:rsid w:val="00796079"/>
    <w:rsid w:val="007A203E"/>
    <w:rsid w:val="007A2947"/>
    <w:rsid w:val="007A4678"/>
    <w:rsid w:val="007A794E"/>
    <w:rsid w:val="007B3890"/>
    <w:rsid w:val="007B744C"/>
    <w:rsid w:val="007B761A"/>
    <w:rsid w:val="007C2965"/>
    <w:rsid w:val="007C4167"/>
    <w:rsid w:val="007C4BB7"/>
    <w:rsid w:val="007D3B7D"/>
    <w:rsid w:val="007D5E3C"/>
    <w:rsid w:val="007E04D8"/>
    <w:rsid w:val="007F4F26"/>
    <w:rsid w:val="007F783F"/>
    <w:rsid w:val="00804A50"/>
    <w:rsid w:val="00804C0C"/>
    <w:rsid w:val="00805210"/>
    <w:rsid w:val="00806EE1"/>
    <w:rsid w:val="00807E93"/>
    <w:rsid w:val="00807F5E"/>
    <w:rsid w:val="008100B2"/>
    <w:rsid w:val="00813C96"/>
    <w:rsid w:val="008144FD"/>
    <w:rsid w:val="00814666"/>
    <w:rsid w:val="00816892"/>
    <w:rsid w:val="00817729"/>
    <w:rsid w:val="00820BA3"/>
    <w:rsid w:val="0082741F"/>
    <w:rsid w:val="0083078D"/>
    <w:rsid w:val="008325C3"/>
    <w:rsid w:val="00832DCB"/>
    <w:rsid w:val="00834D6E"/>
    <w:rsid w:val="008401E0"/>
    <w:rsid w:val="008407A7"/>
    <w:rsid w:val="008573E6"/>
    <w:rsid w:val="0086749B"/>
    <w:rsid w:val="008727AB"/>
    <w:rsid w:val="008739A9"/>
    <w:rsid w:val="008870B7"/>
    <w:rsid w:val="0089035F"/>
    <w:rsid w:val="00894384"/>
    <w:rsid w:val="008956C6"/>
    <w:rsid w:val="008A3234"/>
    <w:rsid w:val="008A387B"/>
    <w:rsid w:val="008A3C02"/>
    <w:rsid w:val="008A6127"/>
    <w:rsid w:val="008B62E7"/>
    <w:rsid w:val="008D2564"/>
    <w:rsid w:val="008D3150"/>
    <w:rsid w:val="008D408C"/>
    <w:rsid w:val="008D4E49"/>
    <w:rsid w:val="008D6582"/>
    <w:rsid w:val="008D758D"/>
    <w:rsid w:val="008D7D88"/>
    <w:rsid w:val="008E5B99"/>
    <w:rsid w:val="008F05CA"/>
    <w:rsid w:val="008F41FB"/>
    <w:rsid w:val="008F7C43"/>
    <w:rsid w:val="00903EF2"/>
    <w:rsid w:val="00907F4F"/>
    <w:rsid w:val="00911BC5"/>
    <w:rsid w:val="009238ED"/>
    <w:rsid w:val="00925ABC"/>
    <w:rsid w:val="0092623B"/>
    <w:rsid w:val="00926BAB"/>
    <w:rsid w:val="00926DF3"/>
    <w:rsid w:val="00927AFF"/>
    <w:rsid w:val="00933109"/>
    <w:rsid w:val="00936F69"/>
    <w:rsid w:val="0094113D"/>
    <w:rsid w:val="00942671"/>
    <w:rsid w:val="00945E8C"/>
    <w:rsid w:val="00947528"/>
    <w:rsid w:val="00947EEB"/>
    <w:rsid w:val="00951519"/>
    <w:rsid w:val="00961F4E"/>
    <w:rsid w:val="00962DD1"/>
    <w:rsid w:val="0096309F"/>
    <w:rsid w:val="009647F2"/>
    <w:rsid w:val="009654B8"/>
    <w:rsid w:val="009673DA"/>
    <w:rsid w:val="00973AB2"/>
    <w:rsid w:val="00973C34"/>
    <w:rsid w:val="00974447"/>
    <w:rsid w:val="00976B39"/>
    <w:rsid w:val="009917EB"/>
    <w:rsid w:val="009948D8"/>
    <w:rsid w:val="009A031C"/>
    <w:rsid w:val="009A0C3B"/>
    <w:rsid w:val="009A1EFC"/>
    <w:rsid w:val="009A6545"/>
    <w:rsid w:val="009B0A8B"/>
    <w:rsid w:val="009B12C4"/>
    <w:rsid w:val="009B1794"/>
    <w:rsid w:val="009B2C3E"/>
    <w:rsid w:val="009B2F50"/>
    <w:rsid w:val="009B69F4"/>
    <w:rsid w:val="009B7DF3"/>
    <w:rsid w:val="009C1A76"/>
    <w:rsid w:val="009C7232"/>
    <w:rsid w:val="009D6225"/>
    <w:rsid w:val="009D71AA"/>
    <w:rsid w:val="009E49F5"/>
    <w:rsid w:val="009F13D6"/>
    <w:rsid w:val="009F4315"/>
    <w:rsid w:val="00A06A12"/>
    <w:rsid w:val="00A07CB9"/>
    <w:rsid w:val="00A100E5"/>
    <w:rsid w:val="00A1087A"/>
    <w:rsid w:val="00A134A9"/>
    <w:rsid w:val="00A1529C"/>
    <w:rsid w:val="00A15C89"/>
    <w:rsid w:val="00A300E0"/>
    <w:rsid w:val="00A41ABE"/>
    <w:rsid w:val="00A43223"/>
    <w:rsid w:val="00A45C7F"/>
    <w:rsid w:val="00A466EC"/>
    <w:rsid w:val="00A505E4"/>
    <w:rsid w:val="00A5082F"/>
    <w:rsid w:val="00A50968"/>
    <w:rsid w:val="00A52980"/>
    <w:rsid w:val="00A63B80"/>
    <w:rsid w:val="00A649BB"/>
    <w:rsid w:val="00A71A30"/>
    <w:rsid w:val="00A74270"/>
    <w:rsid w:val="00A7491E"/>
    <w:rsid w:val="00A7544D"/>
    <w:rsid w:val="00A75E90"/>
    <w:rsid w:val="00A82D9F"/>
    <w:rsid w:val="00A84092"/>
    <w:rsid w:val="00A954BB"/>
    <w:rsid w:val="00AA02CF"/>
    <w:rsid w:val="00AA309E"/>
    <w:rsid w:val="00AA6014"/>
    <w:rsid w:val="00AB03CA"/>
    <w:rsid w:val="00AB0A71"/>
    <w:rsid w:val="00AB51C1"/>
    <w:rsid w:val="00AB5692"/>
    <w:rsid w:val="00AB56E0"/>
    <w:rsid w:val="00AB5853"/>
    <w:rsid w:val="00AB5C8F"/>
    <w:rsid w:val="00AC2456"/>
    <w:rsid w:val="00AC4B4E"/>
    <w:rsid w:val="00AD36A5"/>
    <w:rsid w:val="00AD59DD"/>
    <w:rsid w:val="00AE293C"/>
    <w:rsid w:val="00AF242E"/>
    <w:rsid w:val="00AF25A7"/>
    <w:rsid w:val="00AF4683"/>
    <w:rsid w:val="00AF4E49"/>
    <w:rsid w:val="00AF6898"/>
    <w:rsid w:val="00AF7874"/>
    <w:rsid w:val="00AF7C4B"/>
    <w:rsid w:val="00B0018F"/>
    <w:rsid w:val="00B05E76"/>
    <w:rsid w:val="00B06217"/>
    <w:rsid w:val="00B070DC"/>
    <w:rsid w:val="00B10337"/>
    <w:rsid w:val="00B13783"/>
    <w:rsid w:val="00B148D5"/>
    <w:rsid w:val="00B151ED"/>
    <w:rsid w:val="00B24658"/>
    <w:rsid w:val="00B24D05"/>
    <w:rsid w:val="00B334C2"/>
    <w:rsid w:val="00B4255F"/>
    <w:rsid w:val="00B446C1"/>
    <w:rsid w:val="00B506B9"/>
    <w:rsid w:val="00B53E8C"/>
    <w:rsid w:val="00B55328"/>
    <w:rsid w:val="00B575BF"/>
    <w:rsid w:val="00B61839"/>
    <w:rsid w:val="00B62B86"/>
    <w:rsid w:val="00B63FF8"/>
    <w:rsid w:val="00B66F0E"/>
    <w:rsid w:val="00B71115"/>
    <w:rsid w:val="00B74C08"/>
    <w:rsid w:val="00B75056"/>
    <w:rsid w:val="00B75301"/>
    <w:rsid w:val="00B814F2"/>
    <w:rsid w:val="00B84AD3"/>
    <w:rsid w:val="00B86006"/>
    <w:rsid w:val="00B90F6E"/>
    <w:rsid w:val="00B91E93"/>
    <w:rsid w:val="00B92C85"/>
    <w:rsid w:val="00B93999"/>
    <w:rsid w:val="00BA229C"/>
    <w:rsid w:val="00BA6375"/>
    <w:rsid w:val="00BB110D"/>
    <w:rsid w:val="00BB2440"/>
    <w:rsid w:val="00BB4BA5"/>
    <w:rsid w:val="00BB4BB8"/>
    <w:rsid w:val="00BB6B34"/>
    <w:rsid w:val="00BC3E18"/>
    <w:rsid w:val="00BC7D00"/>
    <w:rsid w:val="00BD0B2E"/>
    <w:rsid w:val="00BD1EA8"/>
    <w:rsid w:val="00BE60A4"/>
    <w:rsid w:val="00BE6A09"/>
    <w:rsid w:val="00BE7A4E"/>
    <w:rsid w:val="00BF1465"/>
    <w:rsid w:val="00BF6A58"/>
    <w:rsid w:val="00BF7DCF"/>
    <w:rsid w:val="00C02B55"/>
    <w:rsid w:val="00C17AEC"/>
    <w:rsid w:val="00C23405"/>
    <w:rsid w:val="00C25D58"/>
    <w:rsid w:val="00C26D68"/>
    <w:rsid w:val="00C31648"/>
    <w:rsid w:val="00C338CD"/>
    <w:rsid w:val="00C34FDC"/>
    <w:rsid w:val="00C35325"/>
    <w:rsid w:val="00C36142"/>
    <w:rsid w:val="00C418EF"/>
    <w:rsid w:val="00C61B2A"/>
    <w:rsid w:val="00C6254F"/>
    <w:rsid w:val="00C63C57"/>
    <w:rsid w:val="00C661B3"/>
    <w:rsid w:val="00C666A5"/>
    <w:rsid w:val="00C674B3"/>
    <w:rsid w:val="00C73684"/>
    <w:rsid w:val="00C74803"/>
    <w:rsid w:val="00C84904"/>
    <w:rsid w:val="00C85B1E"/>
    <w:rsid w:val="00C90DFE"/>
    <w:rsid w:val="00C91791"/>
    <w:rsid w:val="00C927E3"/>
    <w:rsid w:val="00C97818"/>
    <w:rsid w:val="00C978A6"/>
    <w:rsid w:val="00CA283B"/>
    <w:rsid w:val="00CA7196"/>
    <w:rsid w:val="00CB0EEB"/>
    <w:rsid w:val="00CB1A05"/>
    <w:rsid w:val="00CB761B"/>
    <w:rsid w:val="00CC6A1F"/>
    <w:rsid w:val="00CD41B8"/>
    <w:rsid w:val="00CD7DED"/>
    <w:rsid w:val="00CE101A"/>
    <w:rsid w:val="00CE3BB7"/>
    <w:rsid w:val="00CF4063"/>
    <w:rsid w:val="00CF4B42"/>
    <w:rsid w:val="00CF544C"/>
    <w:rsid w:val="00D05146"/>
    <w:rsid w:val="00D111BD"/>
    <w:rsid w:val="00D12177"/>
    <w:rsid w:val="00D1552C"/>
    <w:rsid w:val="00D24DA3"/>
    <w:rsid w:val="00D34C4C"/>
    <w:rsid w:val="00D353B3"/>
    <w:rsid w:val="00D4438F"/>
    <w:rsid w:val="00D505D2"/>
    <w:rsid w:val="00D5467D"/>
    <w:rsid w:val="00D5467F"/>
    <w:rsid w:val="00D641AC"/>
    <w:rsid w:val="00D64923"/>
    <w:rsid w:val="00D73964"/>
    <w:rsid w:val="00D73FF4"/>
    <w:rsid w:val="00D803D8"/>
    <w:rsid w:val="00D82A47"/>
    <w:rsid w:val="00D85377"/>
    <w:rsid w:val="00D877EE"/>
    <w:rsid w:val="00D95D0C"/>
    <w:rsid w:val="00D95E23"/>
    <w:rsid w:val="00DA2C0C"/>
    <w:rsid w:val="00DB0E6A"/>
    <w:rsid w:val="00DB255D"/>
    <w:rsid w:val="00DB28A3"/>
    <w:rsid w:val="00DC0158"/>
    <w:rsid w:val="00DC0766"/>
    <w:rsid w:val="00DC699D"/>
    <w:rsid w:val="00DD009B"/>
    <w:rsid w:val="00DD1792"/>
    <w:rsid w:val="00DD296A"/>
    <w:rsid w:val="00DD32E0"/>
    <w:rsid w:val="00DD4AC5"/>
    <w:rsid w:val="00DD5B38"/>
    <w:rsid w:val="00DE3F0C"/>
    <w:rsid w:val="00DE41DD"/>
    <w:rsid w:val="00DE57A6"/>
    <w:rsid w:val="00DF095D"/>
    <w:rsid w:val="00DF16EF"/>
    <w:rsid w:val="00DF4DBD"/>
    <w:rsid w:val="00DF7E7A"/>
    <w:rsid w:val="00E0230F"/>
    <w:rsid w:val="00E051F8"/>
    <w:rsid w:val="00E07120"/>
    <w:rsid w:val="00E114A5"/>
    <w:rsid w:val="00E1189F"/>
    <w:rsid w:val="00E134A4"/>
    <w:rsid w:val="00E2304C"/>
    <w:rsid w:val="00E30E80"/>
    <w:rsid w:val="00E31582"/>
    <w:rsid w:val="00E34190"/>
    <w:rsid w:val="00E34B0E"/>
    <w:rsid w:val="00E35FB7"/>
    <w:rsid w:val="00E37A47"/>
    <w:rsid w:val="00E46245"/>
    <w:rsid w:val="00E51C21"/>
    <w:rsid w:val="00E547C1"/>
    <w:rsid w:val="00E548B8"/>
    <w:rsid w:val="00E63E7D"/>
    <w:rsid w:val="00E643AB"/>
    <w:rsid w:val="00E67157"/>
    <w:rsid w:val="00E6722D"/>
    <w:rsid w:val="00E6778E"/>
    <w:rsid w:val="00E7455A"/>
    <w:rsid w:val="00E747A4"/>
    <w:rsid w:val="00E8250B"/>
    <w:rsid w:val="00E85A71"/>
    <w:rsid w:val="00E85A8E"/>
    <w:rsid w:val="00E86578"/>
    <w:rsid w:val="00E86BE7"/>
    <w:rsid w:val="00E90B94"/>
    <w:rsid w:val="00E92EB2"/>
    <w:rsid w:val="00E9352A"/>
    <w:rsid w:val="00E9402E"/>
    <w:rsid w:val="00E95EA4"/>
    <w:rsid w:val="00EA0BDD"/>
    <w:rsid w:val="00EA3641"/>
    <w:rsid w:val="00EA55B0"/>
    <w:rsid w:val="00EA7C89"/>
    <w:rsid w:val="00EB1910"/>
    <w:rsid w:val="00EB29E4"/>
    <w:rsid w:val="00EB46BC"/>
    <w:rsid w:val="00EB56D2"/>
    <w:rsid w:val="00EC035F"/>
    <w:rsid w:val="00EC0866"/>
    <w:rsid w:val="00EC1802"/>
    <w:rsid w:val="00EC3203"/>
    <w:rsid w:val="00EC4C70"/>
    <w:rsid w:val="00EC50BF"/>
    <w:rsid w:val="00EC5755"/>
    <w:rsid w:val="00ED15EE"/>
    <w:rsid w:val="00ED1AC2"/>
    <w:rsid w:val="00ED2592"/>
    <w:rsid w:val="00ED41B4"/>
    <w:rsid w:val="00ED59B3"/>
    <w:rsid w:val="00ED5DDD"/>
    <w:rsid w:val="00EE1E38"/>
    <w:rsid w:val="00EE4D3C"/>
    <w:rsid w:val="00EF1733"/>
    <w:rsid w:val="00EF210C"/>
    <w:rsid w:val="00F01434"/>
    <w:rsid w:val="00F02C24"/>
    <w:rsid w:val="00F068DE"/>
    <w:rsid w:val="00F1530F"/>
    <w:rsid w:val="00F16D6B"/>
    <w:rsid w:val="00F17A35"/>
    <w:rsid w:val="00F23DDE"/>
    <w:rsid w:val="00F27149"/>
    <w:rsid w:val="00F43253"/>
    <w:rsid w:val="00F46AFE"/>
    <w:rsid w:val="00F51E9A"/>
    <w:rsid w:val="00F53F67"/>
    <w:rsid w:val="00F56545"/>
    <w:rsid w:val="00F741B1"/>
    <w:rsid w:val="00F7502F"/>
    <w:rsid w:val="00F776EB"/>
    <w:rsid w:val="00F94A77"/>
    <w:rsid w:val="00FA26CF"/>
    <w:rsid w:val="00FA27F4"/>
    <w:rsid w:val="00FA32D3"/>
    <w:rsid w:val="00FA7247"/>
    <w:rsid w:val="00FB2376"/>
    <w:rsid w:val="00FB3403"/>
    <w:rsid w:val="00FB3FEE"/>
    <w:rsid w:val="00FB6845"/>
    <w:rsid w:val="00FC5B4F"/>
    <w:rsid w:val="00FC6C38"/>
    <w:rsid w:val="00FD0576"/>
    <w:rsid w:val="00FD1AA3"/>
    <w:rsid w:val="00FE1998"/>
    <w:rsid w:val="00FF14EA"/>
    <w:rsid w:val="00FF2351"/>
    <w:rsid w:val="00FF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D13"/>
  <w15:docId w15:val="{CFC26CFB-E6FA-4A44-B035-E8C1E941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5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F4E"/>
    <w:pPr>
      <w:spacing w:after="0" w:line="240" w:lineRule="auto"/>
    </w:pPr>
  </w:style>
  <w:style w:type="paragraph" w:customStyle="1" w:styleId="Verdana">
    <w:name w:val="Verdana"/>
    <w:qFormat/>
    <w:rsid w:val="004F4C55"/>
    <w:pPr>
      <w:spacing w:after="0" w:line="240" w:lineRule="auto"/>
    </w:pPr>
    <w:rPr>
      <w:rFonts w:ascii="Verdana" w:eastAsia="Calibri" w:hAnsi="Verdana" w:cs="Times New Roman"/>
      <w:szCs w:val="24"/>
      <w:lang w:val="en-US"/>
    </w:rPr>
  </w:style>
  <w:style w:type="table" w:styleId="TableGrid">
    <w:name w:val="Table Grid"/>
    <w:basedOn w:val="TableNormal"/>
    <w:uiPriority w:val="59"/>
    <w:rsid w:val="004F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DB"/>
    <w:pPr>
      <w:ind w:left="720"/>
    </w:pPr>
    <w:rPr>
      <w:rFonts w:eastAsiaTheme="minorHAnsi" w:cs="Calibri"/>
      <w:lang w:eastAsia="en-GB"/>
    </w:rPr>
  </w:style>
  <w:style w:type="character" w:customStyle="1" w:styleId="st1">
    <w:name w:val="st1"/>
    <w:basedOn w:val="DefaultParagraphFont"/>
    <w:rsid w:val="002D189E"/>
  </w:style>
  <w:style w:type="paragraph" w:styleId="BalloonText">
    <w:name w:val="Balloon Text"/>
    <w:basedOn w:val="Normal"/>
    <w:link w:val="BalloonTextChar"/>
    <w:uiPriority w:val="99"/>
    <w:semiHidden/>
    <w:unhideWhenUsed/>
    <w:rsid w:val="00FD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A3"/>
    <w:rPr>
      <w:rFonts w:ascii="Segoe UI" w:eastAsia="Calibri" w:hAnsi="Segoe UI" w:cs="Segoe UI"/>
      <w:sz w:val="18"/>
      <w:szCs w:val="18"/>
    </w:rPr>
  </w:style>
  <w:style w:type="paragraph" w:styleId="Title">
    <w:name w:val="Title"/>
    <w:basedOn w:val="Normal"/>
    <w:link w:val="TitleChar"/>
    <w:qFormat/>
    <w:rsid w:val="00F01434"/>
    <w:pPr>
      <w:jc w:val="center"/>
    </w:pPr>
    <w:rPr>
      <w:rFonts w:ascii="Times New Roman" w:eastAsia="Times New Roman" w:hAnsi="Times New Roman"/>
      <w:b/>
      <w:bCs/>
      <w:szCs w:val="20"/>
    </w:rPr>
  </w:style>
  <w:style w:type="character" w:customStyle="1" w:styleId="TitleChar">
    <w:name w:val="Title Char"/>
    <w:basedOn w:val="DefaultParagraphFont"/>
    <w:link w:val="Title"/>
    <w:rsid w:val="00F01434"/>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1334">
      <w:bodyDiv w:val="1"/>
      <w:marLeft w:val="0"/>
      <w:marRight w:val="0"/>
      <w:marTop w:val="0"/>
      <w:marBottom w:val="0"/>
      <w:divBdr>
        <w:top w:val="none" w:sz="0" w:space="0" w:color="auto"/>
        <w:left w:val="none" w:sz="0" w:space="0" w:color="auto"/>
        <w:bottom w:val="none" w:sz="0" w:space="0" w:color="auto"/>
        <w:right w:val="none" w:sz="0" w:space="0" w:color="auto"/>
      </w:divBdr>
    </w:div>
    <w:div w:id="208500001">
      <w:bodyDiv w:val="1"/>
      <w:marLeft w:val="0"/>
      <w:marRight w:val="0"/>
      <w:marTop w:val="0"/>
      <w:marBottom w:val="0"/>
      <w:divBdr>
        <w:top w:val="none" w:sz="0" w:space="0" w:color="auto"/>
        <w:left w:val="none" w:sz="0" w:space="0" w:color="auto"/>
        <w:bottom w:val="none" w:sz="0" w:space="0" w:color="auto"/>
        <w:right w:val="none" w:sz="0" w:space="0" w:color="auto"/>
      </w:divBdr>
    </w:div>
    <w:div w:id="845049791">
      <w:bodyDiv w:val="1"/>
      <w:marLeft w:val="0"/>
      <w:marRight w:val="0"/>
      <w:marTop w:val="0"/>
      <w:marBottom w:val="0"/>
      <w:divBdr>
        <w:top w:val="none" w:sz="0" w:space="0" w:color="auto"/>
        <w:left w:val="none" w:sz="0" w:space="0" w:color="auto"/>
        <w:bottom w:val="none" w:sz="0" w:space="0" w:color="auto"/>
        <w:right w:val="none" w:sz="0" w:space="0" w:color="auto"/>
      </w:divBdr>
    </w:div>
    <w:div w:id="19920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4A2E-967F-4649-B1C3-64AFB8B7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10</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558</cp:revision>
  <cp:lastPrinted>2020-02-05T16:25:00Z</cp:lastPrinted>
  <dcterms:created xsi:type="dcterms:W3CDTF">2016-11-24T14:30:00Z</dcterms:created>
  <dcterms:modified xsi:type="dcterms:W3CDTF">2020-06-24T10:38:00Z</dcterms:modified>
</cp:coreProperties>
</file>