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15D29" w14:textId="17A01F2A" w:rsidR="004F4C55" w:rsidRPr="00AE293C" w:rsidRDefault="004F4C55" w:rsidP="00AE293C">
      <w:pPr>
        <w:jc w:val="center"/>
        <w:rPr>
          <w:rFonts w:ascii="Verdana" w:hAnsi="Verdana"/>
        </w:rPr>
      </w:pPr>
      <w:r>
        <w:rPr>
          <w:rFonts w:ascii="Verdana" w:hAnsi="Verdana"/>
          <w:b/>
        </w:rPr>
        <w:t xml:space="preserve">CORPORATION OF </w:t>
      </w:r>
      <w:r w:rsidRPr="00F97EF9">
        <w:rPr>
          <w:rFonts w:ascii="Verdana" w:hAnsi="Verdana"/>
          <w:b/>
        </w:rPr>
        <w:t>SIR GEORGE MONOUX COLLEGE</w:t>
      </w:r>
    </w:p>
    <w:p w14:paraId="38715D2A" w14:textId="77777777" w:rsidR="004F4C55" w:rsidRPr="00F97EF9" w:rsidRDefault="004F4C55" w:rsidP="004F4C55">
      <w:pPr>
        <w:jc w:val="center"/>
        <w:rPr>
          <w:rFonts w:ascii="Verdana" w:hAnsi="Verdana"/>
          <w:b/>
        </w:rPr>
      </w:pPr>
    </w:p>
    <w:p w14:paraId="38715D2B" w14:textId="7F0F986F" w:rsidR="004F4C55" w:rsidRDefault="004F4C55" w:rsidP="000D4683">
      <w:pPr>
        <w:jc w:val="center"/>
        <w:rPr>
          <w:rFonts w:ascii="Verdana" w:hAnsi="Verdana"/>
          <w:b/>
        </w:rPr>
      </w:pPr>
      <w:r w:rsidRPr="003475F7">
        <w:rPr>
          <w:rFonts w:ascii="Verdana" w:hAnsi="Verdana"/>
          <w:b/>
        </w:rPr>
        <w:t xml:space="preserve">Minutes of </w:t>
      </w:r>
      <w:r w:rsidR="000D4683">
        <w:rPr>
          <w:rFonts w:ascii="Verdana" w:hAnsi="Verdana"/>
          <w:b/>
        </w:rPr>
        <w:t xml:space="preserve">Ordinary Business at </w:t>
      </w:r>
      <w:r w:rsidRPr="003475F7">
        <w:rPr>
          <w:rFonts w:ascii="Verdana" w:hAnsi="Verdana"/>
          <w:b/>
        </w:rPr>
        <w:t xml:space="preserve">the Meeting of the </w:t>
      </w:r>
      <w:r>
        <w:rPr>
          <w:rFonts w:ascii="Verdana" w:hAnsi="Verdana"/>
          <w:b/>
        </w:rPr>
        <w:t>Resources</w:t>
      </w:r>
      <w:r w:rsidRPr="003475F7">
        <w:rPr>
          <w:rFonts w:ascii="Verdana" w:hAnsi="Verdana"/>
          <w:b/>
        </w:rPr>
        <w:t xml:space="preserve"> Committee held on </w:t>
      </w:r>
      <w:r w:rsidR="002E019A">
        <w:rPr>
          <w:rFonts w:ascii="Verdana" w:hAnsi="Verdana"/>
          <w:b/>
        </w:rPr>
        <w:t>30</w:t>
      </w:r>
      <w:r w:rsidR="005D0C11">
        <w:rPr>
          <w:rFonts w:ascii="Verdana" w:hAnsi="Verdana"/>
          <w:b/>
        </w:rPr>
        <w:t xml:space="preserve"> November 20</w:t>
      </w:r>
      <w:r w:rsidR="00D32D25">
        <w:rPr>
          <w:rFonts w:ascii="Verdana" w:hAnsi="Verdana"/>
          <w:b/>
        </w:rPr>
        <w:t>20</w:t>
      </w:r>
    </w:p>
    <w:p w14:paraId="38715D2C" w14:textId="77777777" w:rsidR="0022757D" w:rsidRDefault="0022757D" w:rsidP="004F4C55">
      <w:pPr>
        <w:jc w:val="center"/>
        <w:rPr>
          <w:rFonts w:ascii="Verdana" w:hAnsi="Verdana"/>
          <w:b/>
        </w:rPr>
      </w:pPr>
    </w:p>
    <w:tbl>
      <w:tblPr>
        <w:tblW w:w="9322" w:type="dxa"/>
        <w:tblLook w:val="04A0" w:firstRow="1" w:lastRow="0" w:firstColumn="1" w:lastColumn="0" w:noHBand="0" w:noVBand="1"/>
      </w:tblPr>
      <w:tblGrid>
        <w:gridCol w:w="2376"/>
        <w:gridCol w:w="6946"/>
      </w:tblGrid>
      <w:tr w:rsidR="004F4C55" w:rsidRPr="003D3002" w14:paraId="38715D31" w14:textId="77777777" w:rsidTr="00C54211">
        <w:tc>
          <w:tcPr>
            <w:tcW w:w="2376" w:type="dxa"/>
          </w:tcPr>
          <w:p w14:paraId="38715D2D" w14:textId="77777777" w:rsidR="004F4C55" w:rsidRPr="00485D81" w:rsidRDefault="004F4C55" w:rsidP="00721161">
            <w:pPr>
              <w:rPr>
                <w:rFonts w:ascii="Verdana" w:hAnsi="Verdana"/>
                <w:b/>
              </w:rPr>
            </w:pPr>
            <w:r w:rsidRPr="00485D81">
              <w:rPr>
                <w:rFonts w:ascii="Verdana" w:hAnsi="Verdana"/>
                <w:b/>
              </w:rPr>
              <w:t>Present</w:t>
            </w:r>
          </w:p>
          <w:p w14:paraId="38715D2E" w14:textId="77777777" w:rsidR="004F4C55" w:rsidRPr="00485D81" w:rsidRDefault="004F4C55" w:rsidP="00721161">
            <w:pPr>
              <w:rPr>
                <w:rFonts w:ascii="Verdana" w:hAnsi="Verdana"/>
                <w:b/>
              </w:rPr>
            </w:pPr>
          </w:p>
        </w:tc>
        <w:tc>
          <w:tcPr>
            <w:tcW w:w="6946" w:type="dxa"/>
          </w:tcPr>
          <w:p w14:paraId="5F9E1FA0" w14:textId="45047D04" w:rsidR="004F4C55" w:rsidRDefault="00485D81" w:rsidP="00260D64">
            <w:pPr>
              <w:rPr>
                <w:rFonts w:ascii="Verdana" w:hAnsi="Verdana"/>
              </w:rPr>
            </w:pPr>
            <w:r w:rsidRPr="00485D81">
              <w:rPr>
                <w:rFonts w:ascii="Verdana" w:hAnsi="Verdana"/>
              </w:rPr>
              <w:t>Jagdev Kenth</w:t>
            </w:r>
            <w:r w:rsidR="00812EAA">
              <w:rPr>
                <w:rFonts w:ascii="Verdana" w:hAnsi="Verdana"/>
              </w:rPr>
              <w:t xml:space="preserve"> (Acting Chair)</w:t>
            </w:r>
            <w:r w:rsidRPr="00485D81">
              <w:rPr>
                <w:rFonts w:ascii="Verdana" w:hAnsi="Verdana"/>
              </w:rPr>
              <w:t>,</w:t>
            </w:r>
            <w:r w:rsidR="00D32D25">
              <w:rPr>
                <w:rFonts w:ascii="Verdana" w:hAnsi="Verdana"/>
              </w:rPr>
              <w:t xml:space="preserve"> David </w:t>
            </w:r>
            <w:proofErr w:type="spellStart"/>
            <w:r w:rsidR="00D32D25">
              <w:rPr>
                <w:rFonts w:ascii="Verdana" w:hAnsi="Verdana"/>
              </w:rPr>
              <w:t>Vasse</w:t>
            </w:r>
            <w:proofErr w:type="spellEnd"/>
            <w:r w:rsidR="00D32D25">
              <w:rPr>
                <w:rFonts w:ascii="Verdana" w:hAnsi="Verdana"/>
              </w:rPr>
              <w:t>,</w:t>
            </w:r>
            <w:r w:rsidRPr="00485D81">
              <w:rPr>
                <w:rFonts w:ascii="Verdana" w:hAnsi="Verdana"/>
              </w:rPr>
              <w:t xml:space="preserve"> Sara Whittaker</w:t>
            </w:r>
            <w:r w:rsidR="00D32D25">
              <w:rPr>
                <w:rFonts w:ascii="Verdana" w:hAnsi="Verdana"/>
              </w:rPr>
              <w:t xml:space="preserve">, Jay </w:t>
            </w:r>
            <w:proofErr w:type="spellStart"/>
            <w:r w:rsidR="00D32D25">
              <w:rPr>
                <w:rFonts w:ascii="Verdana" w:hAnsi="Verdana"/>
              </w:rPr>
              <w:t>Wint</w:t>
            </w:r>
            <w:proofErr w:type="spellEnd"/>
            <w:r w:rsidR="00D32D25">
              <w:rPr>
                <w:rFonts w:ascii="Verdana" w:hAnsi="Verdana"/>
              </w:rPr>
              <w:t>.</w:t>
            </w:r>
          </w:p>
          <w:p w14:paraId="38715D30" w14:textId="681DF071" w:rsidR="00D32D25" w:rsidRPr="00485D81" w:rsidRDefault="00D32D25" w:rsidP="00260D64">
            <w:pPr>
              <w:rPr>
                <w:rFonts w:ascii="Verdana" w:hAnsi="Verdana"/>
              </w:rPr>
            </w:pPr>
          </w:p>
        </w:tc>
      </w:tr>
      <w:tr w:rsidR="004F4C55" w:rsidRPr="003D3002" w14:paraId="38715D38" w14:textId="77777777" w:rsidTr="00C54211">
        <w:tc>
          <w:tcPr>
            <w:tcW w:w="2376" w:type="dxa"/>
          </w:tcPr>
          <w:p w14:paraId="38715D36" w14:textId="3B025867" w:rsidR="004F4C55" w:rsidRPr="003D3002" w:rsidRDefault="00585941" w:rsidP="00721161">
            <w:pPr>
              <w:rPr>
                <w:rFonts w:ascii="Verdana" w:hAnsi="Verdana"/>
                <w:b/>
              </w:rPr>
            </w:pPr>
            <w:r>
              <w:rPr>
                <w:rFonts w:ascii="Verdana" w:hAnsi="Verdana"/>
                <w:b/>
              </w:rPr>
              <w:t>In Attendance</w:t>
            </w:r>
          </w:p>
        </w:tc>
        <w:tc>
          <w:tcPr>
            <w:tcW w:w="6946" w:type="dxa"/>
          </w:tcPr>
          <w:p w14:paraId="38715D37" w14:textId="583CD4A6" w:rsidR="004F4C55" w:rsidRPr="003D3002" w:rsidRDefault="00AE02AD" w:rsidP="00E95EA4">
            <w:pPr>
              <w:rPr>
                <w:rFonts w:ascii="Verdana" w:hAnsi="Verdana"/>
              </w:rPr>
            </w:pPr>
            <w:r>
              <w:rPr>
                <w:rFonts w:ascii="Verdana" w:hAnsi="Verdana"/>
              </w:rPr>
              <w:t xml:space="preserve">Beno Azebiah (Head of HR: Agendum 5 only), </w:t>
            </w:r>
            <w:r w:rsidR="002E019A">
              <w:rPr>
                <w:rFonts w:ascii="Verdana" w:hAnsi="Verdana"/>
              </w:rPr>
              <w:t xml:space="preserve">David Ball (Vice Principal: Corporate Services), </w:t>
            </w:r>
            <w:r w:rsidR="00585941" w:rsidRPr="003D3002">
              <w:rPr>
                <w:rFonts w:ascii="Verdana" w:hAnsi="Verdana"/>
              </w:rPr>
              <w:t>Robert Smith (Clerk to the Corporation)</w:t>
            </w:r>
            <w:r w:rsidR="002E019A">
              <w:rPr>
                <w:rFonts w:ascii="Verdana" w:hAnsi="Verdana"/>
              </w:rPr>
              <w:t>, Alan Wells (Chair of the Corporation)</w:t>
            </w:r>
            <w:r w:rsidR="00585941">
              <w:rPr>
                <w:rFonts w:ascii="Verdana" w:hAnsi="Verdana"/>
              </w:rPr>
              <w:t>.</w:t>
            </w:r>
          </w:p>
        </w:tc>
      </w:tr>
    </w:tbl>
    <w:p w14:paraId="38715D39" w14:textId="77777777" w:rsidR="004F4C55" w:rsidRPr="00F97EF9" w:rsidRDefault="004F4C55" w:rsidP="004F4C55">
      <w:pPr>
        <w:rPr>
          <w:rFonts w:ascii="Verdana" w:hAnsi="Verdana"/>
          <w:b/>
        </w:rPr>
      </w:pPr>
    </w:p>
    <w:tbl>
      <w:tblPr>
        <w:tblW w:w="9322" w:type="dxa"/>
        <w:tblLook w:val="04A0" w:firstRow="1" w:lastRow="0" w:firstColumn="1" w:lastColumn="0" w:noHBand="0" w:noVBand="1"/>
      </w:tblPr>
      <w:tblGrid>
        <w:gridCol w:w="534"/>
        <w:gridCol w:w="8788"/>
      </w:tblGrid>
      <w:tr w:rsidR="004F4C55" w:rsidRPr="00F97EF9" w14:paraId="38715D41" w14:textId="77777777" w:rsidTr="00C54211">
        <w:tc>
          <w:tcPr>
            <w:tcW w:w="534" w:type="dxa"/>
          </w:tcPr>
          <w:p w14:paraId="38715D3A" w14:textId="77777777" w:rsidR="004F4C55" w:rsidRPr="00580B68" w:rsidRDefault="004F4C55" w:rsidP="00721161">
            <w:pPr>
              <w:rPr>
                <w:rFonts w:ascii="Verdana" w:hAnsi="Verdana"/>
                <w:b/>
              </w:rPr>
            </w:pPr>
            <w:r w:rsidRPr="00580B68">
              <w:rPr>
                <w:rFonts w:ascii="Verdana" w:hAnsi="Verdana"/>
                <w:b/>
              </w:rPr>
              <w:t>1</w:t>
            </w:r>
          </w:p>
        </w:tc>
        <w:tc>
          <w:tcPr>
            <w:tcW w:w="8788" w:type="dxa"/>
          </w:tcPr>
          <w:p w14:paraId="38715D3B" w14:textId="5DC21F99" w:rsidR="004F4C55" w:rsidRDefault="00D32D25" w:rsidP="00721161">
            <w:pPr>
              <w:rPr>
                <w:rFonts w:ascii="Verdana" w:hAnsi="Verdana"/>
                <w:b/>
              </w:rPr>
            </w:pPr>
            <w:r>
              <w:rPr>
                <w:rFonts w:ascii="Verdana" w:hAnsi="Verdana"/>
                <w:b/>
              </w:rPr>
              <w:t xml:space="preserve">Welcome to New Member, </w:t>
            </w:r>
            <w:r w:rsidR="004F4C55" w:rsidRPr="00F97EF9">
              <w:rPr>
                <w:rFonts w:ascii="Verdana" w:hAnsi="Verdana"/>
                <w:b/>
              </w:rPr>
              <w:t>Apologies for Absence</w:t>
            </w:r>
            <w:r w:rsidR="004F4C55">
              <w:rPr>
                <w:rFonts w:ascii="Verdana" w:hAnsi="Verdana"/>
                <w:b/>
              </w:rPr>
              <w:t xml:space="preserve"> and Quoracy</w:t>
            </w:r>
          </w:p>
          <w:p w14:paraId="38715D3C" w14:textId="77777777" w:rsidR="004F4C55" w:rsidRDefault="004F4C55" w:rsidP="00721161">
            <w:pPr>
              <w:rPr>
                <w:rFonts w:ascii="Verdana" w:hAnsi="Verdana"/>
                <w:b/>
              </w:rPr>
            </w:pPr>
          </w:p>
          <w:p w14:paraId="426710A9" w14:textId="44695531" w:rsidR="00D32D25" w:rsidRDefault="00D32D25" w:rsidP="004F4C55">
            <w:pPr>
              <w:rPr>
                <w:rFonts w:ascii="Verdana" w:hAnsi="Verdana"/>
              </w:rPr>
            </w:pPr>
            <w:r>
              <w:rPr>
                <w:rFonts w:ascii="Verdana" w:hAnsi="Verdana"/>
              </w:rPr>
              <w:t xml:space="preserve">Jay </w:t>
            </w:r>
            <w:proofErr w:type="spellStart"/>
            <w:r>
              <w:rPr>
                <w:rFonts w:ascii="Verdana" w:hAnsi="Verdana"/>
              </w:rPr>
              <w:t>Wint</w:t>
            </w:r>
            <w:proofErr w:type="spellEnd"/>
            <w:r>
              <w:rPr>
                <w:rFonts w:ascii="Verdana" w:hAnsi="Verdana"/>
              </w:rPr>
              <w:t xml:space="preserve"> was welcomed on the occasion of her first meeting of the Committee.</w:t>
            </w:r>
          </w:p>
          <w:p w14:paraId="4EA53E37" w14:textId="77777777" w:rsidR="00D32D25" w:rsidRDefault="00D32D25" w:rsidP="004F4C55">
            <w:pPr>
              <w:rPr>
                <w:rFonts w:ascii="Verdana" w:hAnsi="Verdana"/>
              </w:rPr>
            </w:pPr>
          </w:p>
          <w:p w14:paraId="201ED92C" w14:textId="4996F908" w:rsidR="00485D81" w:rsidRDefault="004F4C55" w:rsidP="004F4C55">
            <w:pPr>
              <w:rPr>
                <w:rFonts w:ascii="Verdana" w:hAnsi="Verdana"/>
              </w:rPr>
            </w:pPr>
            <w:r>
              <w:rPr>
                <w:rFonts w:ascii="Verdana" w:hAnsi="Verdana"/>
              </w:rPr>
              <w:t>A</w:t>
            </w:r>
            <w:r w:rsidR="00485D81">
              <w:rPr>
                <w:rFonts w:ascii="Verdana" w:hAnsi="Verdana"/>
              </w:rPr>
              <w:t>pologies for absence had been received from the following member</w:t>
            </w:r>
            <w:r w:rsidR="00812EAA">
              <w:rPr>
                <w:rFonts w:ascii="Verdana" w:hAnsi="Verdana"/>
              </w:rPr>
              <w:t>s</w:t>
            </w:r>
            <w:r w:rsidR="00485D81">
              <w:rPr>
                <w:rFonts w:ascii="Verdana" w:hAnsi="Verdana"/>
              </w:rPr>
              <w:t xml:space="preserve"> of the Corporation: </w:t>
            </w:r>
            <w:r w:rsidR="00812EAA">
              <w:rPr>
                <w:rFonts w:ascii="Verdana" w:hAnsi="Verdana"/>
              </w:rPr>
              <w:t xml:space="preserve">Jonathan Bush, </w:t>
            </w:r>
            <w:r w:rsidR="00D32D25">
              <w:rPr>
                <w:rFonts w:ascii="Verdana" w:hAnsi="Verdana"/>
              </w:rPr>
              <w:t>Nazia Shah.</w:t>
            </w:r>
          </w:p>
          <w:p w14:paraId="34E3B2B4" w14:textId="77777777" w:rsidR="00485D81" w:rsidRDefault="00485D81" w:rsidP="004F4C55">
            <w:pPr>
              <w:rPr>
                <w:rFonts w:ascii="Verdana" w:hAnsi="Verdana"/>
              </w:rPr>
            </w:pPr>
          </w:p>
          <w:p w14:paraId="52C9FB58" w14:textId="3FDC960D" w:rsidR="002D189E" w:rsidRDefault="002D189E" w:rsidP="004F4C55">
            <w:pPr>
              <w:rPr>
                <w:rFonts w:ascii="Verdana" w:hAnsi="Verdana"/>
              </w:rPr>
            </w:pPr>
            <w:r>
              <w:rPr>
                <w:rFonts w:ascii="Verdana" w:hAnsi="Verdana"/>
              </w:rPr>
              <w:t>The meeting was quorate.</w:t>
            </w:r>
          </w:p>
          <w:p w14:paraId="0C754B04" w14:textId="0ACB8736" w:rsidR="00812EAA" w:rsidRDefault="00812EAA" w:rsidP="004F4C55">
            <w:pPr>
              <w:rPr>
                <w:rFonts w:ascii="Verdana" w:hAnsi="Verdana"/>
              </w:rPr>
            </w:pPr>
          </w:p>
          <w:p w14:paraId="3D0EE348" w14:textId="1FE0280B" w:rsidR="00812EAA" w:rsidRDefault="00812EAA" w:rsidP="004F4C55">
            <w:pPr>
              <w:rPr>
                <w:rFonts w:ascii="Verdana" w:hAnsi="Verdana"/>
              </w:rPr>
            </w:pPr>
            <w:r>
              <w:rPr>
                <w:rFonts w:ascii="Verdana" w:hAnsi="Verdana"/>
              </w:rPr>
              <w:t>In the absence of the Committee Chair, Jagdev Kenth (Vice-Chair of the Committee) presided at the meeting.</w:t>
            </w:r>
          </w:p>
          <w:p w14:paraId="38715D40" w14:textId="0D43803B" w:rsidR="004F4C55" w:rsidRPr="00F97EF9" w:rsidRDefault="004F4C55" w:rsidP="00173C78">
            <w:pPr>
              <w:rPr>
                <w:rFonts w:ascii="Verdana" w:hAnsi="Verdana"/>
              </w:rPr>
            </w:pPr>
          </w:p>
        </w:tc>
      </w:tr>
      <w:tr w:rsidR="004F4C55" w:rsidRPr="00F97EF9" w14:paraId="38715D47" w14:textId="77777777" w:rsidTr="00C54211">
        <w:tc>
          <w:tcPr>
            <w:tcW w:w="534" w:type="dxa"/>
          </w:tcPr>
          <w:p w14:paraId="38715D42" w14:textId="77777777" w:rsidR="004F4C55" w:rsidRPr="00580B68" w:rsidRDefault="004F4C55" w:rsidP="00721161">
            <w:pPr>
              <w:rPr>
                <w:rFonts w:ascii="Verdana" w:hAnsi="Verdana"/>
                <w:b/>
              </w:rPr>
            </w:pPr>
            <w:r w:rsidRPr="00580B68">
              <w:rPr>
                <w:rFonts w:ascii="Verdana" w:hAnsi="Verdana"/>
                <w:b/>
              </w:rPr>
              <w:t>2</w:t>
            </w:r>
          </w:p>
        </w:tc>
        <w:tc>
          <w:tcPr>
            <w:tcW w:w="8788" w:type="dxa"/>
          </w:tcPr>
          <w:p w14:paraId="38715D43" w14:textId="77777777" w:rsidR="004F4C55" w:rsidRPr="00F97EF9" w:rsidRDefault="004F4C55" w:rsidP="00721161">
            <w:pPr>
              <w:rPr>
                <w:rFonts w:ascii="Verdana" w:hAnsi="Verdana"/>
                <w:b/>
              </w:rPr>
            </w:pPr>
            <w:r w:rsidRPr="00F97EF9">
              <w:rPr>
                <w:rFonts w:ascii="Verdana" w:hAnsi="Verdana"/>
                <w:b/>
              </w:rPr>
              <w:t>Declarations of Interest</w:t>
            </w:r>
          </w:p>
          <w:p w14:paraId="38715D44" w14:textId="77777777" w:rsidR="004F4C55" w:rsidRPr="00F97EF9" w:rsidRDefault="004F4C55" w:rsidP="00721161">
            <w:pPr>
              <w:rPr>
                <w:rFonts w:ascii="Verdana" w:hAnsi="Verdana"/>
              </w:rPr>
            </w:pPr>
          </w:p>
          <w:p w14:paraId="38715D45" w14:textId="77777777" w:rsidR="004F4C55" w:rsidRPr="00580B68" w:rsidRDefault="004F4C55" w:rsidP="00721161">
            <w:pPr>
              <w:rPr>
                <w:rFonts w:ascii="Verdana" w:hAnsi="Verdana"/>
              </w:rPr>
            </w:pPr>
            <w:r>
              <w:rPr>
                <w:rFonts w:ascii="Verdana" w:hAnsi="Verdana"/>
              </w:rPr>
              <w:t>None.</w:t>
            </w:r>
          </w:p>
          <w:p w14:paraId="38715D46" w14:textId="77777777" w:rsidR="004F4C55" w:rsidRPr="00F97EF9" w:rsidRDefault="004F4C55" w:rsidP="00721161">
            <w:pPr>
              <w:rPr>
                <w:rFonts w:ascii="Verdana" w:hAnsi="Verdana"/>
              </w:rPr>
            </w:pPr>
          </w:p>
        </w:tc>
      </w:tr>
      <w:tr w:rsidR="004F4C55" w:rsidRPr="00F97EF9" w14:paraId="38715D4D" w14:textId="77777777" w:rsidTr="00C54211">
        <w:tc>
          <w:tcPr>
            <w:tcW w:w="534" w:type="dxa"/>
          </w:tcPr>
          <w:p w14:paraId="38715D48" w14:textId="77777777" w:rsidR="004F4C55" w:rsidRPr="00580B68" w:rsidRDefault="004F4C55" w:rsidP="00721161">
            <w:pPr>
              <w:rPr>
                <w:rFonts w:ascii="Verdana" w:hAnsi="Verdana"/>
                <w:b/>
              </w:rPr>
            </w:pPr>
            <w:r>
              <w:rPr>
                <w:rFonts w:ascii="Verdana" w:hAnsi="Verdana"/>
                <w:b/>
              </w:rPr>
              <w:t>3</w:t>
            </w:r>
          </w:p>
        </w:tc>
        <w:tc>
          <w:tcPr>
            <w:tcW w:w="8788" w:type="dxa"/>
          </w:tcPr>
          <w:p w14:paraId="38715D49" w14:textId="38806DEE" w:rsidR="004F4C55" w:rsidRPr="00F97EF9" w:rsidRDefault="004F4C55" w:rsidP="00721161">
            <w:pPr>
              <w:rPr>
                <w:rFonts w:ascii="Verdana" w:hAnsi="Verdana"/>
                <w:b/>
              </w:rPr>
            </w:pPr>
            <w:r w:rsidRPr="00F97EF9">
              <w:rPr>
                <w:rFonts w:ascii="Verdana" w:hAnsi="Verdana"/>
                <w:b/>
              </w:rPr>
              <w:t>Minutes of the Previous Meeting</w:t>
            </w:r>
            <w:r w:rsidRPr="00F97EF9">
              <w:rPr>
                <w:rFonts w:ascii="Verdana" w:hAnsi="Verdana"/>
              </w:rPr>
              <w:t xml:space="preserve"> </w:t>
            </w:r>
            <w:r w:rsidRPr="00F97EF9">
              <w:rPr>
                <w:rFonts w:ascii="Verdana" w:hAnsi="Verdana"/>
                <w:b/>
              </w:rPr>
              <w:t>(</w:t>
            </w:r>
            <w:r w:rsidR="00A870EC">
              <w:rPr>
                <w:rFonts w:ascii="Verdana" w:hAnsi="Verdana"/>
                <w:b/>
              </w:rPr>
              <w:t>23 June 2020</w:t>
            </w:r>
            <w:r w:rsidRPr="00F97EF9">
              <w:rPr>
                <w:rFonts w:ascii="Verdana" w:hAnsi="Verdana"/>
                <w:b/>
              </w:rPr>
              <w:t>)</w:t>
            </w:r>
          </w:p>
          <w:p w14:paraId="38715D4A" w14:textId="77777777" w:rsidR="004F4C55" w:rsidRDefault="004F4C55" w:rsidP="00721161">
            <w:pPr>
              <w:rPr>
                <w:rFonts w:ascii="Verdana" w:hAnsi="Verdana"/>
              </w:rPr>
            </w:pPr>
          </w:p>
          <w:p w14:paraId="57A72569" w14:textId="77777777" w:rsidR="00B75056" w:rsidRPr="00CA1B35" w:rsidRDefault="00B75056" w:rsidP="00B75056">
            <w:pPr>
              <w:rPr>
                <w:rFonts w:ascii="Verdana" w:hAnsi="Verdana"/>
              </w:rPr>
            </w:pPr>
            <w:r>
              <w:rPr>
                <w:rFonts w:ascii="Verdana" w:hAnsi="Verdana"/>
              </w:rPr>
              <w:t>It was</w:t>
            </w:r>
            <w:r w:rsidRPr="00CA1B35">
              <w:rPr>
                <w:rFonts w:ascii="Verdana" w:hAnsi="Verdana"/>
              </w:rPr>
              <w:t xml:space="preserve"> note</w:t>
            </w:r>
            <w:r>
              <w:rPr>
                <w:rFonts w:ascii="Verdana" w:hAnsi="Verdana"/>
              </w:rPr>
              <w:t>d that the draft minutes had been approved</w:t>
            </w:r>
            <w:r w:rsidRPr="00CA1B35">
              <w:rPr>
                <w:rFonts w:ascii="Verdana" w:hAnsi="Verdana"/>
              </w:rPr>
              <w:t xml:space="preserve"> by the Chair of the Co</w:t>
            </w:r>
            <w:r>
              <w:rPr>
                <w:rFonts w:ascii="Verdana" w:hAnsi="Verdana"/>
              </w:rPr>
              <w:t>mmittee</w:t>
            </w:r>
            <w:r w:rsidRPr="00CA1B35">
              <w:rPr>
                <w:rFonts w:ascii="Verdana" w:hAnsi="Verdana"/>
              </w:rPr>
              <w:t xml:space="preserve"> for circulation.</w:t>
            </w:r>
          </w:p>
          <w:p w14:paraId="42531140" w14:textId="77777777" w:rsidR="00B75056" w:rsidRDefault="00B75056" w:rsidP="00B75056">
            <w:pPr>
              <w:pStyle w:val="NoSpacing"/>
              <w:rPr>
                <w:rFonts w:ascii="Verdana" w:hAnsi="Verdana"/>
              </w:rPr>
            </w:pPr>
          </w:p>
          <w:p w14:paraId="07C99181" w14:textId="77777777" w:rsidR="00B75056" w:rsidRDefault="00B75056" w:rsidP="00B75056">
            <w:pPr>
              <w:pStyle w:val="NoSpacing"/>
              <w:rPr>
                <w:rFonts w:ascii="Verdana" w:hAnsi="Verdana"/>
              </w:rPr>
            </w:pPr>
            <w:r w:rsidRPr="008D40C1">
              <w:rPr>
                <w:rFonts w:ascii="Verdana" w:hAnsi="Verdana"/>
              </w:rPr>
              <w:t xml:space="preserve">The minutes were approved as a correct record of the business transacted, and </w:t>
            </w:r>
            <w:r w:rsidRPr="00B152B1">
              <w:rPr>
                <w:rFonts w:ascii="Verdana" w:hAnsi="Verdana"/>
                <w:i/>
              </w:rPr>
              <w:t>prima facie</w:t>
            </w:r>
            <w:r w:rsidRPr="008D40C1">
              <w:rPr>
                <w:rFonts w:ascii="Verdana" w:hAnsi="Verdana"/>
              </w:rPr>
              <w:t xml:space="preserve"> evidence of the proceedings to which they relate.</w:t>
            </w:r>
          </w:p>
          <w:p w14:paraId="38715D4C" w14:textId="77777777" w:rsidR="004F4C55" w:rsidRPr="00F97EF9" w:rsidRDefault="004F4C55" w:rsidP="00721161">
            <w:pPr>
              <w:rPr>
                <w:rFonts w:ascii="Verdana" w:hAnsi="Verdana"/>
              </w:rPr>
            </w:pPr>
          </w:p>
        </w:tc>
      </w:tr>
      <w:tr w:rsidR="004F4C55" w:rsidRPr="00F97EF9" w14:paraId="38715D52" w14:textId="77777777" w:rsidTr="00C54211">
        <w:tc>
          <w:tcPr>
            <w:tcW w:w="534" w:type="dxa"/>
          </w:tcPr>
          <w:p w14:paraId="38715D4E" w14:textId="77777777" w:rsidR="004F4C55" w:rsidRPr="00580B68" w:rsidRDefault="004F4C55" w:rsidP="00721161">
            <w:pPr>
              <w:rPr>
                <w:rFonts w:ascii="Verdana" w:hAnsi="Verdana"/>
                <w:b/>
              </w:rPr>
            </w:pPr>
            <w:r>
              <w:rPr>
                <w:rFonts w:ascii="Verdana" w:hAnsi="Verdana"/>
                <w:b/>
              </w:rPr>
              <w:t>4</w:t>
            </w:r>
          </w:p>
        </w:tc>
        <w:tc>
          <w:tcPr>
            <w:tcW w:w="8788" w:type="dxa"/>
          </w:tcPr>
          <w:p w14:paraId="38715D4F" w14:textId="0B1A9857" w:rsidR="004F4C55" w:rsidRPr="00F97EF9" w:rsidRDefault="004F4C55" w:rsidP="00721161">
            <w:pPr>
              <w:rPr>
                <w:rFonts w:ascii="Verdana" w:hAnsi="Verdana"/>
                <w:b/>
              </w:rPr>
            </w:pPr>
            <w:r w:rsidRPr="00F97EF9">
              <w:rPr>
                <w:rFonts w:ascii="Verdana" w:hAnsi="Verdana"/>
                <w:b/>
              </w:rPr>
              <w:t>Matters Arising from the Minutes</w:t>
            </w:r>
            <w:r w:rsidR="005D0C11">
              <w:rPr>
                <w:rFonts w:ascii="Verdana" w:hAnsi="Verdana"/>
                <w:b/>
              </w:rPr>
              <w:t xml:space="preserve"> </w:t>
            </w:r>
            <w:r w:rsidR="005D0C11" w:rsidRPr="00F97EF9">
              <w:rPr>
                <w:rFonts w:ascii="Verdana" w:hAnsi="Verdana"/>
                <w:b/>
              </w:rPr>
              <w:t>(</w:t>
            </w:r>
            <w:r w:rsidR="00C83EA3">
              <w:rPr>
                <w:rFonts w:ascii="Verdana" w:hAnsi="Verdana"/>
                <w:b/>
              </w:rPr>
              <w:t>23 June 2020</w:t>
            </w:r>
            <w:r w:rsidR="005D0C11" w:rsidRPr="00F97EF9">
              <w:rPr>
                <w:rFonts w:ascii="Verdana" w:hAnsi="Verdana"/>
                <w:b/>
              </w:rPr>
              <w:t>)</w:t>
            </w:r>
          </w:p>
          <w:p w14:paraId="38715D50" w14:textId="77777777" w:rsidR="004F4C55" w:rsidRPr="00F97EF9" w:rsidRDefault="004F4C55" w:rsidP="00721161">
            <w:pPr>
              <w:rPr>
                <w:rFonts w:ascii="Verdana" w:hAnsi="Verdana"/>
              </w:rPr>
            </w:pPr>
          </w:p>
          <w:p w14:paraId="1AD3F3E3" w14:textId="08B06418" w:rsidR="0020744E" w:rsidRDefault="00812EAA" w:rsidP="00A1087A">
            <w:pPr>
              <w:rPr>
                <w:rFonts w:ascii="Verdana" w:hAnsi="Verdana"/>
              </w:rPr>
            </w:pPr>
            <w:r w:rsidRPr="00812EAA">
              <w:rPr>
                <w:rFonts w:ascii="Verdana" w:hAnsi="Verdana"/>
                <w:i/>
                <w:iCs/>
              </w:rPr>
              <w:t>Minute 6:</w:t>
            </w:r>
            <w:r>
              <w:rPr>
                <w:rFonts w:ascii="Verdana" w:hAnsi="Verdana"/>
              </w:rPr>
              <w:t xml:space="preserve">  it was confirmed that funding subsequently received had compensated the College for losses otherwise incurred in relation to overseas trips.</w:t>
            </w:r>
          </w:p>
          <w:p w14:paraId="38715D51" w14:textId="65A8E131" w:rsidR="00734ABA" w:rsidRPr="00F97EF9" w:rsidRDefault="00734ABA" w:rsidP="00A1087A">
            <w:pPr>
              <w:rPr>
                <w:rFonts w:ascii="Verdana" w:hAnsi="Verdana"/>
              </w:rPr>
            </w:pPr>
          </w:p>
        </w:tc>
      </w:tr>
      <w:tr w:rsidR="005D0C11" w:rsidRPr="00F97EF9" w14:paraId="0FFA666A" w14:textId="77777777" w:rsidTr="00C54211">
        <w:tc>
          <w:tcPr>
            <w:tcW w:w="534" w:type="dxa"/>
          </w:tcPr>
          <w:p w14:paraId="4082C624" w14:textId="310B81A9" w:rsidR="005D0C11" w:rsidRDefault="00B53E8C" w:rsidP="00734ABA">
            <w:pPr>
              <w:rPr>
                <w:rFonts w:ascii="Verdana" w:hAnsi="Verdana"/>
                <w:b/>
              </w:rPr>
            </w:pPr>
            <w:r>
              <w:rPr>
                <w:rFonts w:ascii="Verdana" w:hAnsi="Verdana"/>
                <w:b/>
              </w:rPr>
              <w:t>5</w:t>
            </w:r>
          </w:p>
        </w:tc>
        <w:tc>
          <w:tcPr>
            <w:tcW w:w="8788" w:type="dxa"/>
          </w:tcPr>
          <w:p w14:paraId="6E48572B" w14:textId="77777777" w:rsidR="00B57DFE" w:rsidRDefault="00B57DFE" w:rsidP="00B57DFE">
            <w:pPr>
              <w:rPr>
                <w:rFonts w:ascii="Verdana" w:hAnsi="Verdana"/>
                <w:b/>
              </w:rPr>
            </w:pPr>
            <w:r>
              <w:rPr>
                <w:rFonts w:ascii="Verdana" w:hAnsi="Verdana"/>
                <w:b/>
              </w:rPr>
              <w:t>HR Annual Report 2019-20</w:t>
            </w:r>
          </w:p>
          <w:p w14:paraId="76CCB8C3" w14:textId="77777777" w:rsidR="005D0C11" w:rsidRDefault="005D0C11" w:rsidP="00734ABA">
            <w:pPr>
              <w:pStyle w:val="NoSpacing"/>
              <w:rPr>
                <w:rFonts w:ascii="Verdana" w:hAnsi="Verdana"/>
                <w:b/>
              </w:rPr>
            </w:pPr>
          </w:p>
          <w:p w14:paraId="008A9B3B" w14:textId="3F07EC6C" w:rsidR="009F4315" w:rsidRDefault="00B57DFE" w:rsidP="00734ABA">
            <w:pPr>
              <w:pStyle w:val="NoSpacing"/>
              <w:rPr>
                <w:rFonts w:ascii="Verdana" w:hAnsi="Verdana"/>
              </w:rPr>
            </w:pPr>
            <w:r>
              <w:rPr>
                <w:rFonts w:ascii="Verdana" w:hAnsi="Verdana"/>
              </w:rPr>
              <w:t>The report was received and considered.</w:t>
            </w:r>
          </w:p>
          <w:p w14:paraId="2E05BD6F" w14:textId="2D4108C4" w:rsidR="00B57DFE" w:rsidRDefault="00B57DFE" w:rsidP="00734ABA">
            <w:pPr>
              <w:pStyle w:val="NoSpacing"/>
              <w:rPr>
                <w:rFonts w:ascii="Verdana" w:hAnsi="Verdana"/>
              </w:rPr>
            </w:pPr>
          </w:p>
          <w:p w14:paraId="32FA1EF2" w14:textId="479ACC7F" w:rsidR="00B57DFE" w:rsidRDefault="00B57DFE" w:rsidP="00734ABA">
            <w:pPr>
              <w:pStyle w:val="NoSpacing"/>
              <w:rPr>
                <w:rFonts w:ascii="Verdana" w:hAnsi="Verdana"/>
              </w:rPr>
            </w:pPr>
            <w:r>
              <w:rPr>
                <w:rFonts w:ascii="Verdana" w:hAnsi="Verdana"/>
              </w:rPr>
              <w:t>It was noted that:</w:t>
            </w:r>
          </w:p>
          <w:p w14:paraId="18A3FAD5" w14:textId="65DA76EC" w:rsidR="00B57DFE" w:rsidRDefault="00B57DFE" w:rsidP="00734ABA">
            <w:pPr>
              <w:pStyle w:val="NoSpacing"/>
              <w:rPr>
                <w:rFonts w:ascii="Verdana" w:hAnsi="Verdana"/>
              </w:rPr>
            </w:pPr>
          </w:p>
          <w:p w14:paraId="091128C2" w14:textId="5D71889D" w:rsidR="00B57DFE" w:rsidRDefault="00B57DFE" w:rsidP="00734ABA">
            <w:pPr>
              <w:pStyle w:val="NoSpacing"/>
              <w:rPr>
                <w:rFonts w:ascii="Verdana" w:hAnsi="Verdana"/>
                <w:i/>
                <w:iCs/>
              </w:rPr>
            </w:pPr>
            <w:r w:rsidRPr="00B57DFE">
              <w:rPr>
                <w:rFonts w:ascii="Verdana" w:hAnsi="Verdana"/>
                <w:i/>
                <w:iCs/>
              </w:rPr>
              <w:t>all teaching roles</w:t>
            </w:r>
            <w:r>
              <w:rPr>
                <w:rFonts w:ascii="Verdana" w:hAnsi="Verdana"/>
                <w:i/>
                <w:iCs/>
              </w:rPr>
              <w:t xml:space="preserve">, and </w:t>
            </w:r>
            <w:r w:rsidR="00812EAA">
              <w:rPr>
                <w:rFonts w:ascii="Verdana" w:hAnsi="Verdana"/>
                <w:i/>
                <w:iCs/>
              </w:rPr>
              <w:t>most</w:t>
            </w:r>
            <w:r>
              <w:rPr>
                <w:rFonts w:ascii="Verdana" w:hAnsi="Verdana"/>
                <w:i/>
                <w:iCs/>
              </w:rPr>
              <w:t xml:space="preserve"> support roles</w:t>
            </w:r>
            <w:r w:rsidR="00812EAA">
              <w:rPr>
                <w:rFonts w:ascii="Verdana" w:hAnsi="Verdana"/>
                <w:i/>
                <w:iCs/>
              </w:rPr>
              <w:t xml:space="preserve"> (</w:t>
            </w:r>
            <w:r w:rsidR="008909C4">
              <w:rPr>
                <w:rFonts w:ascii="Verdana" w:hAnsi="Verdana"/>
                <w:i/>
                <w:iCs/>
              </w:rPr>
              <w:t>with the signal exception of web developer)</w:t>
            </w:r>
            <w:r>
              <w:rPr>
                <w:rFonts w:ascii="Verdana" w:hAnsi="Verdana"/>
                <w:i/>
                <w:iCs/>
              </w:rPr>
              <w:t>,</w:t>
            </w:r>
            <w:r w:rsidRPr="00B57DFE">
              <w:rPr>
                <w:rFonts w:ascii="Verdana" w:hAnsi="Verdana"/>
                <w:i/>
                <w:iCs/>
              </w:rPr>
              <w:t xml:space="preserve"> had been successfully filled in the year reported;</w:t>
            </w:r>
          </w:p>
          <w:p w14:paraId="4563DE01" w14:textId="234893C6" w:rsidR="00B57DFE" w:rsidRDefault="00B57DFE" w:rsidP="00734ABA">
            <w:pPr>
              <w:pStyle w:val="NoSpacing"/>
              <w:rPr>
                <w:rFonts w:ascii="Verdana" w:hAnsi="Verdana"/>
                <w:i/>
                <w:iCs/>
              </w:rPr>
            </w:pPr>
          </w:p>
          <w:p w14:paraId="628A89DC" w14:textId="371D221B" w:rsidR="00B57DFE" w:rsidRDefault="00B57DFE" w:rsidP="00B57DFE">
            <w:pPr>
              <w:pStyle w:val="NoSpacing"/>
              <w:jc w:val="both"/>
              <w:rPr>
                <w:rFonts w:ascii="Verdana" w:hAnsi="Verdana"/>
                <w:i/>
                <w:iCs/>
              </w:rPr>
            </w:pPr>
            <w:r>
              <w:rPr>
                <w:rFonts w:ascii="Verdana" w:hAnsi="Verdana"/>
                <w:i/>
                <w:iCs/>
              </w:rPr>
              <w:lastRenderedPageBreak/>
              <w:t>t</w:t>
            </w:r>
            <w:r w:rsidRPr="00B57DFE">
              <w:rPr>
                <w:rFonts w:ascii="Verdana" w:hAnsi="Verdana"/>
                <w:i/>
                <w:iCs/>
              </w:rPr>
              <w:t>he</w:t>
            </w:r>
            <w:r>
              <w:rPr>
                <w:rFonts w:ascii="Verdana" w:hAnsi="Verdana"/>
                <w:i/>
                <w:iCs/>
              </w:rPr>
              <w:t xml:space="preserve"> College’s </w:t>
            </w:r>
            <w:r w:rsidRPr="00B57DFE">
              <w:rPr>
                <w:rFonts w:ascii="Verdana" w:hAnsi="Verdana"/>
                <w:i/>
                <w:iCs/>
              </w:rPr>
              <w:t xml:space="preserve">disciplinary procedure </w:t>
            </w:r>
            <w:r>
              <w:rPr>
                <w:rFonts w:ascii="Verdana" w:hAnsi="Verdana"/>
                <w:i/>
                <w:iCs/>
              </w:rPr>
              <w:t>had been</w:t>
            </w:r>
            <w:r w:rsidRPr="00B57DFE">
              <w:rPr>
                <w:rFonts w:ascii="Verdana" w:hAnsi="Verdana"/>
                <w:i/>
                <w:iCs/>
              </w:rPr>
              <w:t xml:space="preserve"> invoked on </w:t>
            </w:r>
            <w:r>
              <w:rPr>
                <w:rFonts w:ascii="Verdana" w:hAnsi="Verdana"/>
                <w:i/>
                <w:iCs/>
              </w:rPr>
              <w:t>six</w:t>
            </w:r>
            <w:r w:rsidRPr="00B57DFE">
              <w:rPr>
                <w:rFonts w:ascii="Verdana" w:hAnsi="Verdana"/>
                <w:i/>
                <w:iCs/>
              </w:rPr>
              <w:t xml:space="preserve"> occasions, resulting in </w:t>
            </w:r>
            <w:r>
              <w:rPr>
                <w:rFonts w:ascii="Verdana" w:hAnsi="Verdana"/>
                <w:i/>
                <w:iCs/>
              </w:rPr>
              <w:t>two</w:t>
            </w:r>
            <w:r w:rsidRPr="00B57DFE">
              <w:rPr>
                <w:rFonts w:ascii="Verdana" w:hAnsi="Verdana"/>
                <w:i/>
                <w:iCs/>
              </w:rPr>
              <w:t xml:space="preserve"> dismissals and </w:t>
            </w:r>
            <w:r>
              <w:rPr>
                <w:rFonts w:ascii="Verdana" w:hAnsi="Verdana"/>
                <w:i/>
                <w:iCs/>
              </w:rPr>
              <w:t>four</w:t>
            </w:r>
            <w:r w:rsidRPr="00B57DFE">
              <w:rPr>
                <w:rFonts w:ascii="Verdana" w:hAnsi="Verdana"/>
                <w:i/>
                <w:iCs/>
              </w:rPr>
              <w:t xml:space="preserve"> resignations</w:t>
            </w:r>
            <w:r>
              <w:rPr>
                <w:rFonts w:ascii="Verdana" w:hAnsi="Verdana"/>
                <w:i/>
                <w:iCs/>
              </w:rPr>
              <w:t>, which,</w:t>
            </w:r>
            <w:r w:rsidRPr="00B57DFE">
              <w:rPr>
                <w:rFonts w:ascii="Verdana" w:hAnsi="Verdana"/>
                <w:i/>
                <w:iCs/>
              </w:rPr>
              <w:t xml:space="preserve"> </w:t>
            </w:r>
            <w:r>
              <w:rPr>
                <w:rFonts w:ascii="Verdana" w:hAnsi="Verdana"/>
                <w:i/>
                <w:iCs/>
              </w:rPr>
              <w:t>w</w:t>
            </w:r>
            <w:r w:rsidRPr="00B57DFE">
              <w:rPr>
                <w:rFonts w:ascii="Verdana" w:hAnsi="Verdana"/>
                <w:i/>
                <w:iCs/>
              </w:rPr>
              <w:t xml:space="preserve">hilst </w:t>
            </w:r>
            <w:r>
              <w:rPr>
                <w:rFonts w:ascii="Verdana" w:hAnsi="Verdana"/>
                <w:i/>
                <w:iCs/>
              </w:rPr>
              <w:t>representing</w:t>
            </w:r>
            <w:r w:rsidRPr="00B57DFE">
              <w:rPr>
                <w:rFonts w:ascii="Verdana" w:hAnsi="Verdana"/>
                <w:i/>
                <w:iCs/>
              </w:rPr>
              <w:t xml:space="preserve"> an increase from previous years</w:t>
            </w:r>
            <w:r>
              <w:rPr>
                <w:rFonts w:ascii="Verdana" w:hAnsi="Verdana"/>
                <w:i/>
                <w:iCs/>
              </w:rPr>
              <w:t xml:space="preserve">, </w:t>
            </w:r>
            <w:r w:rsidR="00D5267D">
              <w:rPr>
                <w:rFonts w:ascii="Verdana" w:hAnsi="Verdana"/>
                <w:i/>
                <w:iCs/>
              </w:rPr>
              <w:t>had not been identified</w:t>
            </w:r>
            <w:r>
              <w:rPr>
                <w:rFonts w:ascii="Verdana" w:hAnsi="Verdana"/>
                <w:i/>
                <w:iCs/>
              </w:rPr>
              <w:t xml:space="preserve"> </w:t>
            </w:r>
            <w:r w:rsidR="00D5267D">
              <w:rPr>
                <w:rFonts w:ascii="Verdana" w:hAnsi="Verdana"/>
                <w:i/>
                <w:iCs/>
              </w:rPr>
              <w:t>as having</w:t>
            </w:r>
            <w:r>
              <w:rPr>
                <w:rFonts w:ascii="Verdana" w:hAnsi="Verdana"/>
                <w:i/>
                <w:iCs/>
              </w:rPr>
              <w:t xml:space="preserve"> an underlying cause;</w:t>
            </w:r>
          </w:p>
          <w:p w14:paraId="267754BA" w14:textId="77777777" w:rsidR="00B57DFE" w:rsidRDefault="00B57DFE" w:rsidP="00B57DFE">
            <w:pPr>
              <w:pStyle w:val="NoSpacing"/>
              <w:jc w:val="both"/>
              <w:rPr>
                <w:rFonts w:ascii="Verdana" w:hAnsi="Verdana"/>
                <w:i/>
                <w:iCs/>
              </w:rPr>
            </w:pPr>
          </w:p>
          <w:p w14:paraId="3259CA61" w14:textId="63E7A40E" w:rsidR="00B57DFE" w:rsidRDefault="00B57DFE" w:rsidP="005A1B5C">
            <w:pPr>
              <w:pStyle w:val="NoSpacing"/>
              <w:jc w:val="both"/>
              <w:rPr>
                <w:rFonts w:ascii="Verdana" w:hAnsi="Verdana"/>
                <w:i/>
                <w:iCs/>
              </w:rPr>
            </w:pPr>
            <w:r w:rsidRPr="005A1B5C">
              <w:rPr>
                <w:rFonts w:ascii="Verdana" w:hAnsi="Verdana"/>
                <w:i/>
                <w:iCs/>
              </w:rPr>
              <w:t>no grievances</w:t>
            </w:r>
            <w:r w:rsidR="005A1B5C" w:rsidRPr="005A1B5C">
              <w:rPr>
                <w:rFonts w:ascii="Verdana" w:hAnsi="Verdana"/>
                <w:i/>
                <w:iCs/>
              </w:rPr>
              <w:t xml:space="preserve"> or formal probationary actions</w:t>
            </w:r>
            <w:r w:rsidRPr="005A1B5C">
              <w:rPr>
                <w:rFonts w:ascii="Verdana" w:hAnsi="Verdana"/>
                <w:i/>
                <w:iCs/>
              </w:rPr>
              <w:t xml:space="preserve"> </w:t>
            </w:r>
            <w:r w:rsidR="005A1B5C" w:rsidRPr="005A1B5C">
              <w:rPr>
                <w:rFonts w:ascii="Verdana" w:hAnsi="Verdana"/>
                <w:i/>
                <w:iCs/>
              </w:rPr>
              <w:t>had been</w:t>
            </w:r>
            <w:r w:rsidRPr="005A1B5C">
              <w:rPr>
                <w:rFonts w:ascii="Verdana" w:hAnsi="Verdana"/>
                <w:i/>
                <w:iCs/>
              </w:rPr>
              <w:t xml:space="preserve"> reported</w:t>
            </w:r>
            <w:r w:rsidR="005A1B5C">
              <w:rPr>
                <w:rFonts w:ascii="Verdana" w:hAnsi="Verdana"/>
                <w:i/>
                <w:iCs/>
              </w:rPr>
              <w:t>, though p</w:t>
            </w:r>
            <w:r w:rsidR="005A1B5C" w:rsidRPr="005A1B5C">
              <w:rPr>
                <w:rFonts w:ascii="Verdana" w:hAnsi="Verdana"/>
                <w:i/>
                <w:iCs/>
              </w:rPr>
              <w:t>robationary reviews were suspended in March 2020 and have since resumed for the 2020</w:t>
            </w:r>
            <w:r w:rsidR="005A1B5C">
              <w:rPr>
                <w:rFonts w:ascii="Verdana" w:hAnsi="Verdana"/>
                <w:i/>
                <w:iCs/>
              </w:rPr>
              <w:t>-</w:t>
            </w:r>
            <w:r w:rsidR="005A1B5C" w:rsidRPr="005A1B5C">
              <w:rPr>
                <w:rFonts w:ascii="Verdana" w:hAnsi="Verdana"/>
                <w:i/>
                <w:iCs/>
              </w:rPr>
              <w:t>21 academic year</w:t>
            </w:r>
            <w:r w:rsidR="005A1B5C">
              <w:rPr>
                <w:rFonts w:ascii="Verdana" w:hAnsi="Verdana"/>
                <w:i/>
                <w:iCs/>
              </w:rPr>
              <w:t>, with</w:t>
            </w:r>
            <w:r w:rsidR="005A1B5C" w:rsidRPr="005A1B5C">
              <w:rPr>
                <w:rFonts w:ascii="Verdana" w:hAnsi="Verdana"/>
                <w:i/>
                <w:iCs/>
              </w:rPr>
              <w:t xml:space="preserve"> outcomes yet to be confirmed</w:t>
            </w:r>
            <w:r>
              <w:rPr>
                <w:rFonts w:ascii="Verdana" w:hAnsi="Verdana"/>
                <w:i/>
                <w:iCs/>
              </w:rPr>
              <w:t>;</w:t>
            </w:r>
          </w:p>
          <w:p w14:paraId="488DAABE" w14:textId="7DDC05F3" w:rsidR="005A1B5C" w:rsidRDefault="005A1B5C" w:rsidP="005A1B5C">
            <w:pPr>
              <w:pStyle w:val="NoSpacing"/>
              <w:jc w:val="both"/>
              <w:rPr>
                <w:rFonts w:ascii="Verdana" w:hAnsi="Verdana"/>
                <w:i/>
                <w:iCs/>
              </w:rPr>
            </w:pPr>
          </w:p>
          <w:p w14:paraId="7CDD2DB1" w14:textId="06957A78" w:rsidR="005A1B5C" w:rsidRDefault="005A1B5C" w:rsidP="005A1B5C">
            <w:pPr>
              <w:pStyle w:val="NoSpacing"/>
              <w:jc w:val="both"/>
              <w:rPr>
                <w:rFonts w:ascii="Verdana" w:hAnsi="Verdana"/>
                <w:i/>
                <w:iCs/>
              </w:rPr>
            </w:pPr>
            <w:r>
              <w:rPr>
                <w:rFonts w:ascii="Verdana" w:hAnsi="Verdana"/>
                <w:i/>
                <w:iCs/>
              </w:rPr>
              <w:t>staff turnover in the year was reported as 16.1% (2018-19: 19.4%, 2017-18: 26.3%);</w:t>
            </w:r>
          </w:p>
          <w:p w14:paraId="51906CFE" w14:textId="3BE600F1" w:rsidR="005A1B5C" w:rsidRDefault="005A1B5C" w:rsidP="005A1B5C">
            <w:pPr>
              <w:pStyle w:val="NoSpacing"/>
              <w:jc w:val="both"/>
              <w:rPr>
                <w:rFonts w:ascii="Verdana" w:hAnsi="Verdana"/>
                <w:i/>
                <w:iCs/>
              </w:rPr>
            </w:pPr>
          </w:p>
          <w:p w14:paraId="025701EB" w14:textId="77777777" w:rsidR="005A1B5C" w:rsidRDefault="005A1B5C" w:rsidP="005A1B5C">
            <w:pPr>
              <w:pStyle w:val="NoSpacing"/>
              <w:jc w:val="both"/>
              <w:rPr>
                <w:rFonts w:ascii="Verdana" w:hAnsi="Verdana"/>
                <w:i/>
                <w:iCs/>
              </w:rPr>
            </w:pPr>
            <w:r>
              <w:rPr>
                <w:rFonts w:ascii="Verdana" w:hAnsi="Verdana"/>
                <w:i/>
                <w:iCs/>
              </w:rPr>
              <w:t>the average rate of staff sickness in the year was reported as 5.1 days (2018-19: 6.2, 2017-18: 4.6), against a sector average of 7.8 and an overall average of 5.8;</w:t>
            </w:r>
          </w:p>
          <w:p w14:paraId="6A1BD8F8" w14:textId="77777777" w:rsidR="005A1B5C" w:rsidRDefault="005A1B5C" w:rsidP="005A1B5C">
            <w:pPr>
              <w:pStyle w:val="NoSpacing"/>
              <w:jc w:val="both"/>
              <w:rPr>
                <w:rFonts w:ascii="Verdana" w:hAnsi="Verdana"/>
                <w:i/>
                <w:iCs/>
              </w:rPr>
            </w:pPr>
          </w:p>
          <w:p w14:paraId="00DE42FA" w14:textId="70C7283F" w:rsidR="005A1B5C" w:rsidRDefault="005A1B5C" w:rsidP="005A1B5C">
            <w:pPr>
              <w:pStyle w:val="NoSpacing"/>
              <w:jc w:val="both"/>
              <w:rPr>
                <w:rFonts w:ascii="Verdana" w:hAnsi="Verdana"/>
                <w:i/>
                <w:iCs/>
              </w:rPr>
            </w:pPr>
            <w:r w:rsidRPr="005A1B5C">
              <w:rPr>
                <w:rFonts w:ascii="Verdana" w:hAnsi="Verdana"/>
                <w:i/>
                <w:iCs/>
              </w:rPr>
              <w:t>little change</w:t>
            </w:r>
            <w:r>
              <w:rPr>
                <w:rFonts w:ascii="Verdana" w:hAnsi="Verdana"/>
                <w:i/>
                <w:iCs/>
              </w:rPr>
              <w:t xml:space="preserve"> was reported</w:t>
            </w:r>
            <w:r w:rsidRPr="005A1B5C">
              <w:rPr>
                <w:rFonts w:ascii="Verdana" w:hAnsi="Verdana"/>
                <w:i/>
                <w:iCs/>
              </w:rPr>
              <w:t xml:space="preserve"> in the overall demographic of the College when compared to the </w:t>
            </w:r>
            <w:r>
              <w:rPr>
                <w:rFonts w:ascii="Verdana" w:hAnsi="Verdana"/>
                <w:i/>
                <w:iCs/>
              </w:rPr>
              <w:t>previous</w:t>
            </w:r>
            <w:r w:rsidRPr="005A1B5C">
              <w:rPr>
                <w:rFonts w:ascii="Verdana" w:hAnsi="Verdana"/>
                <w:i/>
                <w:iCs/>
              </w:rPr>
              <w:t xml:space="preserve"> two years</w:t>
            </w:r>
            <w:r w:rsidR="00AE02AD">
              <w:rPr>
                <w:rFonts w:ascii="Verdana" w:hAnsi="Verdana"/>
                <w:i/>
                <w:iCs/>
              </w:rPr>
              <w:t>;</w:t>
            </w:r>
          </w:p>
          <w:p w14:paraId="235FE2FD" w14:textId="77777777" w:rsidR="00AE02AD" w:rsidRPr="005A1B5C" w:rsidRDefault="00AE02AD" w:rsidP="005A1B5C">
            <w:pPr>
              <w:pStyle w:val="NoSpacing"/>
              <w:jc w:val="both"/>
              <w:rPr>
                <w:rFonts w:ascii="Verdana" w:hAnsi="Verdana"/>
                <w:i/>
                <w:iCs/>
              </w:rPr>
            </w:pPr>
          </w:p>
          <w:p w14:paraId="029E9DEE" w14:textId="2472FB96" w:rsidR="00AE02AD" w:rsidRDefault="00AE02AD" w:rsidP="005A1B5C">
            <w:pPr>
              <w:pStyle w:val="NoSpacing"/>
              <w:jc w:val="both"/>
              <w:rPr>
                <w:rFonts w:ascii="Verdana" w:hAnsi="Verdana"/>
                <w:i/>
                <w:iCs/>
              </w:rPr>
            </w:pPr>
            <w:r>
              <w:rPr>
                <w:rFonts w:ascii="Verdana" w:hAnsi="Verdana"/>
                <w:i/>
                <w:iCs/>
              </w:rPr>
              <w:t>t</w:t>
            </w:r>
            <w:r w:rsidR="005A1B5C" w:rsidRPr="005A1B5C">
              <w:rPr>
                <w:rFonts w:ascii="Verdana" w:hAnsi="Verdana"/>
                <w:i/>
                <w:iCs/>
              </w:rPr>
              <w:t>he age and gender profile remain typical of the education sector, with the majority of staff</w:t>
            </w:r>
            <w:r w:rsidR="00303364">
              <w:rPr>
                <w:rFonts w:ascii="Verdana" w:hAnsi="Verdana"/>
                <w:i/>
                <w:iCs/>
              </w:rPr>
              <w:t xml:space="preserve"> being</w:t>
            </w:r>
            <w:r w:rsidR="005A1B5C" w:rsidRPr="005A1B5C">
              <w:rPr>
                <w:rFonts w:ascii="Verdana" w:hAnsi="Verdana"/>
                <w:i/>
                <w:iCs/>
              </w:rPr>
              <w:t xml:space="preserve"> under 50 and female</w:t>
            </w:r>
            <w:r>
              <w:rPr>
                <w:rFonts w:ascii="Verdana" w:hAnsi="Verdana"/>
                <w:i/>
                <w:iCs/>
              </w:rPr>
              <w:t>;</w:t>
            </w:r>
          </w:p>
          <w:p w14:paraId="76840587" w14:textId="77777777" w:rsidR="00AE02AD" w:rsidRDefault="00AE02AD" w:rsidP="005A1B5C">
            <w:pPr>
              <w:pStyle w:val="NoSpacing"/>
              <w:jc w:val="both"/>
              <w:rPr>
                <w:rFonts w:ascii="Verdana" w:hAnsi="Verdana"/>
                <w:i/>
                <w:iCs/>
              </w:rPr>
            </w:pPr>
          </w:p>
          <w:p w14:paraId="69BC2CE9" w14:textId="50C57B9C" w:rsidR="005A1B5C" w:rsidRDefault="00AE02AD" w:rsidP="005A1B5C">
            <w:pPr>
              <w:pStyle w:val="NoSpacing"/>
              <w:jc w:val="both"/>
              <w:rPr>
                <w:rFonts w:ascii="Verdana" w:hAnsi="Verdana"/>
                <w:i/>
                <w:iCs/>
              </w:rPr>
            </w:pPr>
            <w:r>
              <w:rPr>
                <w:rFonts w:ascii="Verdana" w:hAnsi="Verdana"/>
                <w:i/>
                <w:iCs/>
              </w:rPr>
              <w:t>t</w:t>
            </w:r>
            <w:r w:rsidRPr="00AE02AD">
              <w:rPr>
                <w:rFonts w:ascii="Verdana" w:hAnsi="Verdana"/>
                <w:i/>
                <w:iCs/>
              </w:rPr>
              <w:t xml:space="preserve">he management profile, whilst diverse, remains skewed with a greater proportion of managers </w:t>
            </w:r>
            <w:r>
              <w:rPr>
                <w:rFonts w:ascii="Verdana" w:hAnsi="Verdana"/>
                <w:i/>
                <w:iCs/>
              </w:rPr>
              <w:t>having</w:t>
            </w:r>
            <w:r w:rsidRPr="00AE02AD">
              <w:rPr>
                <w:rFonts w:ascii="Verdana" w:hAnsi="Verdana"/>
                <w:i/>
                <w:iCs/>
              </w:rPr>
              <w:t xml:space="preserve"> White British backgrounds compared to the overall staff profile</w:t>
            </w:r>
            <w:r>
              <w:rPr>
                <w:rFonts w:ascii="Verdana" w:hAnsi="Verdana"/>
                <w:i/>
                <w:iCs/>
              </w:rPr>
              <w:t>,</w:t>
            </w:r>
            <w:r w:rsidRPr="00AE02AD">
              <w:rPr>
                <w:rFonts w:ascii="Verdana" w:hAnsi="Verdana"/>
                <w:i/>
                <w:iCs/>
              </w:rPr>
              <w:t xml:space="preserve"> </w:t>
            </w:r>
            <w:r>
              <w:rPr>
                <w:rFonts w:ascii="Verdana" w:hAnsi="Verdana"/>
                <w:i/>
                <w:iCs/>
              </w:rPr>
              <w:t>and</w:t>
            </w:r>
            <w:r w:rsidRPr="00AE02AD">
              <w:rPr>
                <w:rFonts w:ascii="Verdana" w:hAnsi="Verdana"/>
                <w:i/>
                <w:iCs/>
              </w:rPr>
              <w:t xml:space="preserve"> a male dominant management profile which is disproportionate when compared with the gend</w:t>
            </w:r>
            <w:r w:rsidRPr="008909C4">
              <w:rPr>
                <w:rFonts w:ascii="Verdana" w:hAnsi="Verdana"/>
                <w:i/>
                <w:iCs/>
              </w:rPr>
              <w:t>er</w:t>
            </w:r>
            <w:r w:rsidR="008909C4">
              <w:rPr>
                <w:rFonts w:ascii="Verdana" w:hAnsi="Verdana"/>
                <w:i/>
                <w:iCs/>
              </w:rPr>
              <w:t xml:space="preserve"> and ethnicity</w:t>
            </w:r>
            <w:r w:rsidRPr="00AE02AD">
              <w:rPr>
                <w:rFonts w:ascii="Verdana" w:hAnsi="Verdana"/>
                <w:i/>
                <w:iCs/>
              </w:rPr>
              <w:t xml:space="preserve"> split</w:t>
            </w:r>
            <w:r w:rsidR="008909C4">
              <w:rPr>
                <w:rFonts w:ascii="Verdana" w:hAnsi="Verdana"/>
                <w:i/>
                <w:iCs/>
              </w:rPr>
              <w:t>s</w:t>
            </w:r>
            <w:r w:rsidRPr="00AE02AD">
              <w:rPr>
                <w:rFonts w:ascii="Verdana" w:hAnsi="Verdana"/>
                <w:i/>
                <w:iCs/>
              </w:rPr>
              <w:t xml:space="preserve"> of the overall college workforce</w:t>
            </w:r>
            <w:r>
              <w:rPr>
                <w:rFonts w:ascii="Verdana" w:hAnsi="Verdana"/>
                <w:i/>
                <w:iCs/>
              </w:rPr>
              <w:t>;</w:t>
            </w:r>
          </w:p>
          <w:p w14:paraId="11D015EE" w14:textId="76E603A7" w:rsidR="00AE02AD" w:rsidRDefault="00AE02AD" w:rsidP="005A1B5C">
            <w:pPr>
              <w:pStyle w:val="NoSpacing"/>
              <w:jc w:val="both"/>
              <w:rPr>
                <w:rFonts w:ascii="Verdana" w:hAnsi="Verdana"/>
                <w:i/>
                <w:iCs/>
              </w:rPr>
            </w:pPr>
          </w:p>
          <w:p w14:paraId="712726B6" w14:textId="4BCCF148" w:rsidR="00AE02AD" w:rsidRPr="00AE02AD" w:rsidRDefault="00AE02AD" w:rsidP="005A1B5C">
            <w:pPr>
              <w:pStyle w:val="NoSpacing"/>
              <w:jc w:val="both"/>
              <w:rPr>
                <w:rFonts w:ascii="Verdana" w:hAnsi="Verdana"/>
                <w:i/>
                <w:iCs/>
              </w:rPr>
            </w:pPr>
            <w:r w:rsidRPr="00AE02AD">
              <w:rPr>
                <w:rFonts w:ascii="Verdana" w:hAnsi="Verdana"/>
                <w:i/>
                <w:iCs/>
              </w:rPr>
              <w:t>in</w:t>
            </w:r>
            <w:r>
              <w:rPr>
                <w:rFonts w:ascii="Verdana" w:hAnsi="Verdana"/>
                <w:i/>
                <w:iCs/>
              </w:rPr>
              <w:t>-</w:t>
            </w:r>
            <w:r w:rsidRPr="00AE02AD">
              <w:rPr>
                <w:rFonts w:ascii="Verdana" w:hAnsi="Verdana"/>
                <w:i/>
                <w:iCs/>
              </w:rPr>
              <w:t xml:space="preserve">house training </w:t>
            </w:r>
            <w:r>
              <w:rPr>
                <w:rFonts w:ascii="Verdana" w:hAnsi="Verdana"/>
                <w:i/>
                <w:iCs/>
              </w:rPr>
              <w:t>delivery had been</w:t>
            </w:r>
            <w:r w:rsidRPr="00AE02AD">
              <w:rPr>
                <w:rFonts w:ascii="Verdana" w:hAnsi="Verdana"/>
                <w:i/>
                <w:iCs/>
              </w:rPr>
              <w:t xml:space="preserve"> disrupted </w:t>
            </w:r>
            <w:r>
              <w:rPr>
                <w:rFonts w:ascii="Verdana" w:hAnsi="Verdana"/>
                <w:i/>
                <w:iCs/>
              </w:rPr>
              <w:t>owing</w:t>
            </w:r>
            <w:r w:rsidRPr="00AE02AD">
              <w:rPr>
                <w:rFonts w:ascii="Verdana" w:hAnsi="Verdana"/>
                <w:i/>
                <w:iCs/>
              </w:rPr>
              <w:t xml:space="preserve"> to the </w:t>
            </w:r>
            <w:r>
              <w:rPr>
                <w:rFonts w:ascii="Verdana" w:hAnsi="Verdana"/>
                <w:i/>
                <w:iCs/>
              </w:rPr>
              <w:t>College</w:t>
            </w:r>
            <w:r w:rsidRPr="00AE02AD">
              <w:rPr>
                <w:rFonts w:ascii="Verdana" w:hAnsi="Verdana"/>
                <w:i/>
                <w:iCs/>
              </w:rPr>
              <w:t xml:space="preserve"> lockdown</w:t>
            </w:r>
            <w:r>
              <w:rPr>
                <w:rFonts w:ascii="Verdana" w:hAnsi="Verdana"/>
                <w:i/>
                <w:iCs/>
              </w:rPr>
              <w:t>, though</w:t>
            </w:r>
            <w:r w:rsidRPr="00AE02AD">
              <w:rPr>
                <w:rFonts w:ascii="Verdana" w:hAnsi="Verdana"/>
                <w:i/>
                <w:iCs/>
              </w:rPr>
              <w:t xml:space="preserve"> </w:t>
            </w:r>
            <w:r>
              <w:rPr>
                <w:rFonts w:ascii="Verdana" w:hAnsi="Verdana"/>
                <w:i/>
                <w:iCs/>
              </w:rPr>
              <w:t>a</w:t>
            </w:r>
            <w:r w:rsidRPr="00AE02AD">
              <w:rPr>
                <w:rFonts w:ascii="Verdana" w:hAnsi="Verdana"/>
                <w:i/>
                <w:iCs/>
              </w:rPr>
              <w:t xml:space="preserve">ll staff </w:t>
            </w:r>
            <w:r>
              <w:rPr>
                <w:rFonts w:ascii="Verdana" w:hAnsi="Verdana"/>
                <w:i/>
                <w:iCs/>
              </w:rPr>
              <w:t>had been</w:t>
            </w:r>
            <w:r w:rsidRPr="00AE02AD">
              <w:rPr>
                <w:rFonts w:ascii="Verdana" w:hAnsi="Verdana"/>
                <w:i/>
                <w:iCs/>
              </w:rPr>
              <w:t xml:space="preserve"> able to access internal training and a number of training providers </w:t>
            </w:r>
            <w:r>
              <w:rPr>
                <w:rFonts w:ascii="Verdana" w:hAnsi="Verdana"/>
                <w:i/>
                <w:iCs/>
              </w:rPr>
              <w:t>had</w:t>
            </w:r>
            <w:r w:rsidRPr="00AE02AD">
              <w:rPr>
                <w:rFonts w:ascii="Verdana" w:hAnsi="Verdana"/>
                <w:i/>
                <w:iCs/>
              </w:rPr>
              <w:t xml:space="preserve"> move</w:t>
            </w:r>
            <w:r>
              <w:rPr>
                <w:rFonts w:ascii="Verdana" w:hAnsi="Verdana"/>
                <w:i/>
                <w:iCs/>
              </w:rPr>
              <w:t>d</w:t>
            </w:r>
            <w:r w:rsidRPr="00AE02AD">
              <w:rPr>
                <w:rFonts w:ascii="Verdana" w:hAnsi="Verdana"/>
                <w:i/>
                <w:iCs/>
              </w:rPr>
              <w:t xml:space="preserve"> their delivery online</w:t>
            </w:r>
            <w:r>
              <w:rPr>
                <w:rFonts w:ascii="Verdana" w:hAnsi="Verdana"/>
                <w:i/>
                <w:iCs/>
              </w:rPr>
              <w:t xml:space="preserve">, </w:t>
            </w:r>
            <w:r w:rsidRPr="00AE02AD">
              <w:rPr>
                <w:rFonts w:ascii="Verdana" w:hAnsi="Verdana"/>
                <w:i/>
                <w:iCs/>
              </w:rPr>
              <w:t>result</w:t>
            </w:r>
            <w:r>
              <w:rPr>
                <w:rFonts w:ascii="Verdana" w:hAnsi="Verdana"/>
                <w:i/>
                <w:iCs/>
              </w:rPr>
              <w:t>ing</w:t>
            </w:r>
            <w:r w:rsidRPr="00AE02AD">
              <w:rPr>
                <w:rFonts w:ascii="Verdana" w:hAnsi="Verdana"/>
                <w:i/>
                <w:iCs/>
              </w:rPr>
              <w:t xml:space="preserve"> in only a moderate decrease in the amount of external training</w:t>
            </w:r>
            <w:r>
              <w:rPr>
                <w:rFonts w:ascii="Verdana" w:hAnsi="Verdana"/>
                <w:i/>
                <w:iCs/>
              </w:rPr>
              <w:t xml:space="preserve"> received.</w:t>
            </w:r>
          </w:p>
          <w:p w14:paraId="01BF0242" w14:textId="5EF14CCA" w:rsidR="005A1B5C" w:rsidRPr="005A1B5C" w:rsidRDefault="005A1B5C" w:rsidP="005A1B5C">
            <w:pPr>
              <w:pStyle w:val="NoSpacing"/>
              <w:jc w:val="both"/>
              <w:rPr>
                <w:rFonts w:ascii="Verdana" w:hAnsi="Verdana"/>
                <w:i/>
                <w:iCs/>
              </w:rPr>
            </w:pPr>
            <w:r w:rsidRPr="005A1B5C">
              <w:rPr>
                <w:rFonts w:ascii="Verdana" w:hAnsi="Verdana"/>
                <w:i/>
                <w:iCs/>
              </w:rPr>
              <w:t xml:space="preserve"> </w:t>
            </w:r>
          </w:p>
          <w:p w14:paraId="48EE7DE6" w14:textId="19DECEB7" w:rsidR="005A1B5C" w:rsidRDefault="008909C4" w:rsidP="005A1B5C">
            <w:pPr>
              <w:pStyle w:val="NoSpacing"/>
              <w:jc w:val="both"/>
              <w:rPr>
                <w:rFonts w:ascii="Verdana" w:hAnsi="Verdana"/>
              </w:rPr>
            </w:pPr>
            <w:r>
              <w:rPr>
                <w:rFonts w:ascii="Verdana" w:hAnsi="Verdana"/>
              </w:rPr>
              <w:t xml:space="preserve">It was agreed that internal promotions will be </w:t>
            </w:r>
            <w:r w:rsidR="00303364">
              <w:rPr>
                <w:rFonts w:ascii="Verdana" w:hAnsi="Verdana"/>
              </w:rPr>
              <w:t>includ</w:t>
            </w:r>
            <w:r>
              <w:rPr>
                <w:rFonts w:ascii="Verdana" w:hAnsi="Verdana"/>
              </w:rPr>
              <w:t>ed in future iterations of the Report.</w:t>
            </w:r>
          </w:p>
          <w:p w14:paraId="24EA140F" w14:textId="4310587E" w:rsidR="008909C4" w:rsidRDefault="008909C4" w:rsidP="005A1B5C">
            <w:pPr>
              <w:pStyle w:val="NoSpacing"/>
              <w:jc w:val="both"/>
              <w:rPr>
                <w:rFonts w:ascii="Verdana" w:hAnsi="Verdana"/>
              </w:rPr>
            </w:pPr>
          </w:p>
          <w:p w14:paraId="651FB9D4" w14:textId="56E270F9" w:rsidR="008909C4" w:rsidRDefault="008909C4" w:rsidP="005A1B5C">
            <w:pPr>
              <w:pStyle w:val="NoSpacing"/>
              <w:jc w:val="both"/>
              <w:rPr>
                <w:rFonts w:ascii="Verdana" w:hAnsi="Verdana"/>
              </w:rPr>
            </w:pPr>
            <w:r>
              <w:rPr>
                <w:rFonts w:ascii="Verdana" w:hAnsi="Verdana"/>
              </w:rPr>
              <w:t xml:space="preserve">Members </w:t>
            </w:r>
            <w:r w:rsidR="00303364">
              <w:rPr>
                <w:rFonts w:ascii="Verdana" w:hAnsi="Verdana"/>
              </w:rPr>
              <w:t>noted</w:t>
            </w:r>
            <w:r>
              <w:rPr>
                <w:rFonts w:ascii="Verdana" w:hAnsi="Verdana"/>
              </w:rPr>
              <w:t xml:space="preserve"> the </w:t>
            </w:r>
            <w:r w:rsidR="00303364">
              <w:rPr>
                <w:rFonts w:ascii="Verdana" w:hAnsi="Verdana"/>
              </w:rPr>
              <w:t xml:space="preserve">low </w:t>
            </w:r>
            <w:r>
              <w:rPr>
                <w:rFonts w:ascii="Verdana" w:hAnsi="Verdana"/>
              </w:rPr>
              <w:t>proportion</w:t>
            </w:r>
            <w:r w:rsidR="00303364">
              <w:rPr>
                <w:rFonts w:ascii="Verdana" w:hAnsi="Verdana"/>
              </w:rPr>
              <w:t>, by comparison with the general staff profile,</w:t>
            </w:r>
            <w:r>
              <w:rPr>
                <w:rFonts w:ascii="Verdana" w:hAnsi="Verdana"/>
              </w:rPr>
              <w:t xml:space="preserve"> of management who are women or from BAME backgrounds.  It was confirmed that, whilst female and BAME staff are encouraged to apply for more senior roles as and when these become available, no formal scheme as yet addresses the disproportionate outcomes.  With this in mind, the Princip</w:t>
            </w:r>
            <w:r w:rsidR="00E87E61">
              <w:rPr>
                <w:rFonts w:ascii="Verdana" w:hAnsi="Verdana"/>
              </w:rPr>
              <w:t xml:space="preserve">al confirmed that, as a constituent element of the College Improvement and Development Plan, the introduction of a management succession plan is an objective for the year.  It was, however, noted that publicly-funded bodies like the College have limited scope to implement such schemes owing to the need, entailed by funding restrictions, to maintain a lean staffing body.  It was also noted that, whilst succession planning may be more readily applied to teaching roles, a substantial proportion of support staff are engaged in individual roles rather than as members of teams. </w:t>
            </w:r>
          </w:p>
          <w:p w14:paraId="2163A1F5" w14:textId="0648E623" w:rsidR="00285AED" w:rsidRDefault="00285AED" w:rsidP="005A1B5C">
            <w:pPr>
              <w:pStyle w:val="NoSpacing"/>
              <w:jc w:val="both"/>
              <w:rPr>
                <w:rFonts w:ascii="Verdana" w:hAnsi="Verdana"/>
              </w:rPr>
            </w:pPr>
          </w:p>
          <w:p w14:paraId="35B16DAF" w14:textId="4814D414" w:rsidR="00285AED" w:rsidRDefault="004C308B" w:rsidP="005A1B5C">
            <w:pPr>
              <w:pStyle w:val="NoSpacing"/>
              <w:jc w:val="both"/>
              <w:rPr>
                <w:rFonts w:ascii="Verdana" w:hAnsi="Verdana"/>
              </w:rPr>
            </w:pPr>
            <w:r>
              <w:rPr>
                <w:rFonts w:ascii="Verdana" w:hAnsi="Verdana"/>
              </w:rPr>
              <w:t>To assist the Committee to monitor the impact of initiatives intended to address existing disparities, i</w:t>
            </w:r>
            <w:r w:rsidR="00285AED">
              <w:rPr>
                <w:rFonts w:ascii="Verdana" w:hAnsi="Verdana"/>
              </w:rPr>
              <w:t xml:space="preserve">t was agreed that future iterations of the Report </w:t>
            </w:r>
            <w:r w:rsidR="00285AED">
              <w:rPr>
                <w:rFonts w:ascii="Verdana" w:hAnsi="Verdana"/>
              </w:rPr>
              <w:lastRenderedPageBreak/>
              <w:t xml:space="preserve">should show breakdowns by gender and ethnicity </w:t>
            </w:r>
            <w:r>
              <w:rPr>
                <w:rFonts w:ascii="Verdana" w:hAnsi="Verdana"/>
              </w:rPr>
              <w:t xml:space="preserve">referenced to </w:t>
            </w:r>
            <w:r w:rsidRPr="004C308B">
              <w:rPr>
                <w:rFonts w:ascii="Verdana" w:hAnsi="Verdana"/>
                <w:b/>
                <w:bCs/>
              </w:rPr>
              <w:t>levels of management</w:t>
            </w:r>
            <w:r w:rsidRPr="004C308B">
              <w:rPr>
                <w:rFonts w:ascii="Verdana" w:hAnsi="Verdana"/>
              </w:rPr>
              <w:t xml:space="preserve">, and </w:t>
            </w:r>
            <w:r>
              <w:rPr>
                <w:rFonts w:ascii="Verdana" w:hAnsi="Verdana"/>
              </w:rPr>
              <w:t xml:space="preserve">also to whether positions were filled as a result of internal promotion or external recruitment.  </w:t>
            </w:r>
          </w:p>
          <w:p w14:paraId="34D6EE14" w14:textId="347842E4" w:rsidR="004C308B" w:rsidRDefault="004C308B" w:rsidP="005A1B5C">
            <w:pPr>
              <w:pStyle w:val="NoSpacing"/>
              <w:jc w:val="both"/>
              <w:rPr>
                <w:rFonts w:ascii="Verdana" w:hAnsi="Verdana"/>
              </w:rPr>
            </w:pPr>
          </w:p>
          <w:p w14:paraId="04AB0591" w14:textId="57B21EFC" w:rsidR="004C308B" w:rsidRPr="00812EAA" w:rsidRDefault="004C308B" w:rsidP="005A1B5C">
            <w:pPr>
              <w:pStyle w:val="NoSpacing"/>
              <w:jc w:val="both"/>
              <w:rPr>
                <w:rFonts w:ascii="Verdana" w:hAnsi="Verdana"/>
              </w:rPr>
            </w:pPr>
            <w:r>
              <w:rPr>
                <w:rFonts w:ascii="Verdana" w:hAnsi="Verdana"/>
              </w:rPr>
              <w:t xml:space="preserve">In response to a question from Jay </w:t>
            </w:r>
            <w:proofErr w:type="spellStart"/>
            <w:r>
              <w:rPr>
                <w:rFonts w:ascii="Verdana" w:hAnsi="Verdana"/>
              </w:rPr>
              <w:t>Wint</w:t>
            </w:r>
            <w:proofErr w:type="spellEnd"/>
            <w:r>
              <w:rPr>
                <w:rFonts w:ascii="Verdana" w:hAnsi="Verdana"/>
              </w:rPr>
              <w:t>, it was confirmed that appraisal data is reported internally.</w:t>
            </w:r>
          </w:p>
          <w:p w14:paraId="73F81995" w14:textId="419FCE5F" w:rsidR="00E5233D" w:rsidRPr="005D0C11" w:rsidRDefault="00E5233D" w:rsidP="00734ABA">
            <w:pPr>
              <w:pStyle w:val="NoSpacing"/>
              <w:rPr>
                <w:rFonts w:ascii="Verdana" w:hAnsi="Verdana"/>
              </w:rPr>
            </w:pPr>
          </w:p>
        </w:tc>
      </w:tr>
      <w:tr w:rsidR="00AE02AD" w:rsidRPr="00F97EF9" w14:paraId="0638C6DD" w14:textId="77777777" w:rsidTr="00C54211">
        <w:tc>
          <w:tcPr>
            <w:tcW w:w="534" w:type="dxa"/>
          </w:tcPr>
          <w:p w14:paraId="2D5C92C0" w14:textId="4B31CB73" w:rsidR="00AE02AD" w:rsidRDefault="00AE02AD" w:rsidP="00734ABA">
            <w:pPr>
              <w:rPr>
                <w:rFonts w:ascii="Verdana" w:hAnsi="Verdana"/>
                <w:b/>
              </w:rPr>
            </w:pPr>
            <w:r>
              <w:rPr>
                <w:rFonts w:ascii="Verdana" w:hAnsi="Verdana"/>
                <w:b/>
              </w:rPr>
              <w:lastRenderedPageBreak/>
              <w:t>6</w:t>
            </w:r>
          </w:p>
        </w:tc>
        <w:tc>
          <w:tcPr>
            <w:tcW w:w="8788" w:type="dxa"/>
          </w:tcPr>
          <w:p w14:paraId="6030320A" w14:textId="77777777" w:rsidR="00AE02AD" w:rsidRDefault="00AE02AD" w:rsidP="00AE02AD">
            <w:pPr>
              <w:rPr>
                <w:rFonts w:ascii="Verdana" w:hAnsi="Verdana"/>
                <w:b/>
              </w:rPr>
            </w:pPr>
            <w:r>
              <w:rPr>
                <w:rFonts w:ascii="Verdana" w:hAnsi="Verdana"/>
                <w:b/>
              </w:rPr>
              <w:t>Gender and Ethnicity of Staff in Management Roles by Reference to the Generality of Staff</w:t>
            </w:r>
          </w:p>
          <w:p w14:paraId="29C16B8F" w14:textId="77777777" w:rsidR="00AE02AD" w:rsidRDefault="00AE02AD" w:rsidP="00485D81">
            <w:pPr>
              <w:rPr>
                <w:rFonts w:ascii="Verdana" w:hAnsi="Verdana"/>
                <w:b/>
                <w:color w:val="FF0000"/>
              </w:rPr>
            </w:pPr>
          </w:p>
          <w:p w14:paraId="4391337F" w14:textId="3BB92172" w:rsidR="00AE02AD" w:rsidRPr="00AE02AD" w:rsidRDefault="00AE02AD" w:rsidP="00485D81">
            <w:pPr>
              <w:rPr>
                <w:rFonts w:ascii="Verdana" w:hAnsi="Verdana"/>
                <w:bCs/>
              </w:rPr>
            </w:pPr>
            <w:r w:rsidRPr="00AE02AD">
              <w:rPr>
                <w:rFonts w:ascii="Verdana" w:hAnsi="Verdana"/>
                <w:bCs/>
              </w:rPr>
              <w:t xml:space="preserve">It was noted that this had been reported </w:t>
            </w:r>
            <w:r w:rsidR="00E87E61">
              <w:rPr>
                <w:rFonts w:ascii="Verdana" w:hAnsi="Verdana"/>
                <w:bCs/>
              </w:rPr>
              <w:t xml:space="preserve">and discussed </w:t>
            </w:r>
            <w:r w:rsidRPr="00AE02AD">
              <w:rPr>
                <w:rFonts w:ascii="Verdana" w:hAnsi="Verdana"/>
                <w:bCs/>
              </w:rPr>
              <w:t>under Agendum 5 above.</w:t>
            </w:r>
          </w:p>
          <w:p w14:paraId="53768E2A" w14:textId="46D71018" w:rsidR="00AE02AD" w:rsidRPr="00B57DFE" w:rsidRDefault="00AE02AD" w:rsidP="00485D81">
            <w:pPr>
              <w:rPr>
                <w:rFonts w:ascii="Verdana" w:hAnsi="Verdana"/>
                <w:b/>
                <w:color w:val="FF0000"/>
              </w:rPr>
            </w:pPr>
          </w:p>
        </w:tc>
      </w:tr>
      <w:tr w:rsidR="00485D81" w:rsidRPr="00F97EF9" w14:paraId="2E5DB226" w14:textId="77777777" w:rsidTr="00C54211">
        <w:tc>
          <w:tcPr>
            <w:tcW w:w="534" w:type="dxa"/>
          </w:tcPr>
          <w:p w14:paraId="684B0AB6" w14:textId="48B50402" w:rsidR="00485D81" w:rsidRDefault="00AE02AD" w:rsidP="00734ABA">
            <w:pPr>
              <w:rPr>
                <w:rFonts w:ascii="Verdana" w:hAnsi="Verdana"/>
                <w:b/>
              </w:rPr>
            </w:pPr>
            <w:r>
              <w:rPr>
                <w:rFonts w:ascii="Verdana" w:hAnsi="Verdana"/>
                <w:b/>
              </w:rPr>
              <w:t>7</w:t>
            </w:r>
          </w:p>
        </w:tc>
        <w:tc>
          <w:tcPr>
            <w:tcW w:w="8788" w:type="dxa"/>
          </w:tcPr>
          <w:p w14:paraId="01A96789" w14:textId="77777777" w:rsidR="00485D81" w:rsidRPr="00AE02AD" w:rsidRDefault="00485D81" w:rsidP="00485D81">
            <w:pPr>
              <w:rPr>
                <w:rFonts w:ascii="Verdana" w:hAnsi="Verdana"/>
                <w:b/>
              </w:rPr>
            </w:pPr>
            <w:r w:rsidRPr="00AE02AD">
              <w:rPr>
                <w:rFonts w:ascii="Verdana" w:hAnsi="Verdana"/>
                <w:b/>
              </w:rPr>
              <w:t>Risk Management Report</w:t>
            </w:r>
          </w:p>
          <w:p w14:paraId="19F81318" w14:textId="77777777" w:rsidR="00485D81" w:rsidRPr="00AE02AD" w:rsidRDefault="00485D81" w:rsidP="00F1530F">
            <w:pPr>
              <w:pStyle w:val="NoSpacing"/>
              <w:rPr>
                <w:rFonts w:ascii="Verdana" w:hAnsi="Verdana"/>
                <w:b/>
              </w:rPr>
            </w:pPr>
          </w:p>
          <w:p w14:paraId="313F5A57" w14:textId="130371CD" w:rsidR="00485D81" w:rsidRPr="00AE02AD" w:rsidRDefault="00485D81" w:rsidP="00485D81">
            <w:pPr>
              <w:rPr>
                <w:rFonts w:ascii="Verdana" w:hAnsi="Verdana"/>
                <w:bCs/>
              </w:rPr>
            </w:pPr>
            <w:r w:rsidRPr="00AE02AD">
              <w:rPr>
                <w:rFonts w:ascii="Verdana" w:hAnsi="Verdana"/>
                <w:bCs/>
              </w:rPr>
              <w:t>It was noted that the Board level risk falling within the remit of the Committee is considered under Agend</w:t>
            </w:r>
            <w:r w:rsidR="00AE02AD">
              <w:rPr>
                <w:rFonts w:ascii="Verdana" w:hAnsi="Verdana"/>
                <w:bCs/>
              </w:rPr>
              <w:t>a</w:t>
            </w:r>
            <w:r w:rsidR="00E34190" w:rsidRPr="00AE02AD">
              <w:rPr>
                <w:rFonts w:ascii="Verdana" w:hAnsi="Verdana"/>
                <w:bCs/>
              </w:rPr>
              <w:t xml:space="preserve"> 9</w:t>
            </w:r>
            <w:r w:rsidR="00AE02AD">
              <w:rPr>
                <w:rFonts w:ascii="Verdana" w:hAnsi="Verdana"/>
                <w:bCs/>
              </w:rPr>
              <w:t xml:space="preserve"> and 10</w:t>
            </w:r>
            <w:r w:rsidRPr="00AE02AD">
              <w:rPr>
                <w:rFonts w:ascii="Verdana" w:hAnsi="Verdana"/>
                <w:bCs/>
              </w:rPr>
              <w:t xml:space="preserve"> below.</w:t>
            </w:r>
          </w:p>
          <w:p w14:paraId="667993A5" w14:textId="77777777" w:rsidR="00485D81" w:rsidRPr="00AE02AD" w:rsidRDefault="00485D81" w:rsidP="00485D81">
            <w:pPr>
              <w:rPr>
                <w:rFonts w:ascii="Verdana" w:hAnsi="Verdana"/>
                <w:bCs/>
              </w:rPr>
            </w:pPr>
          </w:p>
          <w:p w14:paraId="574985EF" w14:textId="77777777" w:rsidR="00485D81" w:rsidRPr="00AE02AD" w:rsidRDefault="00AA02CF" w:rsidP="00AA02CF">
            <w:pPr>
              <w:rPr>
                <w:rFonts w:ascii="Verdana" w:hAnsi="Verdana"/>
                <w:bCs/>
              </w:rPr>
            </w:pPr>
            <w:r w:rsidRPr="00AE02AD">
              <w:rPr>
                <w:rFonts w:ascii="Verdana" w:hAnsi="Verdana"/>
                <w:bCs/>
              </w:rPr>
              <w:t>No</w:t>
            </w:r>
            <w:r w:rsidR="00485D81" w:rsidRPr="00AE02AD">
              <w:rPr>
                <w:rFonts w:ascii="Verdana" w:hAnsi="Verdana"/>
                <w:bCs/>
              </w:rPr>
              <w:t xml:space="preserve"> other risks requiring the Audit Committee’s attention </w:t>
            </w:r>
            <w:r w:rsidRPr="00AE02AD">
              <w:rPr>
                <w:rFonts w:ascii="Verdana" w:hAnsi="Verdana"/>
                <w:bCs/>
              </w:rPr>
              <w:t>were</w:t>
            </w:r>
            <w:r w:rsidR="00485D81" w:rsidRPr="00AE02AD">
              <w:rPr>
                <w:rFonts w:ascii="Verdana" w:hAnsi="Verdana"/>
                <w:bCs/>
              </w:rPr>
              <w:t xml:space="preserve"> identified in the course of the meeting</w:t>
            </w:r>
            <w:r w:rsidRPr="00AE02AD">
              <w:rPr>
                <w:rFonts w:ascii="Verdana" w:hAnsi="Verdana"/>
                <w:bCs/>
              </w:rPr>
              <w:t>.</w:t>
            </w:r>
          </w:p>
          <w:p w14:paraId="21E6CD46" w14:textId="5158D0A7" w:rsidR="00B0018F" w:rsidRPr="00AE02AD" w:rsidRDefault="00B0018F" w:rsidP="00AA02CF">
            <w:pPr>
              <w:rPr>
                <w:rFonts w:ascii="Verdana" w:hAnsi="Verdana"/>
                <w:b/>
              </w:rPr>
            </w:pPr>
          </w:p>
        </w:tc>
      </w:tr>
      <w:tr w:rsidR="0077530B" w:rsidRPr="00F97EF9" w14:paraId="7296DBF1" w14:textId="77777777" w:rsidTr="00C54211">
        <w:tc>
          <w:tcPr>
            <w:tcW w:w="534" w:type="dxa"/>
          </w:tcPr>
          <w:p w14:paraId="561E7F79" w14:textId="004FBEFA" w:rsidR="0077530B" w:rsidRPr="00485D81" w:rsidRDefault="004E6BBD" w:rsidP="0077530B">
            <w:pPr>
              <w:rPr>
                <w:rFonts w:ascii="Verdana" w:hAnsi="Verdana"/>
                <w:b/>
                <w:color w:val="FF0000"/>
              </w:rPr>
            </w:pPr>
            <w:r>
              <w:rPr>
                <w:rFonts w:ascii="Verdana" w:hAnsi="Verdana"/>
                <w:b/>
              </w:rPr>
              <w:t>8</w:t>
            </w:r>
          </w:p>
        </w:tc>
        <w:tc>
          <w:tcPr>
            <w:tcW w:w="8788" w:type="dxa"/>
          </w:tcPr>
          <w:p w14:paraId="45E06AAD" w14:textId="77777777" w:rsidR="00E34190" w:rsidRPr="00896864" w:rsidRDefault="00E34190" w:rsidP="00E34190">
            <w:pPr>
              <w:pStyle w:val="NoSpacing"/>
              <w:rPr>
                <w:rFonts w:ascii="Verdana" w:hAnsi="Verdana"/>
                <w:b/>
              </w:rPr>
            </w:pPr>
            <w:r w:rsidRPr="00896864">
              <w:rPr>
                <w:rFonts w:ascii="Verdana" w:hAnsi="Verdana"/>
                <w:b/>
              </w:rPr>
              <w:t xml:space="preserve">Draft Annual Report &amp; Financial Statements for the year ended 31 </w:t>
            </w:r>
            <w:r>
              <w:rPr>
                <w:rFonts w:ascii="Verdana" w:hAnsi="Verdana"/>
                <w:b/>
              </w:rPr>
              <w:t>July 2019</w:t>
            </w:r>
          </w:p>
          <w:p w14:paraId="54CB5972" w14:textId="77777777" w:rsidR="0077530B" w:rsidRPr="00485D81" w:rsidRDefault="0077530B" w:rsidP="0077530B">
            <w:pPr>
              <w:rPr>
                <w:rFonts w:ascii="Verdana" w:hAnsi="Verdana"/>
                <w:color w:val="FF0000"/>
              </w:rPr>
            </w:pPr>
          </w:p>
          <w:p w14:paraId="183351E5" w14:textId="1B29CE2C" w:rsidR="0077530B" w:rsidRPr="00E34190" w:rsidRDefault="0077530B" w:rsidP="0077530B">
            <w:pPr>
              <w:pStyle w:val="NoSpacing"/>
              <w:rPr>
                <w:rFonts w:ascii="Verdana" w:hAnsi="Verdana"/>
              </w:rPr>
            </w:pPr>
            <w:r w:rsidRPr="00E34190">
              <w:rPr>
                <w:rFonts w:ascii="Verdana" w:hAnsi="Verdana"/>
              </w:rPr>
              <w:t>The draft financial statements</w:t>
            </w:r>
            <w:r w:rsidR="00E34190">
              <w:rPr>
                <w:rFonts w:ascii="Verdana" w:hAnsi="Verdana"/>
              </w:rPr>
              <w:t>,</w:t>
            </w:r>
            <w:r w:rsidR="00E34190" w:rsidRPr="00E34190">
              <w:rPr>
                <w:rFonts w:ascii="Verdana" w:hAnsi="Verdana"/>
              </w:rPr>
              <w:t xml:space="preserve"> which had been previously considered by the Audit Committee</w:t>
            </w:r>
            <w:r w:rsidR="00E34190">
              <w:rPr>
                <w:rFonts w:ascii="Verdana" w:hAnsi="Verdana"/>
              </w:rPr>
              <w:t>,</w:t>
            </w:r>
            <w:r w:rsidRPr="00E34190">
              <w:rPr>
                <w:rFonts w:ascii="Verdana" w:hAnsi="Verdana"/>
              </w:rPr>
              <w:t xml:space="preserve"> were received and considered</w:t>
            </w:r>
            <w:r w:rsidR="00E34190">
              <w:rPr>
                <w:rFonts w:ascii="Verdana" w:hAnsi="Verdana"/>
              </w:rPr>
              <w:t>.</w:t>
            </w:r>
          </w:p>
          <w:p w14:paraId="03D96BC0" w14:textId="77777777" w:rsidR="0077530B" w:rsidRPr="00E34190" w:rsidRDefault="0077530B" w:rsidP="0077530B">
            <w:pPr>
              <w:rPr>
                <w:rFonts w:ascii="Verdana" w:hAnsi="Verdana"/>
              </w:rPr>
            </w:pPr>
          </w:p>
          <w:p w14:paraId="6B0D26D0" w14:textId="6CE99821" w:rsidR="0077530B" w:rsidRPr="00485D81" w:rsidRDefault="00DB255D" w:rsidP="0077530B">
            <w:pPr>
              <w:pStyle w:val="NoSpacing"/>
              <w:rPr>
                <w:rFonts w:ascii="Verdana" w:hAnsi="Verdana"/>
                <w:b/>
                <w:color w:val="FF0000"/>
              </w:rPr>
            </w:pPr>
            <w:r w:rsidRPr="00E34190">
              <w:rPr>
                <w:rFonts w:ascii="Verdana" w:hAnsi="Verdana"/>
              </w:rPr>
              <w:t>T</w:t>
            </w:r>
            <w:r w:rsidR="00B4255F" w:rsidRPr="00E34190">
              <w:rPr>
                <w:rFonts w:ascii="Verdana" w:hAnsi="Verdana"/>
              </w:rPr>
              <w:t xml:space="preserve">he Audit Committee </w:t>
            </w:r>
            <w:r w:rsidRPr="00E34190">
              <w:rPr>
                <w:rFonts w:ascii="Verdana" w:hAnsi="Verdana"/>
              </w:rPr>
              <w:t>reported that</w:t>
            </w:r>
            <w:r w:rsidR="00AF4683" w:rsidRPr="00E34190">
              <w:rPr>
                <w:rFonts w:ascii="Verdana" w:hAnsi="Verdana"/>
              </w:rPr>
              <w:t>,</w:t>
            </w:r>
            <w:r w:rsidRPr="00E34190">
              <w:rPr>
                <w:rFonts w:ascii="Verdana" w:hAnsi="Verdana"/>
              </w:rPr>
              <w:t xml:space="preserve"> </w:t>
            </w:r>
            <w:r w:rsidR="00807E93" w:rsidRPr="00E34190">
              <w:rPr>
                <w:rFonts w:ascii="Verdana" w:hAnsi="Verdana"/>
              </w:rPr>
              <w:t>based on the work of the financial statements</w:t>
            </w:r>
            <w:r w:rsidR="00B0018F">
              <w:rPr>
                <w:rFonts w:ascii="Verdana" w:hAnsi="Verdana"/>
              </w:rPr>
              <w:t>’</w:t>
            </w:r>
            <w:r w:rsidR="00807E93" w:rsidRPr="00E34190">
              <w:rPr>
                <w:rFonts w:ascii="Verdana" w:hAnsi="Verdana"/>
              </w:rPr>
              <w:t xml:space="preserve"> auditor, it </w:t>
            </w:r>
            <w:r w:rsidR="000D4784" w:rsidRPr="00E34190">
              <w:rPr>
                <w:rFonts w:ascii="Verdana" w:hAnsi="Verdana"/>
              </w:rPr>
              <w:t xml:space="preserve">had </w:t>
            </w:r>
            <w:r w:rsidR="008A3C02" w:rsidRPr="00E34190">
              <w:rPr>
                <w:rFonts w:ascii="Verdana" w:hAnsi="Verdana"/>
              </w:rPr>
              <w:t>been</w:t>
            </w:r>
            <w:r w:rsidR="00005B4A" w:rsidRPr="00E34190">
              <w:rPr>
                <w:rFonts w:ascii="Verdana" w:hAnsi="Verdana"/>
              </w:rPr>
              <w:t xml:space="preserve"> able to</w:t>
            </w:r>
            <w:r w:rsidR="00807E93" w:rsidRPr="00E34190">
              <w:rPr>
                <w:rFonts w:ascii="Verdana" w:hAnsi="Verdana"/>
              </w:rPr>
              <w:t xml:space="preserve"> advise the Resources Committee that</w:t>
            </w:r>
            <w:r w:rsidR="0077530B" w:rsidRPr="00E34190">
              <w:rPr>
                <w:rFonts w:ascii="Verdana" w:hAnsi="Verdana"/>
              </w:rPr>
              <w:t>:</w:t>
            </w:r>
          </w:p>
        </w:tc>
      </w:tr>
    </w:tbl>
    <w:p w14:paraId="38715D5B" w14:textId="0AF8E93F" w:rsidR="004F4C55" w:rsidRDefault="004F4C55" w:rsidP="004F4C55"/>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25"/>
        <w:gridCol w:w="8392"/>
      </w:tblGrid>
      <w:tr w:rsidR="00EC4C70" w:rsidRPr="004537E6" w14:paraId="7DEFA3E4" w14:textId="77777777" w:rsidTr="00C54211">
        <w:tc>
          <w:tcPr>
            <w:tcW w:w="534" w:type="dxa"/>
          </w:tcPr>
          <w:p w14:paraId="1E41B6B6" w14:textId="77777777" w:rsidR="00EC4C70" w:rsidRPr="004F4C55" w:rsidRDefault="00EC4C70" w:rsidP="00EC4C70">
            <w:pPr>
              <w:rPr>
                <w:rFonts w:ascii="Verdana" w:hAnsi="Verdana"/>
              </w:rPr>
            </w:pPr>
          </w:p>
        </w:tc>
        <w:tc>
          <w:tcPr>
            <w:tcW w:w="425" w:type="dxa"/>
          </w:tcPr>
          <w:p w14:paraId="5A0B1E56" w14:textId="77777777" w:rsidR="00EC4C70" w:rsidRDefault="00EC4C70" w:rsidP="00EC4C70">
            <w:pPr>
              <w:rPr>
                <w:rFonts w:ascii="Verdana" w:hAnsi="Verdana"/>
                <w:b/>
              </w:rPr>
            </w:pPr>
            <w:r>
              <w:rPr>
                <w:rFonts w:ascii="Verdana" w:hAnsi="Verdana"/>
                <w:b/>
              </w:rPr>
              <w:t>.</w:t>
            </w:r>
          </w:p>
        </w:tc>
        <w:tc>
          <w:tcPr>
            <w:tcW w:w="8392" w:type="dxa"/>
          </w:tcPr>
          <w:p w14:paraId="70871842" w14:textId="77777777" w:rsidR="00EC4C70" w:rsidRDefault="00EC4C70" w:rsidP="00EC4C70">
            <w:pPr>
              <w:rPr>
                <w:rFonts w:ascii="Verdana" w:hAnsi="Verdana"/>
              </w:rPr>
            </w:pPr>
            <w:r>
              <w:rPr>
                <w:rFonts w:ascii="Verdana" w:hAnsi="Verdana"/>
              </w:rPr>
              <w:t>suitable accounting policies had been selected and applied consistently;</w:t>
            </w:r>
          </w:p>
          <w:p w14:paraId="112EE65C" w14:textId="77777777" w:rsidR="00EC4C70" w:rsidRPr="004537E6" w:rsidRDefault="00EC4C70" w:rsidP="00EC4C70">
            <w:pPr>
              <w:contextualSpacing/>
              <w:rPr>
                <w:rFonts w:ascii="Verdana" w:hAnsi="Verdana"/>
              </w:rPr>
            </w:pPr>
          </w:p>
        </w:tc>
      </w:tr>
      <w:tr w:rsidR="00EC4C70" w:rsidRPr="004537E6" w14:paraId="0EB395A1" w14:textId="77777777" w:rsidTr="00C54211">
        <w:tc>
          <w:tcPr>
            <w:tcW w:w="534" w:type="dxa"/>
          </w:tcPr>
          <w:p w14:paraId="6FFBBBC6" w14:textId="77777777" w:rsidR="00EC4C70" w:rsidRPr="004F4C55" w:rsidRDefault="00EC4C70" w:rsidP="00EC4C70">
            <w:pPr>
              <w:rPr>
                <w:rFonts w:ascii="Verdana" w:hAnsi="Verdana"/>
              </w:rPr>
            </w:pPr>
          </w:p>
        </w:tc>
        <w:tc>
          <w:tcPr>
            <w:tcW w:w="425" w:type="dxa"/>
          </w:tcPr>
          <w:p w14:paraId="275F94D7" w14:textId="7A40C08D" w:rsidR="00EC4C70" w:rsidRDefault="00EC4C70" w:rsidP="00EC4C70">
            <w:pPr>
              <w:rPr>
                <w:rFonts w:ascii="Verdana" w:hAnsi="Verdana"/>
                <w:b/>
              </w:rPr>
            </w:pPr>
            <w:r>
              <w:rPr>
                <w:rFonts w:ascii="Verdana" w:hAnsi="Verdana"/>
                <w:b/>
              </w:rPr>
              <w:t>.</w:t>
            </w:r>
          </w:p>
        </w:tc>
        <w:tc>
          <w:tcPr>
            <w:tcW w:w="8392" w:type="dxa"/>
          </w:tcPr>
          <w:p w14:paraId="09BA9A3C" w14:textId="77777777" w:rsidR="00EC4C70" w:rsidRDefault="00EC4C70" w:rsidP="00EC4C70">
            <w:pPr>
              <w:rPr>
                <w:rFonts w:ascii="Verdana" w:hAnsi="Verdana"/>
              </w:rPr>
            </w:pPr>
            <w:r>
              <w:rPr>
                <w:rFonts w:ascii="Verdana" w:hAnsi="Verdana"/>
              </w:rPr>
              <w:t>judgements and estimates had been made that are reasonable and prudent;</w:t>
            </w:r>
          </w:p>
          <w:p w14:paraId="448EBAB8" w14:textId="77777777" w:rsidR="00EC4C70" w:rsidRPr="004537E6" w:rsidRDefault="00EC4C70" w:rsidP="00EC4C70">
            <w:pPr>
              <w:contextualSpacing/>
              <w:rPr>
                <w:rFonts w:ascii="Verdana" w:hAnsi="Verdana"/>
              </w:rPr>
            </w:pPr>
          </w:p>
        </w:tc>
      </w:tr>
      <w:tr w:rsidR="00EC4C70" w:rsidRPr="004537E6" w14:paraId="161D1225" w14:textId="77777777" w:rsidTr="00C54211">
        <w:tc>
          <w:tcPr>
            <w:tcW w:w="534" w:type="dxa"/>
          </w:tcPr>
          <w:p w14:paraId="4876047F" w14:textId="77777777" w:rsidR="00EC4C70" w:rsidRPr="004F4C55" w:rsidRDefault="00EC4C70" w:rsidP="00EC4C70">
            <w:pPr>
              <w:rPr>
                <w:rFonts w:ascii="Verdana" w:hAnsi="Verdana"/>
              </w:rPr>
            </w:pPr>
          </w:p>
        </w:tc>
        <w:tc>
          <w:tcPr>
            <w:tcW w:w="425" w:type="dxa"/>
          </w:tcPr>
          <w:p w14:paraId="729767CE" w14:textId="2127EADE" w:rsidR="00EC4C70" w:rsidRDefault="00EC4C70" w:rsidP="00EC4C70">
            <w:pPr>
              <w:rPr>
                <w:rFonts w:ascii="Verdana" w:hAnsi="Verdana"/>
                <w:b/>
              </w:rPr>
            </w:pPr>
            <w:r>
              <w:rPr>
                <w:rFonts w:ascii="Verdana" w:hAnsi="Verdana"/>
                <w:b/>
              </w:rPr>
              <w:t>.</w:t>
            </w:r>
          </w:p>
        </w:tc>
        <w:tc>
          <w:tcPr>
            <w:tcW w:w="8392" w:type="dxa"/>
          </w:tcPr>
          <w:p w14:paraId="56BBA5D2" w14:textId="77777777" w:rsidR="00EC4C70" w:rsidRPr="0018128A" w:rsidRDefault="00EC4C70" w:rsidP="00EC4C70">
            <w:pPr>
              <w:rPr>
                <w:rFonts w:ascii="Verdana" w:hAnsi="Verdana"/>
                <w:i/>
              </w:rPr>
            </w:pPr>
            <w:r>
              <w:rPr>
                <w:rFonts w:ascii="Verdana" w:hAnsi="Verdana"/>
              </w:rPr>
              <w:t xml:space="preserve">applicable accounting standards had been followed; </w:t>
            </w:r>
            <w:r w:rsidRPr="0018128A">
              <w:rPr>
                <w:rFonts w:ascii="Verdana" w:hAnsi="Verdana"/>
                <w:i/>
              </w:rPr>
              <w:t>and</w:t>
            </w:r>
          </w:p>
          <w:p w14:paraId="342D31E7" w14:textId="77777777" w:rsidR="00EC4C70" w:rsidRPr="004537E6" w:rsidRDefault="00EC4C70" w:rsidP="00EC4C70">
            <w:pPr>
              <w:contextualSpacing/>
              <w:rPr>
                <w:rFonts w:ascii="Verdana" w:hAnsi="Verdana"/>
              </w:rPr>
            </w:pPr>
          </w:p>
        </w:tc>
      </w:tr>
      <w:tr w:rsidR="00EC4C70" w:rsidRPr="004537E6" w14:paraId="3146B044" w14:textId="77777777" w:rsidTr="00C54211">
        <w:tc>
          <w:tcPr>
            <w:tcW w:w="534" w:type="dxa"/>
          </w:tcPr>
          <w:p w14:paraId="22A5124B" w14:textId="77777777" w:rsidR="00EC4C70" w:rsidRPr="004F4C55" w:rsidRDefault="00EC4C70" w:rsidP="00EC4C70">
            <w:pPr>
              <w:rPr>
                <w:rFonts w:ascii="Verdana" w:hAnsi="Verdana"/>
              </w:rPr>
            </w:pPr>
          </w:p>
        </w:tc>
        <w:tc>
          <w:tcPr>
            <w:tcW w:w="425" w:type="dxa"/>
          </w:tcPr>
          <w:p w14:paraId="31BB8E81" w14:textId="136A140D" w:rsidR="00EC4C70" w:rsidRDefault="00EC4C70" w:rsidP="00EC4C70">
            <w:pPr>
              <w:rPr>
                <w:rFonts w:ascii="Verdana" w:hAnsi="Verdana"/>
                <w:b/>
              </w:rPr>
            </w:pPr>
            <w:r>
              <w:rPr>
                <w:rFonts w:ascii="Verdana" w:hAnsi="Verdana"/>
                <w:b/>
              </w:rPr>
              <w:t>.</w:t>
            </w:r>
          </w:p>
        </w:tc>
        <w:tc>
          <w:tcPr>
            <w:tcW w:w="8392" w:type="dxa"/>
          </w:tcPr>
          <w:p w14:paraId="544CA5D7" w14:textId="77D541B4" w:rsidR="00EC4C70" w:rsidRPr="004537E6" w:rsidRDefault="00EC4C70" w:rsidP="00EC4C70">
            <w:pPr>
              <w:contextualSpacing/>
              <w:rPr>
                <w:rFonts w:ascii="Verdana" w:hAnsi="Verdana"/>
              </w:rPr>
            </w:pPr>
            <w:r>
              <w:rPr>
                <w:rFonts w:ascii="Verdana" w:hAnsi="Verdana"/>
              </w:rPr>
              <w:t>it had been appropriate to prepare the financial statements on the going concern basis.</w:t>
            </w:r>
          </w:p>
        </w:tc>
      </w:tr>
    </w:tbl>
    <w:p w14:paraId="0A18C013" w14:textId="3E560098" w:rsidR="005D0C11" w:rsidRDefault="005D0C11" w:rsidP="004F4C55">
      <w:pPr>
        <w:rPr>
          <w:rFonts w:ascii="Verdana" w:hAnsi="Verdana"/>
        </w:rPr>
      </w:pPr>
    </w:p>
    <w:tbl>
      <w:tblPr>
        <w:tblW w:w="9322" w:type="dxa"/>
        <w:tblLook w:val="04A0" w:firstRow="1" w:lastRow="0" w:firstColumn="1" w:lastColumn="0" w:noHBand="0" w:noVBand="1"/>
      </w:tblPr>
      <w:tblGrid>
        <w:gridCol w:w="534"/>
        <w:gridCol w:w="8788"/>
      </w:tblGrid>
      <w:tr w:rsidR="00E31582" w:rsidRPr="004E6BBD" w14:paraId="6A77E627" w14:textId="77777777" w:rsidTr="00C54211">
        <w:tc>
          <w:tcPr>
            <w:tcW w:w="534" w:type="dxa"/>
          </w:tcPr>
          <w:p w14:paraId="1154E987" w14:textId="4B6B7D39" w:rsidR="00E31582" w:rsidRPr="004E6BBD" w:rsidRDefault="00E31582" w:rsidP="007D5E3C">
            <w:pPr>
              <w:rPr>
                <w:rFonts w:ascii="Verdana" w:hAnsi="Verdana"/>
                <w:b/>
              </w:rPr>
            </w:pPr>
          </w:p>
        </w:tc>
        <w:tc>
          <w:tcPr>
            <w:tcW w:w="8788" w:type="dxa"/>
          </w:tcPr>
          <w:p w14:paraId="60304748" w14:textId="18EDCEEF" w:rsidR="00E34190" w:rsidRPr="004E6BBD" w:rsidRDefault="00E34190" w:rsidP="00E34190">
            <w:pPr>
              <w:rPr>
                <w:rFonts w:ascii="Verdana" w:hAnsi="Verdana" w:cs="Arial"/>
              </w:rPr>
            </w:pPr>
            <w:r w:rsidRPr="004E6BBD">
              <w:rPr>
                <w:rFonts w:ascii="Verdana" w:hAnsi="Verdana" w:cs="Arial"/>
              </w:rPr>
              <w:t xml:space="preserve">It was noted that the </w:t>
            </w:r>
            <w:r w:rsidR="00E87E61">
              <w:rPr>
                <w:rFonts w:ascii="Verdana" w:hAnsi="Verdana" w:cs="Arial"/>
              </w:rPr>
              <w:t>outcome</w:t>
            </w:r>
            <w:r w:rsidRPr="004E6BBD">
              <w:rPr>
                <w:rFonts w:ascii="Verdana" w:hAnsi="Verdana" w:cs="Arial"/>
              </w:rPr>
              <w:t>s for the two years (</w:t>
            </w:r>
            <w:r w:rsidR="004E6BBD" w:rsidRPr="004E6BBD">
              <w:rPr>
                <w:rFonts w:ascii="Verdana" w:hAnsi="Verdana" w:cs="Arial"/>
              </w:rPr>
              <w:t>2019-20</w:t>
            </w:r>
            <w:r w:rsidRPr="004E6BBD">
              <w:rPr>
                <w:rFonts w:ascii="Verdana" w:hAnsi="Verdana" w:cs="Arial"/>
              </w:rPr>
              <w:t xml:space="preserve"> &amp; </w:t>
            </w:r>
            <w:r w:rsidR="004E6BBD" w:rsidRPr="004E6BBD">
              <w:rPr>
                <w:rFonts w:ascii="Verdana" w:hAnsi="Verdana" w:cs="Arial"/>
              </w:rPr>
              <w:t>2018-19</w:t>
            </w:r>
            <w:r w:rsidRPr="004E6BBD">
              <w:rPr>
                <w:rFonts w:ascii="Verdana" w:hAnsi="Verdana" w:cs="Arial"/>
              </w:rPr>
              <w:t xml:space="preserve">) are not significantly different despite the </w:t>
            </w:r>
            <w:r w:rsidR="00303364">
              <w:rPr>
                <w:rFonts w:ascii="Verdana" w:hAnsi="Verdana" w:cs="Arial"/>
              </w:rPr>
              <w:t>increas</w:t>
            </w:r>
            <w:r w:rsidR="004E6BBD" w:rsidRPr="004E6BBD">
              <w:rPr>
                <w:rFonts w:ascii="Verdana" w:hAnsi="Verdana" w:cs="Arial"/>
              </w:rPr>
              <w:t>e</w:t>
            </w:r>
            <w:r w:rsidRPr="004E6BBD">
              <w:rPr>
                <w:rFonts w:ascii="Verdana" w:hAnsi="Verdana" w:cs="Arial"/>
              </w:rPr>
              <w:t xml:space="preserve"> in </w:t>
            </w:r>
            <w:r w:rsidR="00303364">
              <w:rPr>
                <w:rFonts w:ascii="Verdana" w:hAnsi="Verdana" w:cs="Arial"/>
              </w:rPr>
              <w:t xml:space="preserve">student </w:t>
            </w:r>
            <w:r w:rsidRPr="004E6BBD">
              <w:rPr>
                <w:rFonts w:ascii="Verdana" w:hAnsi="Verdana" w:cs="Arial"/>
              </w:rPr>
              <w:t xml:space="preserve">numbers. </w:t>
            </w:r>
          </w:p>
          <w:p w14:paraId="1D681B21" w14:textId="77777777" w:rsidR="006404F8" w:rsidRPr="004E6BBD" w:rsidRDefault="006404F8" w:rsidP="007D5E3C">
            <w:pPr>
              <w:pStyle w:val="NoSpacing"/>
              <w:rPr>
                <w:rFonts w:ascii="Verdana" w:hAnsi="Verdana"/>
              </w:rPr>
            </w:pPr>
          </w:p>
          <w:p w14:paraId="22FD4CCC" w14:textId="7D5C985A" w:rsidR="00AF7874" w:rsidRPr="004E6BBD" w:rsidRDefault="00E34190" w:rsidP="007D5E3C">
            <w:pPr>
              <w:pStyle w:val="NoSpacing"/>
              <w:rPr>
                <w:rFonts w:ascii="Verdana" w:hAnsi="Verdana"/>
              </w:rPr>
            </w:pPr>
            <w:r w:rsidRPr="004E6BBD">
              <w:rPr>
                <w:rFonts w:ascii="Verdana" w:hAnsi="Verdana"/>
              </w:rPr>
              <w:t>The following matters were also noted</w:t>
            </w:r>
            <w:r w:rsidR="00651B90" w:rsidRPr="004E6BBD">
              <w:rPr>
                <w:rFonts w:ascii="Verdana" w:hAnsi="Verdana"/>
              </w:rPr>
              <w:t xml:space="preserve"> in relation to </w:t>
            </w:r>
            <w:r w:rsidR="007D5E3C" w:rsidRPr="004E6BBD">
              <w:rPr>
                <w:rFonts w:ascii="Verdana" w:hAnsi="Verdana"/>
              </w:rPr>
              <w:t>the Statement of Comprehensive Income and Expenditure</w:t>
            </w:r>
            <w:r w:rsidRPr="004E6BBD">
              <w:rPr>
                <w:rFonts w:ascii="Verdana" w:hAnsi="Verdana"/>
              </w:rPr>
              <w:t>:</w:t>
            </w:r>
          </w:p>
        </w:tc>
      </w:tr>
    </w:tbl>
    <w:p w14:paraId="04619346" w14:textId="707192E0" w:rsidR="00E31582" w:rsidRPr="004E6BBD" w:rsidRDefault="00E31582" w:rsidP="004F4C55">
      <w:pPr>
        <w:rPr>
          <w:rFonts w:ascii="Verdana" w:hAnsi="Verdana"/>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25"/>
        <w:gridCol w:w="8392"/>
      </w:tblGrid>
      <w:tr w:rsidR="00242A9A" w:rsidRPr="004E6BBD" w14:paraId="1F638A8E" w14:textId="77777777" w:rsidTr="00C54211">
        <w:tc>
          <w:tcPr>
            <w:tcW w:w="534" w:type="dxa"/>
          </w:tcPr>
          <w:p w14:paraId="73139F52" w14:textId="77777777" w:rsidR="00242A9A" w:rsidRPr="004E6BBD" w:rsidRDefault="00242A9A" w:rsidP="007D5E3C">
            <w:pPr>
              <w:rPr>
                <w:rFonts w:ascii="Verdana" w:hAnsi="Verdana"/>
              </w:rPr>
            </w:pPr>
          </w:p>
        </w:tc>
        <w:tc>
          <w:tcPr>
            <w:tcW w:w="425" w:type="dxa"/>
          </w:tcPr>
          <w:p w14:paraId="52D41229" w14:textId="77777777" w:rsidR="00242A9A" w:rsidRPr="004E6BBD" w:rsidRDefault="00242A9A" w:rsidP="007D5E3C">
            <w:pPr>
              <w:rPr>
                <w:rFonts w:ascii="Verdana" w:hAnsi="Verdana"/>
                <w:b/>
              </w:rPr>
            </w:pPr>
            <w:r w:rsidRPr="004E6BBD">
              <w:rPr>
                <w:rFonts w:ascii="Verdana" w:hAnsi="Verdana"/>
                <w:b/>
              </w:rPr>
              <w:t>.</w:t>
            </w:r>
          </w:p>
        </w:tc>
        <w:tc>
          <w:tcPr>
            <w:tcW w:w="8392" w:type="dxa"/>
          </w:tcPr>
          <w:p w14:paraId="282FEF08" w14:textId="075932E9" w:rsidR="004E6BBD" w:rsidRPr="004E6BBD" w:rsidRDefault="004E6BBD" w:rsidP="004E6BBD">
            <w:pPr>
              <w:contextualSpacing/>
              <w:rPr>
                <w:rFonts w:ascii="Verdana" w:hAnsi="Verdana" w:cs="Arial"/>
              </w:rPr>
            </w:pPr>
            <w:r w:rsidRPr="004E6BBD">
              <w:rPr>
                <w:rFonts w:ascii="Verdana" w:hAnsi="Verdana" w:cs="Arial"/>
              </w:rPr>
              <w:t>the Financial Statements show a deficit of £707,000 (2018-19: £616,000) after £642,000 pension adjustments, the</w:t>
            </w:r>
            <w:r w:rsidRPr="004E6BBD">
              <w:rPr>
                <w:rFonts w:ascii="Verdana" w:hAnsi="Verdana" w:cs="Arial"/>
                <w:strike/>
              </w:rPr>
              <w:t xml:space="preserve"> </w:t>
            </w:r>
            <w:r w:rsidRPr="004E6BBD">
              <w:rPr>
                <w:rFonts w:ascii="Verdana" w:hAnsi="Verdana" w:cs="Arial"/>
              </w:rPr>
              <w:t>deficit prior to FRS 102(S28) pension adjustments having been £242,000 (2018-19: £26,000</w:t>
            </w:r>
            <w:r w:rsidRPr="004E6BBD">
              <w:rPr>
                <w:rFonts w:ascii="Verdana" w:hAnsi="Verdana" w:cs="Arial"/>
                <w:color w:val="FF0000"/>
              </w:rPr>
              <w:t xml:space="preserve"> </w:t>
            </w:r>
            <w:r w:rsidRPr="004E6BBD">
              <w:rPr>
                <w:rFonts w:ascii="Verdana" w:hAnsi="Verdana" w:cs="Arial"/>
              </w:rPr>
              <w:t>surplus);</w:t>
            </w:r>
          </w:p>
          <w:p w14:paraId="4C66D0C2" w14:textId="69923BB8" w:rsidR="003A4D45" w:rsidRPr="004E6BBD" w:rsidRDefault="003A4D45" w:rsidP="007D5E3C">
            <w:pPr>
              <w:contextualSpacing/>
              <w:rPr>
                <w:rFonts w:ascii="Verdana" w:hAnsi="Verdana"/>
              </w:rPr>
            </w:pPr>
          </w:p>
        </w:tc>
      </w:tr>
      <w:tr w:rsidR="00242A9A" w:rsidRPr="004E6BBD" w14:paraId="7D913BEF" w14:textId="77777777" w:rsidTr="00C54211">
        <w:tc>
          <w:tcPr>
            <w:tcW w:w="534" w:type="dxa"/>
          </w:tcPr>
          <w:p w14:paraId="48C72887" w14:textId="77777777" w:rsidR="00242A9A" w:rsidRPr="004E6BBD" w:rsidRDefault="00242A9A" w:rsidP="007D5E3C">
            <w:pPr>
              <w:rPr>
                <w:rFonts w:ascii="Verdana" w:hAnsi="Verdana"/>
              </w:rPr>
            </w:pPr>
          </w:p>
        </w:tc>
        <w:tc>
          <w:tcPr>
            <w:tcW w:w="425" w:type="dxa"/>
          </w:tcPr>
          <w:p w14:paraId="1B6A8CB3" w14:textId="77777777" w:rsidR="00242A9A" w:rsidRPr="004E6BBD" w:rsidRDefault="00242A9A" w:rsidP="007D5E3C">
            <w:pPr>
              <w:rPr>
                <w:rFonts w:ascii="Verdana" w:hAnsi="Verdana"/>
                <w:b/>
              </w:rPr>
            </w:pPr>
            <w:r w:rsidRPr="004E6BBD">
              <w:rPr>
                <w:rFonts w:ascii="Verdana" w:hAnsi="Verdana"/>
                <w:b/>
              </w:rPr>
              <w:t>.</w:t>
            </w:r>
          </w:p>
        </w:tc>
        <w:tc>
          <w:tcPr>
            <w:tcW w:w="8392" w:type="dxa"/>
          </w:tcPr>
          <w:p w14:paraId="77F8339F" w14:textId="42379E26" w:rsidR="004E6BBD" w:rsidRPr="004E6BBD" w:rsidRDefault="004E6BBD" w:rsidP="004E6BBD">
            <w:pPr>
              <w:contextualSpacing/>
              <w:rPr>
                <w:rFonts w:ascii="Verdana" w:hAnsi="Verdana" w:cs="Arial"/>
              </w:rPr>
            </w:pPr>
            <w:r w:rsidRPr="004E6BBD">
              <w:rPr>
                <w:rFonts w:ascii="Verdana" w:hAnsi="Verdana" w:cs="Arial"/>
              </w:rPr>
              <w:t>income rose by £51,000, the Strategic College Improvement Fund income that was non-recurrent in 2018-19 having been replaced by student growth and a grant from the Greater London Authority for the refurbishment of the TAG Centre for its use as the Accelerated Learning Pathway;</w:t>
            </w:r>
          </w:p>
          <w:p w14:paraId="61A477B5" w14:textId="4F8C39F3" w:rsidR="006404F8" w:rsidRPr="004E6BBD" w:rsidRDefault="006404F8" w:rsidP="007D5E3C">
            <w:pPr>
              <w:contextualSpacing/>
              <w:rPr>
                <w:rFonts w:ascii="Verdana" w:hAnsi="Verdana"/>
              </w:rPr>
            </w:pPr>
          </w:p>
        </w:tc>
      </w:tr>
      <w:tr w:rsidR="00242A9A" w:rsidRPr="004537E6" w14:paraId="4CB2E4BB" w14:textId="77777777" w:rsidTr="00C54211">
        <w:tc>
          <w:tcPr>
            <w:tcW w:w="534" w:type="dxa"/>
          </w:tcPr>
          <w:p w14:paraId="445B023B" w14:textId="77777777" w:rsidR="00242A9A" w:rsidRPr="004F4C55" w:rsidRDefault="00242A9A" w:rsidP="007D5E3C">
            <w:pPr>
              <w:rPr>
                <w:rFonts w:ascii="Verdana" w:hAnsi="Verdana"/>
              </w:rPr>
            </w:pPr>
          </w:p>
        </w:tc>
        <w:tc>
          <w:tcPr>
            <w:tcW w:w="425" w:type="dxa"/>
          </w:tcPr>
          <w:p w14:paraId="7271607B" w14:textId="05B0AC56" w:rsidR="00242A9A" w:rsidRDefault="00242A9A" w:rsidP="007D5E3C">
            <w:pPr>
              <w:rPr>
                <w:rFonts w:ascii="Verdana" w:hAnsi="Verdana"/>
                <w:b/>
              </w:rPr>
            </w:pPr>
            <w:r>
              <w:rPr>
                <w:rFonts w:ascii="Verdana" w:hAnsi="Verdana"/>
                <w:b/>
              </w:rPr>
              <w:t>.</w:t>
            </w:r>
          </w:p>
        </w:tc>
        <w:tc>
          <w:tcPr>
            <w:tcW w:w="8392" w:type="dxa"/>
          </w:tcPr>
          <w:p w14:paraId="5AF02ECC" w14:textId="05BF8B47" w:rsidR="00DE57A6" w:rsidRDefault="004E6BBD" w:rsidP="007D5E3C">
            <w:pPr>
              <w:contextualSpacing/>
              <w:rPr>
                <w:rFonts w:ascii="Verdana" w:hAnsi="Verdana" w:cs="Arial"/>
              </w:rPr>
            </w:pPr>
            <w:r w:rsidRPr="004E6BBD">
              <w:rPr>
                <w:rFonts w:ascii="Verdana" w:hAnsi="Verdana" w:cs="Arial"/>
              </w:rPr>
              <w:t>pay costs rose by £169,000 (from £6.738</w:t>
            </w:r>
            <w:r>
              <w:rPr>
                <w:rFonts w:ascii="Verdana" w:hAnsi="Verdana" w:cs="Arial"/>
              </w:rPr>
              <w:t>m</w:t>
            </w:r>
            <w:r w:rsidRPr="004E6BBD">
              <w:rPr>
                <w:rFonts w:ascii="Verdana" w:hAnsi="Verdana" w:cs="Arial"/>
              </w:rPr>
              <w:t xml:space="preserve"> to £6.907</w:t>
            </w:r>
            <w:r>
              <w:rPr>
                <w:rFonts w:ascii="Verdana" w:hAnsi="Verdana" w:cs="Arial"/>
              </w:rPr>
              <w:t>m</w:t>
            </w:r>
            <w:r w:rsidRPr="004E6BBD">
              <w:rPr>
                <w:rFonts w:ascii="Verdana" w:hAnsi="Verdana" w:cs="Arial"/>
              </w:rPr>
              <w:t>)</w:t>
            </w:r>
            <w:r>
              <w:rPr>
                <w:rFonts w:ascii="Verdana" w:hAnsi="Verdana" w:cs="Arial"/>
              </w:rPr>
              <w:t>,</w:t>
            </w:r>
            <w:r w:rsidRPr="004E6BBD">
              <w:rPr>
                <w:rFonts w:ascii="Verdana" w:hAnsi="Verdana" w:cs="Arial"/>
              </w:rPr>
              <w:t xml:space="preserve"> </w:t>
            </w:r>
            <w:r>
              <w:rPr>
                <w:rFonts w:ascii="Verdana" w:hAnsi="Verdana" w:cs="Arial"/>
              </w:rPr>
              <w:t xml:space="preserve">with </w:t>
            </w:r>
            <w:r w:rsidRPr="004E6BBD">
              <w:rPr>
                <w:rFonts w:ascii="Verdana" w:hAnsi="Verdana" w:cs="Arial"/>
              </w:rPr>
              <w:t xml:space="preserve">pay before pensions adjustments </w:t>
            </w:r>
            <w:r>
              <w:rPr>
                <w:rFonts w:ascii="Verdana" w:hAnsi="Verdana" w:cs="Arial"/>
              </w:rPr>
              <w:t>having increased</w:t>
            </w:r>
            <w:r w:rsidRPr="004E6BBD">
              <w:rPr>
                <w:rFonts w:ascii="Verdana" w:hAnsi="Verdana" w:cs="Arial"/>
              </w:rPr>
              <w:t xml:space="preserve"> by £376,000, </w:t>
            </w:r>
            <w:r>
              <w:rPr>
                <w:rFonts w:ascii="Verdana" w:hAnsi="Verdana" w:cs="Arial"/>
              </w:rPr>
              <w:t xml:space="preserve">and </w:t>
            </w:r>
            <w:r w:rsidRPr="004E6BBD">
              <w:rPr>
                <w:rFonts w:ascii="Verdana" w:hAnsi="Verdana" w:cs="Arial"/>
              </w:rPr>
              <w:t xml:space="preserve">pay as a percentage of income </w:t>
            </w:r>
            <w:r>
              <w:rPr>
                <w:rFonts w:ascii="Verdana" w:hAnsi="Verdana" w:cs="Arial"/>
              </w:rPr>
              <w:t xml:space="preserve">having risen </w:t>
            </w:r>
            <w:r w:rsidRPr="004E6BBD">
              <w:rPr>
                <w:rFonts w:ascii="Verdana" w:hAnsi="Verdana" w:cs="Arial"/>
              </w:rPr>
              <w:t xml:space="preserve">to 69.95% </w:t>
            </w:r>
            <w:r>
              <w:rPr>
                <w:rFonts w:ascii="Verdana" w:hAnsi="Verdana" w:cs="Arial"/>
              </w:rPr>
              <w:t>(recommended maximum: 70%);</w:t>
            </w:r>
          </w:p>
          <w:p w14:paraId="028F40BB" w14:textId="0D3F92D2" w:rsidR="004E6BBD" w:rsidRPr="004E6BBD" w:rsidRDefault="004E6BBD" w:rsidP="007D5E3C">
            <w:pPr>
              <w:contextualSpacing/>
              <w:rPr>
                <w:rFonts w:ascii="Verdana" w:hAnsi="Verdana"/>
              </w:rPr>
            </w:pPr>
          </w:p>
        </w:tc>
      </w:tr>
      <w:tr w:rsidR="004E6BBD" w:rsidRPr="004537E6" w14:paraId="74D690E9" w14:textId="77777777" w:rsidTr="00C54211">
        <w:tc>
          <w:tcPr>
            <w:tcW w:w="534" w:type="dxa"/>
          </w:tcPr>
          <w:p w14:paraId="1623D27A" w14:textId="77777777" w:rsidR="004E6BBD" w:rsidRPr="004F4C55" w:rsidRDefault="004E6BBD" w:rsidP="007D5E3C">
            <w:pPr>
              <w:rPr>
                <w:rFonts w:ascii="Verdana" w:hAnsi="Verdana"/>
              </w:rPr>
            </w:pPr>
          </w:p>
        </w:tc>
        <w:tc>
          <w:tcPr>
            <w:tcW w:w="425" w:type="dxa"/>
          </w:tcPr>
          <w:p w14:paraId="774E3D07" w14:textId="31AD878F" w:rsidR="004E6BBD" w:rsidRDefault="004E6BBD" w:rsidP="007D5E3C">
            <w:pPr>
              <w:rPr>
                <w:rFonts w:ascii="Verdana" w:hAnsi="Verdana"/>
                <w:b/>
              </w:rPr>
            </w:pPr>
            <w:r>
              <w:rPr>
                <w:rFonts w:ascii="Verdana" w:hAnsi="Verdana"/>
                <w:b/>
              </w:rPr>
              <w:t>.</w:t>
            </w:r>
          </w:p>
        </w:tc>
        <w:tc>
          <w:tcPr>
            <w:tcW w:w="8392" w:type="dxa"/>
          </w:tcPr>
          <w:p w14:paraId="14F3CC4C" w14:textId="791A6214" w:rsidR="007E0889" w:rsidRPr="007E0889" w:rsidRDefault="004E6BBD" w:rsidP="007D5E3C">
            <w:pPr>
              <w:contextualSpacing/>
              <w:rPr>
                <w:rFonts w:ascii="Verdana" w:hAnsi="Verdana" w:cs="Arial"/>
                <w:i/>
                <w:iCs/>
              </w:rPr>
            </w:pPr>
            <w:r>
              <w:rPr>
                <w:rFonts w:ascii="Verdana" w:hAnsi="Verdana" w:cs="Arial"/>
              </w:rPr>
              <w:t>n</w:t>
            </w:r>
            <w:r w:rsidRPr="004E6BBD">
              <w:rPr>
                <w:rFonts w:ascii="Verdana" w:hAnsi="Verdana" w:cs="Arial"/>
              </w:rPr>
              <w:t>on</w:t>
            </w:r>
            <w:r w:rsidR="007E0889">
              <w:rPr>
                <w:rFonts w:ascii="Verdana" w:hAnsi="Verdana" w:cs="Arial"/>
              </w:rPr>
              <w:t>-</w:t>
            </w:r>
            <w:r w:rsidRPr="004E6BBD">
              <w:rPr>
                <w:rFonts w:ascii="Verdana" w:hAnsi="Verdana" w:cs="Arial"/>
              </w:rPr>
              <w:t xml:space="preserve">pay costs </w:t>
            </w:r>
            <w:r w:rsidR="007E0889">
              <w:rPr>
                <w:rFonts w:ascii="Verdana" w:hAnsi="Verdana" w:cs="Arial"/>
              </w:rPr>
              <w:t>fell</w:t>
            </w:r>
            <w:r w:rsidRPr="004E6BBD">
              <w:rPr>
                <w:rFonts w:ascii="Verdana" w:hAnsi="Verdana" w:cs="Arial"/>
              </w:rPr>
              <w:t xml:space="preserve"> by £43,000</w:t>
            </w:r>
            <w:r w:rsidR="007E0889">
              <w:rPr>
                <w:rFonts w:ascii="Verdana" w:hAnsi="Verdana" w:cs="Arial"/>
              </w:rPr>
              <w:t>, being</w:t>
            </w:r>
            <w:r w:rsidRPr="004E6BBD">
              <w:rPr>
                <w:rFonts w:ascii="Verdana" w:hAnsi="Verdana" w:cs="Arial"/>
              </w:rPr>
              <w:t xml:space="preserve"> a real terms reduction</w:t>
            </w:r>
            <w:r w:rsidR="007E0889">
              <w:rPr>
                <w:rFonts w:ascii="Verdana" w:hAnsi="Verdana" w:cs="Arial"/>
              </w:rPr>
              <w:t xml:space="preserve"> (without the pandemic, the reduction would have been £149,000); </w:t>
            </w:r>
            <w:r w:rsidR="007E0889">
              <w:rPr>
                <w:rFonts w:ascii="Verdana" w:hAnsi="Verdana" w:cs="Arial"/>
                <w:i/>
                <w:iCs/>
              </w:rPr>
              <w:t>and</w:t>
            </w:r>
          </w:p>
          <w:p w14:paraId="0F8823EA" w14:textId="61B5C281" w:rsidR="004E6BBD" w:rsidRPr="004E6BBD" w:rsidRDefault="004E6BBD" w:rsidP="007D5E3C">
            <w:pPr>
              <w:contextualSpacing/>
              <w:rPr>
                <w:rFonts w:ascii="Verdana" w:hAnsi="Verdana" w:cs="Arial"/>
              </w:rPr>
            </w:pPr>
            <w:r w:rsidRPr="004E6BBD">
              <w:rPr>
                <w:rFonts w:ascii="Verdana" w:hAnsi="Verdana" w:cs="Arial"/>
              </w:rPr>
              <w:t xml:space="preserve">  </w:t>
            </w:r>
          </w:p>
        </w:tc>
      </w:tr>
      <w:tr w:rsidR="004E6BBD" w:rsidRPr="004537E6" w14:paraId="044E9E78" w14:textId="77777777" w:rsidTr="00C54211">
        <w:tc>
          <w:tcPr>
            <w:tcW w:w="534" w:type="dxa"/>
          </w:tcPr>
          <w:p w14:paraId="668230BB" w14:textId="77777777" w:rsidR="004E6BBD" w:rsidRPr="004F4C55" w:rsidRDefault="004E6BBD" w:rsidP="007D5E3C">
            <w:pPr>
              <w:rPr>
                <w:rFonts w:ascii="Verdana" w:hAnsi="Verdana"/>
              </w:rPr>
            </w:pPr>
          </w:p>
        </w:tc>
        <w:tc>
          <w:tcPr>
            <w:tcW w:w="425" w:type="dxa"/>
          </w:tcPr>
          <w:p w14:paraId="2B9459F7" w14:textId="6936575B" w:rsidR="004E6BBD" w:rsidRDefault="004E6BBD" w:rsidP="007D5E3C">
            <w:pPr>
              <w:rPr>
                <w:rFonts w:ascii="Verdana" w:hAnsi="Verdana"/>
                <w:b/>
              </w:rPr>
            </w:pPr>
            <w:r>
              <w:rPr>
                <w:rFonts w:ascii="Verdana" w:hAnsi="Verdana"/>
                <w:b/>
              </w:rPr>
              <w:t>.</w:t>
            </w:r>
          </w:p>
        </w:tc>
        <w:tc>
          <w:tcPr>
            <w:tcW w:w="8392" w:type="dxa"/>
          </w:tcPr>
          <w:p w14:paraId="754C1F03" w14:textId="65A2551F" w:rsidR="007E0889" w:rsidRPr="007E0889" w:rsidRDefault="007E0889" w:rsidP="007D5E3C">
            <w:pPr>
              <w:contextualSpacing/>
              <w:rPr>
                <w:rFonts w:ascii="Verdana" w:hAnsi="Verdana" w:cs="Arial"/>
              </w:rPr>
            </w:pPr>
            <w:r w:rsidRPr="007E0889">
              <w:rPr>
                <w:rFonts w:ascii="Verdana" w:hAnsi="Verdana" w:cs="Arial"/>
              </w:rPr>
              <w:t>the College had managed within its approved budget parameters, despite the public health emergency, and had continued to provide online teaching and support services to students.</w:t>
            </w:r>
          </w:p>
        </w:tc>
      </w:tr>
    </w:tbl>
    <w:p w14:paraId="0DC99302" w14:textId="77777777" w:rsidR="00CA7196" w:rsidRPr="00D05146" w:rsidRDefault="00CA7196" w:rsidP="004F4C55">
      <w:pPr>
        <w:rPr>
          <w:rFonts w:ascii="Verdana" w:hAnsi="Verdana"/>
        </w:rPr>
      </w:pPr>
    </w:p>
    <w:tbl>
      <w:tblPr>
        <w:tblW w:w="9322" w:type="dxa"/>
        <w:tblLook w:val="04A0" w:firstRow="1" w:lastRow="0" w:firstColumn="1" w:lastColumn="0" w:noHBand="0" w:noVBand="1"/>
      </w:tblPr>
      <w:tblGrid>
        <w:gridCol w:w="534"/>
        <w:gridCol w:w="8788"/>
      </w:tblGrid>
      <w:tr w:rsidR="00B575BF" w:rsidRPr="005D0C11" w14:paraId="45FF60C6" w14:textId="77777777" w:rsidTr="00C54211">
        <w:tc>
          <w:tcPr>
            <w:tcW w:w="534" w:type="dxa"/>
          </w:tcPr>
          <w:p w14:paraId="37536E65" w14:textId="77777777" w:rsidR="00B575BF" w:rsidRDefault="00B575BF" w:rsidP="007D5E3C">
            <w:pPr>
              <w:rPr>
                <w:rFonts w:ascii="Verdana" w:hAnsi="Verdana"/>
                <w:b/>
              </w:rPr>
            </w:pPr>
          </w:p>
        </w:tc>
        <w:tc>
          <w:tcPr>
            <w:tcW w:w="8788" w:type="dxa"/>
          </w:tcPr>
          <w:p w14:paraId="5DD4C110" w14:textId="5E7CBE4F" w:rsidR="00B575BF" w:rsidRPr="005D0C11" w:rsidRDefault="00B575BF" w:rsidP="007D5E3C">
            <w:pPr>
              <w:pStyle w:val="NoSpacing"/>
              <w:rPr>
                <w:rFonts w:ascii="Verdana" w:hAnsi="Verdana"/>
              </w:rPr>
            </w:pPr>
            <w:r>
              <w:rPr>
                <w:rFonts w:ascii="Verdana" w:hAnsi="Verdana"/>
              </w:rPr>
              <w:t>It was specifically noted in relation to the Balance Sheet that:</w:t>
            </w:r>
          </w:p>
        </w:tc>
      </w:tr>
    </w:tbl>
    <w:p w14:paraId="333C0574" w14:textId="20A9F95A" w:rsidR="005D0C11" w:rsidRDefault="005D0C11" w:rsidP="004F4C55"/>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25"/>
        <w:gridCol w:w="8392"/>
      </w:tblGrid>
      <w:tr w:rsidR="00B575BF" w:rsidRPr="007D5E3C" w14:paraId="14811141" w14:textId="77777777" w:rsidTr="00C54211">
        <w:tc>
          <w:tcPr>
            <w:tcW w:w="534" w:type="dxa"/>
          </w:tcPr>
          <w:p w14:paraId="10DA3CA3" w14:textId="77777777" w:rsidR="00B575BF" w:rsidRPr="007D5E3C" w:rsidRDefault="00B575BF" w:rsidP="007D5E3C">
            <w:pPr>
              <w:rPr>
                <w:rFonts w:ascii="Verdana" w:hAnsi="Verdana"/>
              </w:rPr>
            </w:pPr>
          </w:p>
        </w:tc>
        <w:tc>
          <w:tcPr>
            <w:tcW w:w="425" w:type="dxa"/>
          </w:tcPr>
          <w:p w14:paraId="1F54F1F0" w14:textId="77777777" w:rsidR="00B575BF" w:rsidRPr="007D5E3C" w:rsidRDefault="00B575BF" w:rsidP="007D5E3C">
            <w:pPr>
              <w:rPr>
                <w:rFonts w:ascii="Verdana" w:hAnsi="Verdana"/>
                <w:b/>
              </w:rPr>
            </w:pPr>
            <w:r w:rsidRPr="007D5E3C">
              <w:rPr>
                <w:rFonts w:ascii="Verdana" w:hAnsi="Verdana"/>
                <w:b/>
              </w:rPr>
              <w:t>.</w:t>
            </w:r>
          </w:p>
        </w:tc>
        <w:tc>
          <w:tcPr>
            <w:tcW w:w="8392" w:type="dxa"/>
          </w:tcPr>
          <w:p w14:paraId="47EB55EB" w14:textId="77777777" w:rsidR="007F783F" w:rsidRDefault="007E0889" w:rsidP="007E0889">
            <w:pPr>
              <w:contextualSpacing/>
              <w:rPr>
                <w:rFonts w:ascii="Verdana" w:hAnsi="Verdana" w:cs="Arial"/>
              </w:rPr>
            </w:pPr>
            <w:r>
              <w:rPr>
                <w:rFonts w:ascii="Verdana" w:hAnsi="Verdana" w:cs="Arial"/>
              </w:rPr>
              <w:t>on</w:t>
            </w:r>
            <w:r w:rsidRPr="007E0889">
              <w:rPr>
                <w:rFonts w:ascii="Verdana" w:hAnsi="Verdana" w:cs="Arial"/>
              </w:rPr>
              <w:t xml:space="preserve">going cash levels </w:t>
            </w:r>
            <w:r>
              <w:rPr>
                <w:rFonts w:ascii="Verdana" w:hAnsi="Verdana" w:cs="Arial"/>
              </w:rPr>
              <w:t xml:space="preserve">had </w:t>
            </w:r>
            <w:r w:rsidRPr="007E0889">
              <w:rPr>
                <w:rFonts w:ascii="Verdana" w:hAnsi="Verdana" w:cs="Arial"/>
              </w:rPr>
              <w:t>remained between £1.2m and £2.1</w:t>
            </w:r>
            <w:r>
              <w:rPr>
                <w:rFonts w:ascii="Verdana" w:hAnsi="Verdana" w:cs="Arial"/>
              </w:rPr>
              <w:t>m</w:t>
            </w:r>
            <w:r w:rsidRPr="007E0889">
              <w:rPr>
                <w:rFonts w:ascii="Verdana" w:hAnsi="Verdana" w:cs="Arial"/>
              </w:rPr>
              <w:t xml:space="preserve"> (dependent on the timing of funding body cash flows)</w:t>
            </w:r>
            <w:r>
              <w:rPr>
                <w:rFonts w:ascii="Verdana" w:hAnsi="Verdana" w:cs="Arial"/>
              </w:rPr>
              <w:t>, with y</w:t>
            </w:r>
            <w:r w:rsidRPr="007E0889">
              <w:rPr>
                <w:rFonts w:ascii="Verdana" w:hAnsi="Verdana" w:cs="Arial"/>
              </w:rPr>
              <w:t xml:space="preserve">ear-end cash levels £784,000 lower than </w:t>
            </w:r>
            <w:r>
              <w:rPr>
                <w:rFonts w:ascii="Verdana" w:hAnsi="Verdana" w:cs="Arial"/>
              </w:rPr>
              <w:t xml:space="preserve">the previous </w:t>
            </w:r>
            <w:r w:rsidRPr="007E0889">
              <w:rPr>
                <w:rFonts w:ascii="Verdana" w:hAnsi="Verdana" w:cs="Arial"/>
              </w:rPr>
              <w:t>year</w:t>
            </w:r>
            <w:r>
              <w:rPr>
                <w:rFonts w:ascii="Verdana" w:hAnsi="Verdana" w:cs="Arial"/>
              </w:rPr>
              <w:t xml:space="preserve">, </w:t>
            </w:r>
            <w:r w:rsidRPr="007E0889">
              <w:rPr>
                <w:rFonts w:ascii="Verdana" w:hAnsi="Verdana" w:cs="Arial"/>
              </w:rPr>
              <w:t>after £318,000 capital additions in the year</w:t>
            </w:r>
            <w:r w:rsidR="007D5E3C" w:rsidRPr="007E0889">
              <w:rPr>
                <w:rFonts w:ascii="Verdana" w:hAnsi="Verdana" w:cs="Arial"/>
              </w:rPr>
              <w:t xml:space="preserve">; </w:t>
            </w:r>
          </w:p>
          <w:p w14:paraId="56910531" w14:textId="40DBB63F" w:rsidR="007E0889" w:rsidRPr="007E0889" w:rsidRDefault="007E0889" w:rsidP="007E0889">
            <w:pPr>
              <w:contextualSpacing/>
              <w:rPr>
                <w:rFonts w:ascii="Verdana" w:hAnsi="Verdana"/>
              </w:rPr>
            </w:pPr>
          </w:p>
        </w:tc>
      </w:tr>
      <w:tr w:rsidR="007E0889" w:rsidRPr="007D5E3C" w14:paraId="74357ED5" w14:textId="77777777" w:rsidTr="00C54211">
        <w:tc>
          <w:tcPr>
            <w:tcW w:w="534" w:type="dxa"/>
          </w:tcPr>
          <w:p w14:paraId="73347AEE" w14:textId="77777777" w:rsidR="007E0889" w:rsidRPr="007D5E3C" w:rsidRDefault="007E0889" w:rsidP="007D5E3C">
            <w:pPr>
              <w:rPr>
                <w:rFonts w:ascii="Verdana" w:hAnsi="Verdana"/>
              </w:rPr>
            </w:pPr>
          </w:p>
        </w:tc>
        <w:tc>
          <w:tcPr>
            <w:tcW w:w="425" w:type="dxa"/>
          </w:tcPr>
          <w:p w14:paraId="3F5CE7AF" w14:textId="67537D79" w:rsidR="007E0889" w:rsidRPr="007D5E3C" w:rsidRDefault="007E0889" w:rsidP="007D5E3C">
            <w:pPr>
              <w:rPr>
                <w:rFonts w:ascii="Verdana" w:hAnsi="Verdana"/>
                <w:b/>
              </w:rPr>
            </w:pPr>
            <w:r>
              <w:rPr>
                <w:rFonts w:ascii="Verdana" w:hAnsi="Verdana"/>
                <w:b/>
              </w:rPr>
              <w:t>.</w:t>
            </w:r>
          </w:p>
        </w:tc>
        <w:tc>
          <w:tcPr>
            <w:tcW w:w="8392" w:type="dxa"/>
          </w:tcPr>
          <w:p w14:paraId="77176B35" w14:textId="2609781A" w:rsidR="00DA262A" w:rsidRPr="00E87E61" w:rsidRDefault="007E0889" w:rsidP="007E0889">
            <w:pPr>
              <w:contextualSpacing/>
              <w:rPr>
                <w:rFonts w:ascii="Verdana" w:hAnsi="Verdana" w:cs="Arial"/>
              </w:rPr>
            </w:pPr>
            <w:r>
              <w:rPr>
                <w:rFonts w:ascii="Verdana" w:hAnsi="Verdana" w:cs="Arial"/>
              </w:rPr>
              <w:t>t</w:t>
            </w:r>
            <w:r w:rsidRPr="007E0889">
              <w:rPr>
                <w:rFonts w:ascii="Verdana" w:hAnsi="Verdana" w:cs="Arial"/>
              </w:rPr>
              <w:t>he year</w:t>
            </w:r>
            <w:r>
              <w:rPr>
                <w:rFonts w:ascii="Verdana" w:hAnsi="Verdana" w:cs="Arial"/>
              </w:rPr>
              <w:t>-</w:t>
            </w:r>
            <w:r w:rsidRPr="007E0889">
              <w:rPr>
                <w:rFonts w:ascii="Verdana" w:hAnsi="Verdana" w:cs="Arial"/>
              </w:rPr>
              <w:t xml:space="preserve">end cash position </w:t>
            </w:r>
            <w:r w:rsidR="00DA262A">
              <w:rPr>
                <w:rFonts w:ascii="Verdana" w:hAnsi="Verdana" w:cs="Arial"/>
              </w:rPr>
              <w:t>had been</w:t>
            </w:r>
            <w:r w:rsidRPr="007E0889">
              <w:rPr>
                <w:rFonts w:ascii="Verdana" w:hAnsi="Verdana" w:cs="Arial"/>
              </w:rPr>
              <w:t xml:space="preserve"> lower than expected </w:t>
            </w:r>
            <w:r w:rsidR="00E87E61">
              <w:rPr>
                <w:rFonts w:ascii="Verdana" w:hAnsi="Verdana" w:cs="Arial"/>
              </w:rPr>
              <w:t xml:space="preserve">in relation to </w:t>
            </w:r>
            <w:r w:rsidR="00E87E61" w:rsidRPr="00E87E61">
              <w:rPr>
                <w:rFonts w:ascii="Verdana" w:hAnsi="Verdana" w:cs="Arial"/>
              </w:rPr>
              <w:t>which it was further noted that</w:t>
            </w:r>
            <w:r w:rsidRPr="00E87E61">
              <w:rPr>
                <w:rFonts w:ascii="Verdana" w:hAnsi="Verdana" w:cs="Arial"/>
              </w:rPr>
              <w:t xml:space="preserve"> </w:t>
            </w:r>
            <w:r w:rsidR="00DA262A" w:rsidRPr="00E87E61">
              <w:rPr>
                <w:rFonts w:ascii="Verdana" w:hAnsi="Verdana" w:cs="Arial"/>
              </w:rPr>
              <w:t>a</w:t>
            </w:r>
            <w:r w:rsidRPr="00E87E61">
              <w:rPr>
                <w:rFonts w:ascii="Verdana" w:hAnsi="Verdana" w:cs="Arial"/>
              </w:rPr>
              <w:t xml:space="preserve"> £200,000 grant to offset costs</w:t>
            </w:r>
            <w:r w:rsidR="00DA262A" w:rsidRPr="00E87E61">
              <w:rPr>
                <w:rFonts w:ascii="Verdana" w:hAnsi="Verdana" w:cs="Arial"/>
              </w:rPr>
              <w:t xml:space="preserve"> attending the public health emergency</w:t>
            </w:r>
            <w:r w:rsidRPr="00E87E61">
              <w:rPr>
                <w:rFonts w:ascii="Verdana" w:hAnsi="Verdana" w:cs="Arial"/>
              </w:rPr>
              <w:t xml:space="preserve"> </w:t>
            </w:r>
            <w:r w:rsidR="00DA262A" w:rsidRPr="00E87E61">
              <w:rPr>
                <w:rFonts w:ascii="Verdana" w:hAnsi="Verdana" w:cs="Arial"/>
              </w:rPr>
              <w:t>had been</w:t>
            </w:r>
            <w:r w:rsidRPr="00E87E61">
              <w:rPr>
                <w:rFonts w:ascii="Verdana" w:hAnsi="Verdana" w:cs="Arial"/>
              </w:rPr>
              <w:t xml:space="preserve"> successfully bid for – the expenditure was </w:t>
            </w:r>
            <w:r w:rsidR="00DA262A" w:rsidRPr="00E87E61">
              <w:rPr>
                <w:rFonts w:ascii="Verdana" w:hAnsi="Verdana" w:cs="Arial"/>
              </w:rPr>
              <w:t>incurred</w:t>
            </w:r>
            <w:r w:rsidRPr="00E87E61">
              <w:rPr>
                <w:rFonts w:ascii="Verdana" w:hAnsi="Verdana" w:cs="Arial"/>
              </w:rPr>
              <w:t xml:space="preserve"> but the grant will not be received until December</w:t>
            </w:r>
            <w:r w:rsidR="00DA262A" w:rsidRPr="00E87E61">
              <w:rPr>
                <w:rFonts w:ascii="Verdana" w:hAnsi="Verdana" w:cs="Arial"/>
              </w:rPr>
              <w:t>;</w:t>
            </w:r>
            <w:r w:rsidRPr="00E5233D">
              <w:rPr>
                <w:rFonts w:ascii="Verdana" w:hAnsi="Verdana" w:cs="Arial"/>
                <w:i/>
                <w:iCs/>
              </w:rPr>
              <w:t xml:space="preserve">  </w:t>
            </w:r>
          </w:p>
          <w:p w14:paraId="6A30FBB7" w14:textId="308E89D6" w:rsidR="00DA262A" w:rsidRPr="007E0889" w:rsidRDefault="00DA262A" w:rsidP="00E87E61">
            <w:pPr>
              <w:contextualSpacing/>
              <w:rPr>
                <w:rFonts w:ascii="Verdana" w:hAnsi="Verdana" w:cs="Arial"/>
              </w:rPr>
            </w:pPr>
          </w:p>
        </w:tc>
      </w:tr>
      <w:tr w:rsidR="007E0889" w:rsidRPr="007D5E3C" w14:paraId="31B42746" w14:textId="77777777" w:rsidTr="00C54211">
        <w:tc>
          <w:tcPr>
            <w:tcW w:w="534" w:type="dxa"/>
          </w:tcPr>
          <w:p w14:paraId="3D7E5666" w14:textId="77777777" w:rsidR="007E0889" w:rsidRPr="007D5E3C" w:rsidRDefault="007E0889" w:rsidP="007D5E3C">
            <w:pPr>
              <w:rPr>
                <w:rFonts w:ascii="Verdana" w:hAnsi="Verdana"/>
              </w:rPr>
            </w:pPr>
          </w:p>
        </w:tc>
        <w:tc>
          <w:tcPr>
            <w:tcW w:w="425" w:type="dxa"/>
          </w:tcPr>
          <w:p w14:paraId="32C54B3E" w14:textId="09016B05" w:rsidR="007E0889" w:rsidRPr="007D5E3C" w:rsidRDefault="007E0889" w:rsidP="007D5E3C">
            <w:pPr>
              <w:rPr>
                <w:rFonts w:ascii="Verdana" w:hAnsi="Verdana"/>
                <w:b/>
              </w:rPr>
            </w:pPr>
            <w:r>
              <w:rPr>
                <w:rFonts w:ascii="Verdana" w:hAnsi="Verdana"/>
                <w:b/>
              </w:rPr>
              <w:t>.</w:t>
            </w:r>
          </w:p>
        </w:tc>
        <w:tc>
          <w:tcPr>
            <w:tcW w:w="8392" w:type="dxa"/>
          </w:tcPr>
          <w:p w14:paraId="302642D7" w14:textId="77777777" w:rsidR="007E0889" w:rsidRPr="00DA262A" w:rsidRDefault="00DA262A" w:rsidP="007E0889">
            <w:pPr>
              <w:contextualSpacing/>
              <w:rPr>
                <w:rFonts w:ascii="Verdana" w:hAnsi="Verdana" w:cs="Arial"/>
                <w:i/>
                <w:iCs/>
              </w:rPr>
            </w:pPr>
            <w:r w:rsidRPr="00DA262A">
              <w:rPr>
                <w:rFonts w:ascii="Verdana" w:hAnsi="Verdana" w:cs="Arial"/>
              </w:rPr>
              <w:t xml:space="preserve">the Balance Sheet total had fallen by £2.833m, mostly because of the pension fund deficit increase; </w:t>
            </w:r>
            <w:r w:rsidRPr="00DA262A">
              <w:rPr>
                <w:rFonts w:ascii="Verdana" w:hAnsi="Verdana" w:cs="Arial"/>
                <w:i/>
                <w:iCs/>
              </w:rPr>
              <w:t>and</w:t>
            </w:r>
          </w:p>
          <w:p w14:paraId="55E4483D" w14:textId="724730C1" w:rsidR="00DA262A" w:rsidRPr="00DA262A" w:rsidRDefault="00DA262A" w:rsidP="007E0889">
            <w:pPr>
              <w:contextualSpacing/>
              <w:rPr>
                <w:rFonts w:ascii="Verdana" w:hAnsi="Verdana" w:cs="Arial"/>
                <w:i/>
                <w:iCs/>
              </w:rPr>
            </w:pPr>
          </w:p>
        </w:tc>
      </w:tr>
      <w:tr w:rsidR="00B575BF" w:rsidRPr="007D5E3C" w14:paraId="2C18CD97" w14:textId="77777777" w:rsidTr="00C54211">
        <w:tc>
          <w:tcPr>
            <w:tcW w:w="534" w:type="dxa"/>
          </w:tcPr>
          <w:p w14:paraId="367FA608" w14:textId="77777777" w:rsidR="00B575BF" w:rsidRPr="007D5E3C" w:rsidRDefault="00B575BF" w:rsidP="007D5E3C">
            <w:pPr>
              <w:rPr>
                <w:rFonts w:ascii="Verdana" w:hAnsi="Verdana"/>
              </w:rPr>
            </w:pPr>
          </w:p>
        </w:tc>
        <w:tc>
          <w:tcPr>
            <w:tcW w:w="425" w:type="dxa"/>
          </w:tcPr>
          <w:p w14:paraId="5A115C51" w14:textId="77777777" w:rsidR="00B575BF" w:rsidRPr="007D5E3C" w:rsidRDefault="00B575BF" w:rsidP="007D5E3C">
            <w:pPr>
              <w:rPr>
                <w:rFonts w:ascii="Verdana" w:hAnsi="Verdana"/>
                <w:b/>
              </w:rPr>
            </w:pPr>
            <w:r w:rsidRPr="007D5E3C">
              <w:rPr>
                <w:rFonts w:ascii="Verdana" w:hAnsi="Verdana"/>
                <w:b/>
              </w:rPr>
              <w:t>.</w:t>
            </w:r>
          </w:p>
        </w:tc>
        <w:tc>
          <w:tcPr>
            <w:tcW w:w="8392" w:type="dxa"/>
          </w:tcPr>
          <w:p w14:paraId="58BB7F8B" w14:textId="721C91F6" w:rsidR="00B575BF" w:rsidRPr="00DA262A" w:rsidRDefault="00DA262A" w:rsidP="007D5E3C">
            <w:pPr>
              <w:contextualSpacing/>
              <w:rPr>
                <w:rFonts w:ascii="Verdana" w:hAnsi="Verdana" w:cs="Arial"/>
              </w:rPr>
            </w:pPr>
            <w:r w:rsidRPr="00DA262A">
              <w:rPr>
                <w:rFonts w:ascii="Verdana" w:hAnsi="Verdana" w:cs="Arial"/>
              </w:rPr>
              <w:t xml:space="preserve">the negative revenue reserves are not considered to be an issue because of the underlying (and long-term) nature of the pension deficit (and </w:t>
            </w:r>
            <w:r>
              <w:rPr>
                <w:rFonts w:ascii="Verdana" w:hAnsi="Verdana" w:cs="Arial"/>
              </w:rPr>
              <w:t xml:space="preserve">the </w:t>
            </w:r>
            <w:r w:rsidRPr="00DA262A">
              <w:rPr>
                <w:rFonts w:ascii="Verdana" w:hAnsi="Verdana" w:cs="Arial"/>
              </w:rPr>
              <w:t xml:space="preserve">difficulties attending its reliable calculation).  </w:t>
            </w:r>
          </w:p>
        </w:tc>
      </w:tr>
    </w:tbl>
    <w:p w14:paraId="3DBE562D" w14:textId="2312C692" w:rsidR="009F4315" w:rsidRPr="007D5E3C" w:rsidRDefault="009F4315" w:rsidP="004F4C55">
      <w:pPr>
        <w:rPr>
          <w:rFonts w:ascii="Verdana" w:hAnsi="Verdana"/>
        </w:rPr>
      </w:pPr>
    </w:p>
    <w:tbl>
      <w:tblPr>
        <w:tblW w:w="9322" w:type="dxa"/>
        <w:tblLook w:val="04A0" w:firstRow="1" w:lastRow="0" w:firstColumn="1" w:lastColumn="0" w:noHBand="0" w:noVBand="1"/>
      </w:tblPr>
      <w:tblGrid>
        <w:gridCol w:w="534"/>
        <w:gridCol w:w="8788"/>
      </w:tblGrid>
      <w:tr w:rsidR="00532D90" w:rsidRPr="007D5E3C" w14:paraId="1E2959C2" w14:textId="77777777" w:rsidTr="00C54211">
        <w:tc>
          <w:tcPr>
            <w:tcW w:w="534" w:type="dxa"/>
          </w:tcPr>
          <w:p w14:paraId="40DB3690" w14:textId="77777777" w:rsidR="00532D90" w:rsidRPr="007D5E3C" w:rsidRDefault="00532D90" w:rsidP="007D5E3C">
            <w:pPr>
              <w:rPr>
                <w:rFonts w:ascii="Verdana" w:hAnsi="Verdana"/>
                <w:b/>
              </w:rPr>
            </w:pPr>
          </w:p>
        </w:tc>
        <w:tc>
          <w:tcPr>
            <w:tcW w:w="8788" w:type="dxa"/>
          </w:tcPr>
          <w:p w14:paraId="34C9009D" w14:textId="2F092AC2" w:rsidR="00532D90" w:rsidRPr="007D5E3C" w:rsidRDefault="0065071C" w:rsidP="007D5E3C">
            <w:pPr>
              <w:pStyle w:val="NoSpacing"/>
              <w:rPr>
                <w:rFonts w:ascii="Verdana" w:hAnsi="Verdana"/>
              </w:rPr>
            </w:pPr>
            <w:r w:rsidRPr="007D5E3C">
              <w:rPr>
                <w:rFonts w:ascii="Verdana" w:hAnsi="Verdana"/>
              </w:rPr>
              <w:t xml:space="preserve">In relation to the </w:t>
            </w:r>
            <w:r w:rsidR="00EF1733" w:rsidRPr="007D5E3C">
              <w:rPr>
                <w:rFonts w:ascii="Verdana" w:hAnsi="Verdana" w:cs="Arial"/>
              </w:rPr>
              <w:t xml:space="preserve">Waltham Forest Local Government Pension Scheme </w:t>
            </w:r>
            <w:r w:rsidRPr="007D5E3C">
              <w:rPr>
                <w:rFonts w:ascii="Verdana" w:hAnsi="Verdana"/>
              </w:rPr>
              <w:t>it was noted that:</w:t>
            </w:r>
          </w:p>
        </w:tc>
      </w:tr>
    </w:tbl>
    <w:p w14:paraId="79F6532E" w14:textId="21860450" w:rsidR="009F4315" w:rsidRPr="007D5E3C" w:rsidRDefault="009F4315" w:rsidP="004F4C55">
      <w:pPr>
        <w:rPr>
          <w:rFonts w:ascii="Verdana" w:hAnsi="Verdana"/>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25"/>
        <w:gridCol w:w="8392"/>
      </w:tblGrid>
      <w:tr w:rsidR="0065071C" w:rsidRPr="007D5E3C" w14:paraId="73F26D60" w14:textId="77777777" w:rsidTr="00C54211">
        <w:tc>
          <w:tcPr>
            <w:tcW w:w="534" w:type="dxa"/>
          </w:tcPr>
          <w:p w14:paraId="1071EE31" w14:textId="77777777" w:rsidR="0065071C" w:rsidRPr="007D5E3C" w:rsidRDefault="0065071C" w:rsidP="007D5E3C">
            <w:pPr>
              <w:rPr>
                <w:rFonts w:ascii="Verdana" w:hAnsi="Verdana"/>
              </w:rPr>
            </w:pPr>
          </w:p>
        </w:tc>
        <w:tc>
          <w:tcPr>
            <w:tcW w:w="425" w:type="dxa"/>
          </w:tcPr>
          <w:p w14:paraId="7DCB9A39" w14:textId="77777777" w:rsidR="0065071C" w:rsidRPr="007D5E3C" w:rsidRDefault="0065071C" w:rsidP="007D5E3C">
            <w:pPr>
              <w:rPr>
                <w:rFonts w:ascii="Verdana" w:hAnsi="Verdana"/>
                <w:b/>
              </w:rPr>
            </w:pPr>
            <w:r w:rsidRPr="007D5E3C">
              <w:rPr>
                <w:rFonts w:ascii="Verdana" w:hAnsi="Verdana"/>
                <w:b/>
              </w:rPr>
              <w:t>.</w:t>
            </w:r>
          </w:p>
        </w:tc>
        <w:tc>
          <w:tcPr>
            <w:tcW w:w="8392" w:type="dxa"/>
          </w:tcPr>
          <w:p w14:paraId="5420975E" w14:textId="0E4024FF" w:rsidR="00EC3203" w:rsidRPr="007D5E3C" w:rsidRDefault="007D5E3C" w:rsidP="007D5E3C">
            <w:pPr>
              <w:contextualSpacing/>
              <w:rPr>
                <w:rFonts w:ascii="Verdana" w:hAnsi="Verdana" w:cs="Arial"/>
                <w:i/>
                <w:iCs/>
              </w:rPr>
            </w:pPr>
            <w:r w:rsidRPr="007D5E3C">
              <w:rPr>
                <w:rFonts w:ascii="Verdana" w:hAnsi="Verdana" w:cs="Arial"/>
              </w:rPr>
              <w:t>the College’s reported share of the deficit on the Waltham Forest Local Government Pension Scheme rose by £2.</w:t>
            </w:r>
            <w:r w:rsidR="00DA262A">
              <w:rPr>
                <w:rFonts w:ascii="Verdana" w:hAnsi="Verdana" w:cs="Arial"/>
              </w:rPr>
              <w:t>591m</w:t>
            </w:r>
            <w:r w:rsidRPr="007D5E3C">
              <w:rPr>
                <w:rFonts w:ascii="Verdana" w:hAnsi="Verdana" w:cs="Arial"/>
              </w:rPr>
              <w:t xml:space="preserve"> from £2.514 million </w:t>
            </w:r>
            <w:r w:rsidR="00DA262A">
              <w:rPr>
                <w:rFonts w:ascii="Verdana" w:hAnsi="Verdana" w:cs="Arial"/>
              </w:rPr>
              <w:t>from</w:t>
            </w:r>
            <w:r w:rsidRPr="007D5E3C">
              <w:rPr>
                <w:rFonts w:ascii="Verdana" w:hAnsi="Verdana" w:cs="Arial"/>
              </w:rPr>
              <w:t xml:space="preserve"> £4.88</w:t>
            </w:r>
            <w:r w:rsidR="00DA262A">
              <w:rPr>
                <w:rFonts w:ascii="Verdana" w:hAnsi="Verdana" w:cs="Arial"/>
              </w:rPr>
              <w:t>m</w:t>
            </w:r>
            <w:r w:rsidRPr="007D5E3C">
              <w:rPr>
                <w:rFonts w:ascii="Verdana" w:hAnsi="Verdana" w:cs="Arial"/>
              </w:rPr>
              <w:t xml:space="preserve"> </w:t>
            </w:r>
            <w:r w:rsidR="00DA262A">
              <w:rPr>
                <w:rFonts w:ascii="Verdana" w:hAnsi="Verdana" w:cs="Arial"/>
              </w:rPr>
              <w:t>to £7,471m</w:t>
            </w:r>
            <w:r w:rsidRPr="007D5E3C">
              <w:rPr>
                <w:rFonts w:ascii="Verdana" w:hAnsi="Verdana" w:cs="Arial"/>
              </w:rPr>
              <w:t>, according to the actuarial FRS 102 (28) review;</w:t>
            </w:r>
            <w:r>
              <w:rPr>
                <w:rFonts w:ascii="Verdana" w:hAnsi="Verdana" w:cs="Arial"/>
              </w:rPr>
              <w:t xml:space="preserve"> </w:t>
            </w:r>
            <w:r w:rsidRPr="007D5E3C">
              <w:rPr>
                <w:rFonts w:ascii="Verdana" w:hAnsi="Verdana" w:cs="Arial"/>
                <w:i/>
                <w:iCs/>
              </w:rPr>
              <w:t>and that</w:t>
            </w:r>
          </w:p>
          <w:p w14:paraId="219F364A" w14:textId="7D76DD9C" w:rsidR="007D5E3C" w:rsidRPr="007D5E3C" w:rsidRDefault="007D5E3C" w:rsidP="007D5E3C">
            <w:pPr>
              <w:contextualSpacing/>
              <w:rPr>
                <w:rFonts w:ascii="Verdana" w:hAnsi="Verdana"/>
              </w:rPr>
            </w:pPr>
          </w:p>
        </w:tc>
      </w:tr>
      <w:tr w:rsidR="0065071C" w:rsidRPr="007D5E3C" w14:paraId="1CD904FD" w14:textId="77777777" w:rsidTr="00C54211">
        <w:tc>
          <w:tcPr>
            <w:tcW w:w="534" w:type="dxa"/>
          </w:tcPr>
          <w:p w14:paraId="38251AF3" w14:textId="77777777" w:rsidR="0065071C" w:rsidRPr="007D5E3C" w:rsidRDefault="0065071C" w:rsidP="007D5E3C">
            <w:pPr>
              <w:rPr>
                <w:rFonts w:ascii="Verdana" w:hAnsi="Verdana"/>
              </w:rPr>
            </w:pPr>
          </w:p>
        </w:tc>
        <w:tc>
          <w:tcPr>
            <w:tcW w:w="425" w:type="dxa"/>
          </w:tcPr>
          <w:p w14:paraId="0287A5C9" w14:textId="77777777" w:rsidR="0065071C" w:rsidRPr="007D5E3C" w:rsidRDefault="0065071C" w:rsidP="007D5E3C">
            <w:pPr>
              <w:rPr>
                <w:rFonts w:ascii="Verdana" w:hAnsi="Verdana"/>
                <w:b/>
              </w:rPr>
            </w:pPr>
            <w:r w:rsidRPr="007D5E3C">
              <w:rPr>
                <w:rFonts w:ascii="Verdana" w:hAnsi="Verdana"/>
                <w:b/>
              </w:rPr>
              <w:t>.</w:t>
            </w:r>
          </w:p>
        </w:tc>
        <w:tc>
          <w:tcPr>
            <w:tcW w:w="8392" w:type="dxa"/>
          </w:tcPr>
          <w:p w14:paraId="12428445" w14:textId="11F7FE73" w:rsidR="0065071C" w:rsidRPr="007D5E3C" w:rsidRDefault="007D5E3C" w:rsidP="007D5E3C">
            <w:pPr>
              <w:contextualSpacing/>
              <w:rPr>
                <w:rFonts w:ascii="Verdana" w:hAnsi="Verdana" w:cs="Arial"/>
                <w:b/>
              </w:rPr>
            </w:pPr>
            <w:r w:rsidRPr="007D5E3C">
              <w:rPr>
                <w:rFonts w:ascii="Verdana" w:hAnsi="Verdana" w:cs="Arial"/>
              </w:rPr>
              <w:t>the above figure is substantially different from the formal triennial actuarial valuation of the scheme which showed a deficit of £1.081</w:t>
            </w:r>
            <w:r w:rsidR="00E87E61">
              <w:rPr>
                <w:rFonts w:ascii="Verdana" w:hAnsi="Verdana" w:cs="Arial"/>
              </w:rPr>
              <w:t>m</w:t>
            </w:r>
            <w:r w:rsidRPr="007D5E3C">
              <w:rPr>
                <w:rFonts w:ascii="Verdana" w:hAnsi="Verdana" w:cs="Arial"/>
              </w:rPr>
              <w:t xml:space="preserve">, mainly because </w:t>
            </w:r>
            <w:r>
              <w:rPr>
                <w:rFonts w:ascii="Verdana" w:hAnsi="Verdana" w:cs="Arial"/>
              </w:rPr>
              <w:t xml:space="preserve">the </w:t>
            </w:r>
            <w:r w:rsidRPr="007D5E3C">
              <w:rPr>
                <w:rFonts w:ascii="Verdana" w:hAnsi="Verdana" w:cs="Arial"/>
              </w:rPr>
              <w:t xml:space="preserve">assumptions being used </w:t>
            </w:r>
            <w:r>
              <w:rPr>
                <w:rFonts w:ascii="Verdana" w:hAnsi="Verdana" w:cs="Arial"/>
              </w:rPr>
              <w:t>reflect</w:t>
            </w:r>
            <w:r w:rsidRPr="007D5E3C">
              <w:rPr>
                <w:rFonts w:ascii="Verdana" w:hAnsi="Verdana" w:cs="Arial"/>
              </w:rPr>
              <w:t xml:space="preserve"> the </w:t>
            </w:r>
            <w:r>
              <w:rPr>
                <w:rFonts w:ascii="Verdana" w:hAnsi="Verdana" w:cs="Arial"/>
              </w:rPr>
              <w:t xml:space="preserve">different </w:t>
            </w:r>
            <w:r w:rsidRPr="007D5E3C">
              <w:rPr>
                <w:rFonts w:ascii="Verdana" w:hAnsi="Verdana" w:cs="Arial"/>
              </w:rPr>
              <w:t xml:space="preserve">requirements of financial standard setters </w:t>
            </w:r>
            <w:r>
              <w:rPr>
                <w:rFonts w:ascii="Verdana" w:hAnsi="Verdana" w:cs="Arial"/>
              </w:rPr>
              <w:t>from</w:t>
            </w:r>
            <w:r w:rsidRPr="007D5E3C">
              <w:rPr>
                <w:rFonts w:ascii="Verdana" w:hAnsi="Verdana" w:cs="Arial"/>
              </w:rPr>
              <w:t xml:space="preserve"> actuaries.</w:t>
            </w:r>
          </w:p>
        </w:tc>
      </w:tr>
    </w:tbl>
    <w:p w14:paraId="2D602A9C" w14:textId="052835DC" w:rsidR="00EB1910" w:rsidRDefault="00EB1910" w:rsidP="004F4C55"/>
    <w:tbl>
      <w:tblPr>
        <w:tblW w:w="9322" w:type="dxa"/>
        <w:tblLook w:val="04A0" w:firstRow="1" w:lastRow="0" w:firstColumn="1" w:lastColumn="0" w:noHBand="0" w:noVBand="1"/>
      </w:tblPr>
      <w:tblGrid>
        <w:gridCol w:w="534"/>
        <w:gridCol w:w="8788"/>
      </w:tblGrid>
      <w:tr w:rsidR="007D5E3C" w:rsidRPr="007D5E3C" w14:paraId="2352256F" w14:textId="77777777" w:rsidTr="00C54211">
        <w:tc>
          <w:tcPr>
            <w:tcW w:w="534" w:type="dxa"/>
          </w:tcPr>
          <w:p w14:paraId="5E9599C5" w14:textId="77777777" w:rsidR="007D5E3C" w:rsidRPr="007D5E3C" w:rsidRDefault="007D5E3C" w:rsidP="007D5E3C">
            <w:pPr>
              <w:rPr>
                <w:rFonts w:ascii="Verdana" w:hAnsi="Verdana"/>
                <w:b/>
              </w:rPr>
            </w:pPr>
          </w:p>
        </w:tc>
        <w:tc>
          <w:tcPr>
            <w:tcW w:w="8788" w:type="dxa"/>
          </w:tcPr>
          <w:p w14:paraId="5AAE7901" w14:textId="49142F6E" w:rsidR="007D5E3C" w:rsidRDefault="007D5E3C" w:rsidP="007D5E3C">
            <w:pPr>
              <w:pStyle w:val="NoSpacing"/>
              <w:rPr>
                <w:rFonts w:ascii="Verdana" w:hAnsi="Verdana" w:cs="Arial"/>
              </w:rPr>
            </w:pPr>
            <w:r w:rsidRPr="00A53EF7">
              <w:rPr>
                <w:rFonts w:ascii="Verdana" w:hAnsi="Verdana" w:cs="Arial"/>
              </w:rPr>
              <w:t>It was noted that the College’s revenue reserves are £4.</w:t>
            </w:r>
            <w:r w:rsidR="00DA262A" w:rsidRPr="00A53EF7">
              <w:rPr>
                <w:rFonts w:ascii="Verdana" w:hAnsi="Verdana" w:cs="Arial"/>
              </w:rPr>
              <w:t>783</w:t>
            </w:r>
            <w:r w:rsidRPr="00A53EF7">
              <w:rPr>
                <w:rFonts w:ascii="Verdana" w:hAnsi="Verdana" w:cs="Arial"/>
              </w:rPr>
              <w:t xml:space="preserve"> million, but that net revenue reserves after the pension deficit are £</w:t>
            </w:r>
            <w:r w:rsidR="00DA262A" w:rsidRPr="00A53EF7">
              <w:rPr>
                <w:rFonts w:ascii="Verdana" w:hAnsi="Verdana" w:cs="Arial"/>
              </w:rPr>
              <w:t>2,688m in deficit</w:t>
            </w:r>
            <w:r w:rsidRPr="00A53EF7">
              <w:rPr>
                <w:rFonts w:ascii="Verdana" w:hAnsi="Verdana" w:cs="Arial"/>
              </w:rPr>
              <w:t xml:space="preserve">.  The volatility of the pension provision leads directly to the instability of the College’s reserve position.  Whilst the ESFA and the bank </w:t>
            </w:r>
            <w:r w:rsidR="00B814F2" w:rsidRPr="00A53EF7">
              <w:rPr>
                <w:rFonts w:ascii="Verdana" w:hAnsi="Verdana" w:cs="Arial"/>
              </w:rPr>
              <w:t>disregard</w:t>
            </w:r>
            <w:r w:rsidRPr="00A53EF7">
              <w:rPr>
                <w:rFonts w:ascii="Verdana" w:hAnsi="Verdana" w:cs="Arial"/>
              </w:rPr>
              <w:t xml:space="preserve"> these pension adjustments in order to calculate financial health there is no guarantee that either will continue to do so, which would be of particular concern if the College ever wished to raise further loan finance</w:t>
            </w:r>
            <w:r w:rsidR="00A53EF7" w:rsidRPr="00A53EF7">
              <w:rPr>
                <w:rFonts w:ascii="Verdana" w:hAnsi="Verdana" w:cs="Arial"/>
              </w:rPr>
              <w:t xml:space="preserve"> (though recent discussions with the new Bank Manager confirmed that Lloyds still ignore pension deficits when calculating loans)</w:t>
            </w:r>
            <w:r w:rsidR="008407A7" w:rsidRPr="00A53EF7">
              <w:rPr>
                <w:rFonts w:ascii="Verdana" w:hAnsi="Verdana" w:cs="Arial"/>
              </w:rPr>
              <w:t>.</w:t>
            </w:r>
            <w:r w:rsidR="00E87E61">
              <w:rPr>
                <w:rFonts w:ascii="Verdana" w:hAnsi="Verdana" w:cs="Arial"/>
              </w:rPr>
              <w:t xml:space="preserve">  It was noted that </w:t>
            </w:r>
            <w:r w:rsidR="00FC565E">
              <w:rPr>
                <w:rFonts w:ascii="Verdana" w:hAnsi="Verdana" w:cs="Arial"/>
              </w:rPr>
              <w:t xml:space="preserve">the liability is payable over the lifetime of the scheme’s members, and is therefore not an issue </w:t>
            </w:r>
            <w:r w:rsidR="00E73C35">
              <w:rPr>
                <w:rFonts w:ascii="Verdana" w:hAnsi="Verdana" w:cs="Arial"/>
              </w:rPr>
              <w:t>affecting</w:t>
            </w:r>
            <w:r w:rsidR="00FC565E">
              <w:rPr>
                <w:rFonts w:ascii="Verdana" w:hAnsi="Verdana" w:cs="Arial"/>
              </w:rPr>
              <w:t xml:space="preserve"> going concern.</w:t>
            </w:r>
          </w:p>
          <w:p w14:paraId="70D1C874" w14:textId="3B03EEB2" w:rsidR="00A53EF7" w:rsidRDefault="00A53EF7" w:rsidP="007D5E3C">
            <w:pPr>
              <w:pStyle w:val="NoSpacing"/>
              <w:rPr>
                <w:rFonts w:ascii="Verdana" w:hAnsi="Verdana" w:cs="Arial"/>
              </w:rPr>
            </w:pPr>
          </w:p>
          <w:p w14:paraId="22EF7588" w14:textId="77777777" w:rsidR="00E73C35" w:rsidRDefault="00A53EF7" w:rsidP="00A53EF7">
            <w:pPr>
              <w:contextualSpacing/>
              <w:rPr>
                <w:rFonts w:ascii="Verdana" w:hAnsi="Verdana" w:cs="Arial"/>
              </w:rPr>
            </w:pPr>
            <w:r w:rsidRPr="00A53EF7">
              <w:rPr>
                <w:rFonts w:ascii="Verdana" w:hAnsi="Verdana" w:cs="Arial"/>
              </w:rPr>
              <w:t>The change from a final salary scheme to career average scheme in 2014 included transitional provisions for the over 55s that have now been ruled illegal</w:t>
            </w:r>
            <w:r w:rsidR="00FC565E">
              <w:rPr>
                <w:rFonts w:ascii="Verdana" w:hAnsi="Verdana" w:cs="Arial"/>
              </w:rPr>
              <w:t xml:space="preserve"> (the McCloud judgement)</w:t>
            </w:r>
            <w:r w:rsidRPr="00A53EF7">
              <w:rPr>
                <w:rFonts w:ascii="Verdana" w:hAnsi="Verdana" w:cs="Arial"/>
              </w:rPr>
              <w:t>.  This is the worst possible outcome as all service since then will be assessed for all staff</w:t>
            </w:r>
            <w:r w:rsidR="00E73C35">
              <w:rPr>
                <w:rFonts w:ascii="Verdana" w:hAnsi="Verdana" w:cs="Arial"/>
              </w:rPr>
              <w:t>,</w:t>
            </w:r>
            <w:r w:rsidRPr="00A53EF7">
              <w:rPr>
                <w:rFonts w:ascii="Verdana" w:hAnsi="Verdana" w:cs="Arial"/>
              </w:rPr>
              <w:t xml:space="preserve"> </w:t>
            </w:r>
            <w:r w:rsidR="00E73C35">
              <w:rPr>
                <w:rFonts w:ascii="Verdana" w:hAnsi="Verdana" w:cs="Arial"/>
              </w:rPr>
              <w:t>who</w:t>
            </w:r>
            <w:r w:rsidRPr="00A53EF7">
              <w:rPr>
                <w:rFonts w:ascii="Verdana" w:hAnsi="Verdana" w:cs="Arial"/>
              </w:rPr>
              <w:t xml:space="preserve"> will be given the choice to opt for whichever methodology </w:t>
            </w:r>
            <w:r w:rsidR="00FC565E">
              <w:rPr>
                <w:rFonts w:ascii="Verdana" w:hAnsi="Verdana" w:cs="Arial"/>
              </w:rPr>
              <w:t>yields</w:t>
            </w:r>
            <w:r w:rsidRPr="00A53EF7">
              <w:rPr>
                <w:rFonts w:ascii="Verdana" w:hAnsi="Verdana" w:cs="Arial"/>
              </w:rPr>
              <w:t xml:space="preserve"> the higher pension.  </w:t>
            </w:r>
          </w:p>
          <w:p w14:paraId="62B40395" w14:textId="77777777" w:rsidR="00E73C35" w:rsidRDefault="00E73C35" w:rsidP="00A53EF7">
            <w:pPr>
              <w:contextualSpacing/>
              <w:rPr>
                <w:rFonts w:ascii="Verdana" w:hAnsi="Verdana" w:cs="Arial"/>
              </w:rPr>
            </w:pPr>
          </w:p>
          <w:p w14:paraId="3849670E" w14:textId="065990BF" w:rsidR="00FC565E" w:rsidRPr="00A53EF7" w:rsidRDefault="00FC565E" w:rsidP="00A53EF7">
            <w:pPr>
              <w:contextualSpacing/>
              <w:rPr>
                <w:rFonts w:ascii="Verdana" w:hAnsi="Verdana" w:cs="Arial"/>
              </w:rPr>
            </w:pPr>
            <w:r>
              <w:rPr>
                <w:rFonts w:ascii="Verdana" w:hAnsi="Verdana" w:cs="Arial"/>
              </w:rPr>
              <w:t>It was confirmed that the College is able to pay contributions to the scheme as and when due, with prompt payment securing an advantage to the College in terms of the outstanding liability.  The contribution rate is fixed for the 2020-21 and 2021-22 years.  The possibility was mooted that the pension scheme may at some point wish to take a charge over the College’s assets, which would have an adverse effect on the College’s ability to raise loan finance from banks.  However, it was suggested that the College’s bank</w:t>
            </w:r>
            <w:r w:rsidR="00285AED">
              <w:rPr>
                <w:rFonts w:ascii="Verdana" w:hAnsi="Verdana" w:cs="Arial"/>
              </w:rPr>
              <w:t>ers</w:t>
            </w:r>
            <w:r>
              <w:rPr>
                <w:rFonts w:ascii="Verdana" w:hAnsi="Verdana" w:cs="Arial"/>
              </w:rPr>
              <w:t xml:space="preserve"> would</w:t>
            </w:r>
            <w:r w:rsidR="00285AED">
              <w:rPr>
                <w:rFonts w:ascii="Verdana" w:hAnsi="Verdana" w:cs="Arial"/>
              </w:rPr>
              <w:t xml:space="preserve"> be likely to</w:t>
            </w:r>
            <w:r>
              <w:rPr>
                <w:rFonts w:ascii="Verdana" w:hAnsi="Verdana" w:cs="Arial"/>
              </w:rPr>
              <w:t xml:space="preserve"> base any loan decision</w:t>
            </w:r>
            <w:r w:rsidR="00285AED">
              <w:rPr>
                <w:rFonts w:ascii="Verdana" w:hAnsi="Verdana" w:cs="Arial"/>
              </w:rPr>
              <w:t xml:space="preserve"> on the viability of the College’s cash flow, which is good at present</w:t>
            </w:r>
            <w:r w:rsidR="00E73C35">
              <w:rPr>
                <w:rFonts w:ascii="Verdana" w:hAnsi="Verdana" w:cs="Arial"/>
              </w:rPr>
              <w:t xml:space="preserve"> and in the outlook period</w:t>
            </w:r>
            <w:r w:rsidR="00285AED">
              <w:rPr>
                <w:rFonts w:ascii="Verdana" w:hAnsi="Verdana" w:cs="Arial"/>
              </w:rPr>
              <w:t xml:space="preserve">.  The Government’s announcement of funds for college building development </w:t>
            </w:r>
            <w:r w:rsidR="00E73C35">
              <w:rPr>
                <w:rFonts w:ascii="Verdana" w:hAnsi="Verdana" w:cs="Arial"/>
              </w:rPr>
              <w:t>might also</w:t>
            </w:r>
            <w:r w:rsidR="00285AED">
              <w:rPr>
                <w:rFonts w:ascii="Verdana" w:hAnsi="Verdana" w:cs="Arial"/>
              </w:rPr>
              <w:t xml:space="preserve"> assist any loan application</w:t>
            </w:r>
            <w:r w:rsidR="00E73C35">
              <w:rPr>
                <w:rFonts w:ascii="Verdana" w:hAnsi="Verdana" w:cs="Arial"/>
              </w:rPr>
              <w:t>s</w:t>
            </w:r>
            <w:r w:rsidR="00285AED">
              <w:rPr>
                <w:rFonts w:ascii="Verdana" w:hAnsi="Verdana" w:cs="Arial"/>
              </w:rPr>
              <w:t xml:space="preserve"> which may be made</w:t>
            </w:r>
            <w:r w:rsidR="00E73C35">
              <w:rPr>
                <w:rFonts w:ascii="Verdana" w:hAnsi="Verdana" w:cs="Arial"/>
              </w:rPr>
              <w:t xml:space="preserve"> to be responded to favourably</w:t>
            </w:r>
            <w:r w:rsidR="00285AED">
              <w:rPr>
                <w:rFonts w:ascii="Verdana" w:hAnsi="Verdana" w:cs="Arial"/>
              </w:rPr>
              <w:t>.</w:t>
            </w:r>
          </w:p>
          <w:p w14:paraId="76912385" w14:textId="390CA79E" w:rsidR="00A53EF7" w:rsidRPr="00A53EF7" w:rsidRDefault="00A53EF7" w:rsidP="00A53EF7">
            <w:pPr>
              <w:contextualSpacing/>
              <w:rPr>
                <w:rFonts w:ascii="Verdana" w:hAnsi="Verdana" w:cs="Arial"/>
              </w:rPr>
            </w:pPr>
          </w:p>
          <w:p w14:paraId="35872D71" w14:textId="579147A1" w:rsidR="00A53EF7" w:rsidRPr="00A53EF7" w:rsidRDefault="00A53EF7" w:rsidP="00A53EF7">
            <w:pPr>
              <w:contextualSpacing/>
              <w:rPr>
                <w:rFonts w:ascii="Verdana" w:hAnsi="Verdana" w:cs="Arial"/>
              </w:rPr>
            </w:pPr>
            <w:r w:rsidRPr="00A53EF7">
              <w:rPr>
                <w:rFonts w:ascii="Verdana" w:hAnsi="Verdana" w:cs="Arial"/>
              </w:rPr>
              <w:t>The Teachers’ Pension Scheme</w:t>
            </w:r>
            <w:r>
              <w:rPr>
                <w:rFonts w:ascii="Verdana" w:hAnsi="Verdana" w:cs="Arial"/>
              </w:rPr>
              <w:t>,</w:t>
            </w:r>
            <w:r w:rsidRPr="00A53EF7">
              <w:rPr>
                <w:rFonts w:ascii="Verdana" w:hAnsi="Verdana" w:cs="Arial"/>
              </w:rPr>
              <w:t xml:space="preserve"> the cost of which </w:t>
            </w:r>
            <w:r>
              <w:rPr>
                <w:rFonts w:ascii="Verdana" w:hAnsi="Verdana" w:cs="Arial"/>
              </w:rPr>
              <w:t xml:space="preserve">to the College </w:t>
            </w:r>
            <w:r w:rsidRPr="00A53EF7">
              <w:rPr>
                <w:rFonts w:ascii="Verdana" w:hAnsi="Verdana" w:cs="Arial"/>
              </w:rPr>
              <w:t>has risen to 23.68%</w:t>
            </w:r>
            <w:r>
              <w:rPr>
                <w:rFonts w:ascii="Verdana" w:hAnsi="Verdana" w:cs="Arial"/>
              </w:rPr>
              <w:t xml:space="preserve">, </w:t>
            </w:r>
            <w:r w:rsidRPr="00A53EF7">
              <w:rPr>
                <w:rFonts w:ascii="Verdana" w:hAnsi="Verdana" w:cs="Arial"/>
              </w:rPr>
              <w:t>is also under review</w:t>
            </w:r>
            <w:r>
              <w:rPr>
                <w:rFonts w:ascii="Verdana" w:hAnsi="Verdana" w:cs="Arial"/>
              </w:rPr>
              <w:t>.  Th</w:t>
            </w:r>
            <w:r w:rsidRPr="00A53EF7">
              <w:rPr>
                <w:rFonts w:ascii="Verdana" w:hAnsi="Verdana" w:cs="Arial"/>
              </w:rPr>
              <w:t xml:space="preserve">e cost cap was temporarily </w:t>
            </w:r>
            <w:r>
              <w:rPr>
                <w:rFonts w:ascii="Verdana" w:hAnsi="Verdana" w:cs="Arial"/>
              </w:rPr>
              <w:t>re</w:t>
            </w:r>
            <w:r w:rsidRPr="00A53EF7">
              <w:rPr>
                <w:rFonts w:ascii="Verdana" w:hAnsi="Verdana" w:cs="Arial"/>
              </w:rPr>
              <w:t xml:space="preserve">moved.  If </w:t>
            </w:r>
            <w:r>
              <w:rPr>
                <w:rFonts w:ascii="Verdana" w:hAnsi="Verdana" w:cs="Arial"/>
              </w:rPr>
              <w:t>it</w:t>
            </w:r>
            <w:r w:rsidRPr="00A53EF7">
              <w:rPr>
                <w:rFonts w:ascii="Verdana" w:hAnsi="Verdana" w:cs="Arial"/>
              </w:rPr>
              <w:t xml:space="preserve"> is reinstated there will be a cost saving, but </w:t>
            </w:r>
            <w:r w:rsidR="00285AED">
              <w:rPr>
                <w:rFonts w:ascii="Verdana" w:hAnsi="Verdana" w:cs="Arial"/>
              </w:rPr>
              <w:t xml:space="preserve">also a </w:t>
            </w:r>
            <w:r w:rsidRPr="00A53EF7">
              <w:rPr>
                <w:rFonts w:ascii="Verdana" w:hAnsi="Verdana" w:cs="Arial"/>
              </w:rPr>
              <w:t xml:space="preserve">significant </w:t>
            </w:r>
            <w:r w:rsidR="00285AED">
              <w:rPr>
                <w:rFonts w:ascii="Verdana" w:hAnsi="Verdana" w:cs="Arial"/>
              </w:rPr>
              <w:t xml:space="preserve">rise in </w:t>
            </w:r>
            <w:r w:rsidRPr="00A53EF7">
              <w:rPr>
                <w:rFonts w:ascii="Verdana" w:hAnsi="Verdana" w:cs="Arial"/>
              </w:rPr>
              <w:t>contribution r</w:t>
            </w:r>
            <w:r w:rsidR="00285AED">
              <w:rPr>
                <w:rFonts w:ascii="Verdana" w:hAnsi="Verdana" w:cs="Arial"/>
              </w:rPr>
              <w:t>at</w:t>
            </w:r>
            <w:r w:rsidRPr="00A53EF7">
              <w:rPr>
                <w:rFonts w:ascii="Verdana" w:hAnsi="Verdana" w:cs="Arial"/>
              </w:rPr>
              <w:t xml:space="preserve">es for teaching staff </w:t>
            </w:r>
            <w:r w:rsidR="00285AED">
              <w:rPr>
                <w:rFonts w:ascii="Verdana" w:hAnsi="Verdana" w:cs="Arial"/>
              </w:rPr>
              <w:t>which</w:t>
            </w:r>
            <w:r w:rsidRPr="00A53EF7">
              <w:rPr>
                <w:rFonts w:ascii="Verdana" w:hAnsi="Verdana" w:cs="Arial"/>
              </w:rPr>
              <w:t xml:space="preserve"> </w:t>
            </w:r>
            <w:r>
              <w:rPr>
                <w:rFonts w:ascii="Verdana" w:hAnsi="Verdana" w:cs="Arial"/>
              </w:rPr>
              <w:t>is likely to</w:t>
            </w:r>
            <w:r w:rsidRPr="00A53EF7">
              <w:rPr>
                <w:rFonts w:ascii="Verdana" w:hAnsi="Verdana" w:cs="Arial"/>
              </w:rPr>
              <w:t xml:space="preserve"> lead to pay rise </w:t>
            </w:r>
            <w:r w:rsidR="00E73C35">
              <w:rPr>
                <w:rFonts w:ascii="Verdana" w:hAnsi="Verdana" w:cs="Arial"/>
              </w:rPr>
              <w:t>demand</w:t>
            </w:r>
            <w:r w:rsidRPr="00A53EF7">
              <w:rPr>
                <w:rFonts w:ascii="Verdana" w:hAnsi="Verdana" w:cs="Arial"/>
              </w:rPr>
              <w:t>s</w:t>
            </w:r>
            <w:r w:rsidR="00E73C35">
              <w:rPr>
                <w:rFonts w:ascii="Verdana" w:hAnsi="Verdana" w:cs="Arial"/>
              </w:rPr>
              <w:t xml:space="preserve"> from trade union representatives</w:t>
            </w:r>
            <w:r>
              <w:rPr>
                <w:rFonts w:ascii="Verdana" w:hAnsi="Verdana" w:cs="Arial"/>
              </w:rPr>
              <w:t>.</w:t>
            </w:r>
          </w:p>
          <w:p w14:paraId="20E8F384" w14:textId="77777777" w:rsidR="00A53EF7" w:rsidRPr="00A53EF7" w:rsidRDefault="00A53EF7" w:rsidP="007D5E3C">
            <w:pPr>
              <w:pStyle w:val="NoSpacing"/>
              <w:rPr>
                <w:rFonts w:ascii="Verdana" w:hAnsi="Verdana" w:cs="Arial"/>
              </w:rPr>
            </w:pPr>
          </w:p>
          <w:p w14:paraId="2C390A70" w14:textId="3AA40854" w:rsidR="00A53EF7" w:rsidRPr="00244E9A" w:rsidRDefault="00A53EF7" w:rsidP="008407A7">
            <w:pPr>
              <w:pStyle w:val="NoSpacing"/>
              <w:rPr>
                <w:rFonts w:ascii="Verdana" w:hAnsi="Verdana" w:cs="Arial"/>
              </w:rPr>
            </w:pPr>
            <w:r>
              <w:rPr>
                <w:rFonts w:ascii="Verdana" w:hAnsi="Verdana"/>
              </w:rPr>
              <w:t>O</w:t>
            </w:r>
            <w:r w:rsidRPr="00A53EF7">
              <w:rPr>
                <w:rFonts w:ascii="Verdana" w:hAnsi="Verdana"/>
              </w:rPr>
              <w:t xml:space="preserve">verall, </w:t>
            </w:r>
            <w:r w:rsidRPr="00A53EF7">
              <w:rPr>
                <w:rFonts w:ascii="Verdana" w:hAnsi="Verdana" w:cs="Arial"/>
              </w:rPr>
              <w:t>the College is at the top of</w:t>
            </w:r>
            <w:r>
              <w:rPr>
                <w:rFonts w:ascii="Verdana" w:hAnsi="Verdana" w:cs="Arial"/>
              </w:rPr>
              <w:t xml:space="preserve"> the financial</w:t>
            </w:r>
            <w:r w:rsidRPr="00A53EF7">
              <w:rPr>
                <w:rFonts w:ascii="Verdana" w:hAnsi="Verdana" w:cs="Arial"/>
              </w:rPr>
              <w:t xml:space="preserve"> health </w:t>
            </w:r>
            <w:r>
              <w:rPr>
                <w:rFonts w:ascii="Verdana" w:hAnsi="Verdana" w:cs="Arial"/>
              </w:rPr>
              <w:t>G</w:t>
            </w:r>
            <w:r w:rsidRPr="00A53EF7">
              <w:rPr>
                <w:rFonts w:ascii="Verdana" w:hAnsi="Verdana" w:cs="Arial"/>
              </w:rPr>
              <w:t>roup 2 (Good)</w:t>
            </w:r>
            <w:r>
              <w:rPr>
                <w:rFonts w:ascii="Verdana" w:hAnsi="Verdana" w:cs="Arial"/>
              </w:rPr>
              <w:t>,</w:t>
            </w:r>
            <w:r w:rsidRPr="00A53EF7">
              <w:rPr>
                <w:rFonts w:ascii="Verdana" w:hAnsi="Verdana" w:cs="Arial"/>
              </w:rPr>
              <w:t xml:space="preserve"> out of 4</w:t>
            </w:r>
            <w:r>
              <w:rPr>
                <w:rFonts w:ascii="Verdana" w:hAnsi="Verdana" w:cs="Arial"/>
              </w:rPr>
              <w:t>.</w:t>
            </w:r>
          </w:p>
        </w:tc>
      </w:tr>
    </w:tbl>
    <w:p w14:paraId="3D5321C8" w14:textId="67D1A043" w:rsidR="00C54211" w:rsidRDefault="00C54211" w:rsidP="00244E9A"/>
    <w:p w14:paraId="6FFE267E" w14:textId="0417AF28" w:rsidR="00C54211" w:rsidRDefault="00C54211" w:rsidP="00244E9A"/>
    <w:p w14:paraId="1BA73CEB" w14:textId="79D8BD5D" w:rsidR="00C54211" w:rsidRDefault="00C54211" w:rsidP="00244E9A"/>
    <w:p w14:paraId="0AE58942" w14:textId="22CF4ED1" w:rsidR="00C54211" w:rsidRDefault="00C54211" w:rsidP="00244E9A"/>
    <w:p w14:paraId="060F775B" w14:textId="1A627FDB" w:rsidR="00C54211" w:rsidRDefault="00C54211" w:rsidP="00244E9A"/>
    <w:p w14:paraId="4FCFA4F6" w14:textId="6BF8583E" w:rsidR="00C54211" w:rsidRDefault="00C54211" w:rsidP="00244E9A"/>
    <w:p w14:paraId="315E2B6D" w14:textId="04B4B377" w:rsidR="00C54211" w:rsidRDefault="00C54211" w:rsidP="00244E9A"/>
    <w:p w14:paraId="23559EEB" w14:textId="26BE6A2D" w:rsidR="00C54211" w:rsidRDefault="00C54211" w:rsidP="00244E9A"/>
    <w:p w14:paraId="71FBFACA" w14:textId="6AD10B4B" w:rsidR="00C54211" w:rsidRDefault="00C54211" w:rsidP="00244E9A"/>
    <w:p w14:paraId="70AB3C72" w14:textId="743AD985" w:rsidR="00C54211" w:rsidRDefault="00C54211" w:rsidP="00244E9A"/>
    <w:p w14:paraId="10B7CA1E" w14:textId="75D18BAE" w:rsidR="00C54211" w:rsidRDefault="00C54211" w:rsidP="00244E9A"/>
    <w:p w14:paraId="02E8878D" w14:textId="2DA4F115" w:rsidR="00C54211" w:rsidRDefault="00C54211" w:rsidP="00244E9A"/>
    <w:p w14:paraId="2BC189B3" w14:textId="77777777" w:rsidR="00C54211" w:rsidRDefault="00C54211" w:rsidP="00244E9A"/>
    <w:tbl>
      <w:tblPr>
        <w:tblW w:w="9322" w:type="dxa"/>
        <w:tblLook w:val="04A0" w:firstRow="1" w:lastRow="0" w:firstColumn="1" w:lastColumn="0" w:noHBand="0" w:noVBand="1"/>
      </w:tblPr>
      <w:tblGrid>
        <w:gridCol w:w="534"/>
        <w:gridCol w:w="8788"/>
      </w:tblGrid>
      <w:tr w:rsidR="00520C83" w:rsidRPr="005D0C11" w14:paraId="4EE00ACB" w14:textId="77777777" w:rsidTr="00C54211">
        <w:tc>
          <w:tcPr>
            <w:tcW w:w="534" w:type="dxa"/>
          </w:tcPr>
          <w:p w14:paraId="0BA70F0E" w14:textId="77777777" w:rsidR="00520C83" w:rsidRDefault="00520C83" w:rsidP="007D5E3C">
            <w:pPr>
              <w:rPr>
                <w:rFonts w:ascii="Verdana" w:hAnsi="Verdana"/>
                <w:b/>
              </w:rPr>
            </w:pPr>
          </w:p>
        </w:tc>
        <w:tc>
          <w:tcPr>
            <w:tcW w:w="8788" w:type="dxa"/>
          </w:tcPr>
          <w:p w14:paraId="717D1EF6" w14:textId="3F246787" w:rsidR="00520C83" w:rsidRDefault="00026381" w:rsidP="007D5E3C">
            <w:pPr>
              <w:pStyle w:val="NoSpacing"/>
              <w:rPr>
                <w:rFonts w:ascii="Verdana" w:hAnsi="Verdana"/>
              </w:rPr>
            </w:pPr>
            <w:r>
              <w:rPr>
                <w:rFonts w:ascii="Verdana" w:hAnsi="Verdana"/>
              </w:rPr>
              <w:t>The following outcomes for the year compared to budget</w:t>
            </w:r>
            <w:r w:rsidR="00244E9A">
              <w:rPr>
                <w:rFonts w:ascii="Verdana" w:hAnsi="Verdana"/>
              </w:rPr>
              <w:t xml:space="preserve"> (i.e. variances)</w:t>
            </w:r>
            <w:r>
              <w:rPr>
                <w:rFonts w:ascii="Verdana" w:hAnsi="Verdana"/>
              </w:rPr>
              <w:t xml:space="preserve"> were noted:</w:t>
            </w:r>
          </w:p>
          <w:p w14:paraId="3E7F14A6" w14:textId="77777777" w:rsidR="00894384" w:rsidRDefault="00894384" w:rsidP="007D5E3C">
            <w:pPr>
              <w:pStyle w:val="NoSpacing"/>
              <w:rPr>
                <w:rFonts w:ascii="Verdana" w:hAnsi="Verdana"/>
              </w:rPr>
            </w:pPr>
          </w:p>
          <w:p w14:paraId="22F93E84" w14:textId="5C574925" w:rsidR="00894384" w:rsidRPr="00814666" w:rsidRDefault="00894384" w:rsidP="007D5E3C">
            <w:pPr>
              <w:pStyle w:val="NoSpacing"/>
              <w:rPr>
                <w:rFonts w:ascii="Verdana" w:hAnsi="Verdana"/>
                <w:b/>
                <w:i/>
              </w:rPr>
            </w:pPr>
            <w:r w:rsidRPr="00814666">
              <w:rPr>
                <w:rFonts w:ascii="Verdana" w:hAnsi="Verdana"/>
                <w:b/>
                <w:i/>
              </w:rPr>
              <w:t>Income</w:t>
            </w:r>
          </w:p>
        </w:tc>
      </w:tr>
    </w:tbl>
    <w:p w14:paraId="4A88A05E" w14:textId="767D22B7" w:rsidR="00EB1910" w:rsidRDefault="00EB1910" w:rsidP="004F4C55"/>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691"/>
        <w:gridCol w:w="2126"/>
      </w:tblGrid>
      <w:tr w:rsidR="00223BC3" w:rsidRPr="00A300E0" w14:paraId="347BF344" w14:textId="77777777" w:rsidTr="00C54211">
        <w:tc>
          <w:tcPr>
            <w:tcW w:w="534" w:type="dxa"/>
          </w:tcPr>
          <w:p w14:paraId="7482E21F" w14:textId="77777777" w:rsidR="00223BC3" w:rsidRPr="004F4C55" w:rsidRDefault="00223BC3" w:rsidP="007D5E3C">
            <w:pPr>
              <w:rPr>
                <w:rFonts w:ascii="Verdana" w:hAnsi="Verdana"/>
              </w:rPr>
            </w:pPr>
          </w:p>
        </w:tc>
        <w:tc>
          <w:tcPr>
            <w:tcW w:w="6691" w:type="dxa"/>
          </w:tcPr>
          <w:p w14:paraId="5C29A2C4" w14:textId="64569E4A" w:rsidR="00223BC3" w:rsidRPr="00223BC3" w:rsidRDefault="00223BC3" w:rsidP="007D5E3C">
            <w:pPr>
              <w:rPr>
                <w:rFonts w:ascii="Verdana" w:hAnsi="Verdana"/>
              </w:rPr>
            </w:pPr>
          </w:p>
        </w:tc>
        <w:tc>
          <w:tcPr>
            <w:tcW w:w="2126" w:type="dxa"/>
          </w:tcPr>
          <w:p w14:paraId="05067E0B" w14:textId="626307BD" w:rsidR="00223BC3" w:rsidRDefault="004B7094" w:rsidP="00814666">
            <w:pPr>
              <w:contextualSpacing/>
              <w:jc w:val="right"/>
              <w:rPr>
                <w:rFonts w:ascii="Verdana" w:hAnsi="Verdana"/>
                <w:i/>
              </w:rPr>
            </w:pPr>
            <w:r w:rsidRPr="004B7094">
              <w:rPr>
                <w:rFonts w:ascii="Verdana" w:hAnsi="Verdana"/>
                <w:i/>
              </w:rPr>
              <w:t>Variance (£</w:t>
            </w:r>
            <w:r w:rsidR="00E30E80">
              <w:rPr>
                <w:rFonts w:ascii="Verdana" w:hAnsi="Verdana"/>
                <w:i/>
              </w:rPr>
              <w:t>000</w:t>
            </w:r>
            <w:r w:rsidRPr="004B7094">
              <w:rPr>
                <w:rFonts w:ascii="Verdana" w:hAnsi="Verdana"/>
                <w:i/>
              </w:rPr>
              <w:t>)</w:t>
            </w:r>
          </w:p>
          <w:p w14:paraId="3667502F" w14:textId="41416683" w:rsidR="004B7094" w:rsidRPr="004B7094" w:rsidRDefault="004B7094" w:rsidP="00814666">
            <w:pPr>
              <w:contextualSpacing/>
              <w:jc w:val="right"/>
              <w:rPr>
                <w:rFonts w:ascii="Verdana" w:hAnsi="Verdana"/>
                <w:i/>
              </w:rPr>
            </w:pPr>
          </w:p>
        </w:tc>
      </w:tr>
      <w:tr w:rsidR="00223BC3" w:rsidRPr="00B92C85" w14:paraId="497EE59E" w14:textId="77777777" w:rsidTr="00C54211">
        <w:tc>
          <w:tcPr>
            <w:tcW w:w="534" w:type="dxa"/>
          </w:tcPr>
          <w:p w14:paraId="12304987" w14:textId="77777777" w:rsidR="00223BC3" w:rsidRPr="004F4C55" w:rsidRDefault="00223BC3" w:rsidP="007D5E3C">
            <w:pPr>
              <w:rPr>
                <w:rFonts w:ascii="Verdana" w:hAnsi="Verdana"/>
              </w:rPr>
            </w:pPr>
          </w:p>
        </w:tc>
        <w:tc>
          <w:tcPr>
            <w:tcW w:w="6691" w:type="dxa"/>
          </w:tcPr>
          <w:p w14:paraId="61818101" w14:textId="0924D19F" w:rsidR="00223BC3" w:rsidRPr="00223BC3" w:rsidRDefault="00814666" w:rsidP="007D5E3C">
            <w:pPr>
              <w:rPr>
                <w:rFonts w:ascii="Verdana" w:hAnsi="Verdana"/>
              </w:rPr>
            </w:pPr>
            <w:r>
              <w:rPr>
                <w:rFonts w:ascii="Verdana" w:hAnsi="Verdana"/>
              </w:rPr>
              <w:t xml:space="preserve">Mainstream </w:t>
            </w:r>
            <w:r w:rsidR="00062135">
              <w:rPr>
                <w:rFonts w:ascii="Verdana" w:hAnsi="Verdana"/>
              </w:rPr>
              <w:t xml:space="preserve">Funding </w:t>
            </w:r>
          </w:p>
        </w:tc>
        <w:tc>
          <w:tcPr>
            <w:tcW w:w="2126" w:type="dxa"/>
          </w:tcPr>
          <w:p w14:paraId="403EEFB6" w14:textId="2BD3B66B" w:rsidR="00062135" w:rsidRPr="00B92C85" w:rsidRDefault="00244E9A" w:rsidP="00814666">
            <w:pPr>
              <w:contextualSpacing/>
              <w:jc w:val="right"/>
              <w:rPr>
                <w:rFonts w:ascii="Verdana" w:hAnsi="Verdana" w:cs="Arial"/>
              </w:rPr>
            </w:pPr>
            <w:r>
              <w:rPr>
                <w:rFonts w:ascii="Verdana" w:hAnsi="Verdana" w:cs="Arial"/>
              </w:rPr>
              <w:t>2</w:t>
            </w:r>
          </w:p>
        </w:tc>
      </w:tr>
      <w:tr w:rsidR="00CF544C" w:rsidRPr="00B92C85" w14:paraId="1F7725D3" w14:textId="77777777" w:rsidTr="00C54211">
        <w:tc>
          <w:tcPr>
            <w:tcW w:w="534" w:type="dxa"/>
          </w:tcPr>
          <w:p w14:paraId="54D3A908" w14:textId="77777777" w:rsidR="00CF544C" w:rsidRPr="004F4C55" w:rsidRDefault="00CF544C" w:rsidP="007D5E3C">
            <w:pPr>
              <w:rPr>
                <w:rFonts w:ascii="Verdana" w:hAnsi="Verdana"/>
              </w:rPr>
            </w:pPr>
          </w:p>
        </w:tc>
        <w:tc>
          <w:tcPr>
            <w:tcW w:w="6691" w:type="dxa"/>
          </w:tcPr>
          <w:p w14:paraId="57087112" w14:textId="593F0217" w:rsidR="00CF544C" w:rsidRDefault="00814666" w:rsidP="007D5E3C">
            <w:pPr>
              <w:rPr>
                <w:rFonts w:ascii="Verdana" w:hAnsi="Verdana"/>
              </w:rPr>
            </w:pPr>
            <w:r>
              <w:rPr>
                <w:rFonts w:ascii="Verdana" w:hAnsi="Verdana"/>
              </w:rPr>
              <w:t>Other ESFA Grants</w:t>
            </w:r>
            <w:r w:rsidR="001A1D95">
              <w:rPr>
                <w:rFonts w:ascii="Verdana" w:hAnsi="Verdana"/>
              </w:rPr>
              <w:t xml:space="preserve"> (</w:t>
            </w:r>
            <w:r w:rsidR="00096EE9">
              <w:rPr>
                <w:rFonts w:ascii="Verdana" w:hAnsi="Verdana"/>
              </w:rPr>
              <w:t xml:space="preserve">being </w:t>
            </w:r>
            <w:r w:rsidR="001A1D95">
              <w:rPr>
                <w:rFonts w:ascii="Verdana" w:hAnsi="Verdana"/>
              </w:rPr>
              <w:t xml:space="preserve">free meal income </w:t>
            </w:r>
            <w:r w:rsidR="00DF7E7A">
              <w:rPr>
                <w:rFonts w:ascii="Verdana" w:hAnsi="Verdana"/>
              </w:rPr>
              <w:t xml:space="preserve">through </w:t>
            </w:r>
            <w:r w:rsidR="00813C96">
              <w:rPr>
                <w:rFonts w:ascii="Verdana" w:hAnsi="Verdana"/>
              </w:rPr>
              <w:t xml:space="preserve">applying funds </w:t>
            </w:r>
            <w:r w:rsidR="00096EE9">
              <w:rPr>
                <w:rFonts w:ascii="Verdana" w:hAnsi="Verdana"/>
              </w:rPr>
              <w:t>received in prior years)</w:t>
            </w:r>
          </w:p>
        </w:tc>
        <w:tc>
          <w:tcPr>
            <w:tcW w:w="2126" w:type="dxa"/>
          </w:tcPr>
          <w:p w14:paraId="79E69F38" w14:textId="18FDC0AB" w:rsidR="00CF544C" w:rsidRDefault="00244E9A" w:rsidP="00814666">
            <w:pPr>
              <w:contextualSpacing/>
              <w:jc w:val="right"/>
              <w:rPr>
                <w:rFonts w:ascii="Verdana" w:hAnsi="Verdana" w:cs="Arial"/>
              </w:rPr>
            </w:pPr>
            <w:r>
              <w:rPr>
                <w:rFonts w:ascii="Verdana" w:hAnsi="Verdana" w:cs="Arial"/>
              </w:rPr>
              <w:t>101</w:t>
            </w:r>
          </w:p>
        </w:tc>
      </w:tr>
      <w:tr w:rsidR="00244E9A" w:rsidRPr="00B92C85" w14:paraId="1D05B177" w14:textId="77777777" w:rsidTr="00C54211">
        <w:tc>
          <w:tcPr>
            <w:tcW w:w="534" w:type="dxa"/>
          </w:tcPr>
          <w:p w14:paraId="2CD0E9AF" w14:textId="77777777" w:rsidR="00244E9A" w:rsidRPr="004F4C55" w:rsidRDefault="00244E9A" w:rsidP="007D5E3C">
            <w:pPr>
              <w:rPr>
                <w:rFonts w:ascii="Verdana" w:hAnsi="Verdana"/>
              </w:rPr>
            </w:pPr>
          </w:p>
        </w:tc>
        <w:tc>
          <w:tcPr>
            <w:tcW w:w="6691" w:type="dxa"/>
          </w:tcPr>
          <w:p w14:paraId="65A19D70" w14:textId="02B254EE" w:rsidR="00244E9A" w:rsidRDefault="00244E9A" w:rsidP="007D5E3C">
            <w:pPr>
              <w:rPr>
                <w:rFonts w:ascii="Verdana" w:hAnsi="Verdana"/>
              </w:rPr>
            </w:pPr>
            <w:r>
              <w:rPr>
                <w:rFonts w:ascii="Verdana" w:hAnsi="Verdana"/>
              </w:rPr>
              <w:t xml:space="preserve">Local Authority </w:t>
            </w:r>
            <w:r w:rsidR="00E73C35">
              <w:rPr>
                <w:rFonts w:ascii="Verdana" w:hAnsi="Verdana"/>
              </w:rPr>
              <w:t>(Accelerated Learning Academy)</w:t>
            </w:r>
          </w:p>
        </w:tc>
        <w:tc>
          <w:tcPr>
            <w:tcW w:w="2126" w:type="dxa"/>
          </w:tcPr>
          <w:p w14:paraId="0421BABE" w14:textId="3C447B25" w:rsidR="00244E9A" w:rsidRDefault="00244E9A" w:rsidP="00814666">
            <w:pPr>
              <w:contextualSpacing/>
              <w:jc w:val="right"/>
              <w:rPr>
                <w:rFonts w:ascii="Verdana" w:hAnsi="Verdana" w:cs="Arial"/>
              </w:rPr>
            </w:pPr>
            <w:r>
              <w:rPr>
                <w:rFonts w:ascii="Verdana" w:hAnsi="Verdana" w:cs="Arial"/>
              </w:rPr>
              <w:t>94</w:t>
            </w:r>
          </w:p>
        </w:tc>
      </w:tr>
      <w:tr w:rsidR="00CF544C" w:rsidRPr="00B92C85" w14:paraId="00919283" w14:textId="77777777" w:rsidTr="00C54211">
        <w:tc>
          <w:tcPr>
            <w:tcW w:w="534" w:type="dxa"/>
          </w:tcPr>
          <w:p w14:paraId="38F2DA82" w14:textId="77777777" w:rsidR="00CF544C" w:rsidRPr="004F4C55" w:rsidRDefault="00CF544C" w:rsidP="007D5E3C">
            <w:pPr>
              <w:rPr>
                <w:rFonts w:ascii="Verdana" w:hAnsi="Verdana"/>
              </w:rPr>
            </w:pPr>
          </w:p>
        </w:tc>
        <w:tc>
          <w:tcPr>
            <w:tcW w:w="6691" w:type="dxa"/>
          </w:tcPr>
          <w:p w14:paraId="57B5724F" w14:textId="347F981B" w:rsidR="00CF544C" w:rsidRDefault="00715FA8" w:rsidP="007D5E3C">
            <w:pPr>
              <w:rPr>
                <w:rFonts w:ascii="Verdana" w:hAnsi="Verdana"/>
              </w:rPr>
            </w:pPr>
            <w:r>
              <w:rPr>
                <w:rFonts w:ascii="Verdana" w:hAnsi="Verdana"/>
              </w:rPr>
              <w:t>Other Income</w:t>
            </w:r>
          </w:p>
        </w:tc>
        <w:tc>
          <w:tcPr>
            <w:tcW w:w="2126" w:type="dxa"/>
          </w:tcPr>
          <w:p w14:paraId="0C9324EE" w14:textId="5251F493" w:rsidR="00CF544C" w:rsidRDefault="00244E9A" w:rsidP="00814666">
            <w:pPr>
              <w:contextualSpacing/>
              <w:jc w:val="right"/>
              <w:rPr>
                <w:rFonts w:ascii="Verdana" w:hAnsi="Verdana" w:cs="Arial"/>
              </w:rPr>
            </w:pPr>
            <w:r>
              <w:rPr>
                <w:rFonts w:ascii="Verdana" w:hAnsi="Verdana" w:cs="Arial"/>
              </w:rPr>
              <w:t>3</w:t>
            </w:r>
            <w:r w:rsidR="008407A7">
              <w:rPr>
                <w:rFonts w:ascii="Verdana" w:hAnsi="Verdana" w:cs="Arial"/>
              </w:rPr>
              <w:t>9</w:t>
            </w:r>
          </w:p>
          <w:p w14:paraId="66EF2CAB" w14:textId="50E216D7" w:rsidR="0042394D" w:rsidRDefault="0042394D" w:rsidP="00814666">
            <w:pPr>
              <w:contextualSpacing/>
              <w:jc w:val="right"/>
              <w:rPr>
                <w:rFonts w:ascii="Verdana" w:hAnsi="Verdana" w:cs="Arial"/>
              </w:rPr>
            </w:pPr>
          </w:p>
        </w:tc>
      </w:tr>
      <w:tr w:rsidR="0042394D" w:rsidRPr="00B92C85" w14:paraId="18170C8C" w14:textId="77777777" w:rsidTr="00C54211">
        <w:tc>
          <w:tcPr>
            <w:tcW w:w="534" w:type="dxa"/>
          </w:tcPr>
          <w:p w14:paraId="76FA4095" w14:textId="77777777" w:rsidR="0042394D" w:rsidRPr="004F4C55" w:rsidRDefault="0042394D" w:rsidP="007D5E3C">
            <w:pPr>
              <w:rPr>
                <w:rFonts w:ascii="Verdana" w:hAnsi="Verdana"/>
              </w:rPr>
            </w:pPr>
          </w:p>
        </w:tc>
        <w:tc>
          <w:tcPr>
            <w:tcW w:w="6691" w:type="dxa"/>
          </w:tcPr>
          <w:p w14:paraId="798C9DD8" w14:textId="77777777" w:rsidR="0042394D" w:rsidRDefault="0042394D" w:rsidP="007D5E3C">
            <w:pPr>
              <w:rPr>
                <w:rFonts w:ascii="Verdana" w:hAnsi="Verdana"/>
              </w:rPr>
            </w:pPr>
          </w:p>
        </w:tc>
        <w:tc>
          <w:tcPr>
            <w:tcW w:w="2126" w:type="dxa"/>
          </w:tcPr>
          <w:p w14:paraId="22906247" w14:textId="575622A5" w:rsidR="0042394D" w:rsidRPr="0027151B" w:rsidRDefault="0042394D" w:rsidP="00814666">
            <w:pPr>
              <w:contextualSpacing/>
              <w:jc w:val="right"/>
              <w:rPr>
                <w:rFonts w:ascii="Verdana" w:hAnsi="Verdana" w:cs="Arial"/>
                <w:b/>
              </w:rPr>
            </w:pPr>
            <w:r w:rsidRPr="0027151B">
              <w:rPr>
                <w:rFonts w:ascii="Verdana" w:hAnsi="Verdana" w:cs="Arial"/>
                <w:b/>
              </w:rPr>
              <w:t>2</w:t>
            </w:r>
            <w:r w:rsidR="008407A7">
              <w:rPr>
                <w:rFonts w:ascii="Verdana" w:hAnsi="Verdana" w:cs="Arial"/>
                <w:b/>
              </w:rPr>
              <w:t>3</w:t>
            </w:r>
            <w:r w:rsidR="00244E9A">
              <w:rPr>
                <w:rFonts w:ascii="Verdana" w:hAnsi="Verdana" w:cs="Arial"/>
                <w:b/>
              </w:rPr>
              <w:t>6</w:t>
            </w:r>
          </w:p>
        </w:tc>
      </w:tr>
    </w:tbl>
    <w:p w14:paraId="39A9CE40" w14:textId="27336115" w:rsidR="00EB1910" w:rsidRDefault="00EB1910" w:rsidP="004F4C55"/>
    <w:tbl>
      <w:tblPr>
        <w:tblW w:w="9322" w:type="dxa"/>
        <w:tblLook w:val="04A0" w:firstRow="1" w:lastRow="0" w:firstColumn="1" w:lastColumn="0" w:noHBand="0" w:noVBand="1"/>
      </w:tblPr>
      <w:tblGrid>
        <w:gridCol w:w="534"/>
        <w:gridCol w:w="8788"/>
      </w:tblGrid>
      <w:tr w:rsidR="0072520F" w:rsidRPr="008407A7" w14:paraId="74CFFBFC" w14:textId="77777777" w:rsidTr="00CA7196">
        <w:tc>
          <w:tcPr>
            <w:tcW w:w="534" w:type="dxa"/>
          </w:tcPr>
          <w:p w14:paraId="64499E70" w14:textId="77777777" w:rsidR="0072520F" w:rsidRPr="008407A7" w:rsidRDefault="0072520F" w:rsidP="007D5E3C">
            <w:pPr>
              <w:rPr>
                <w:rFonts w:ascii="Verdana" w:hAnsi="Verdana"/>
                <w:b/>
                <w:color w:val="FF0000"/>
              </w:rPr>
            </w:pPr>
          </w:p>
        </w:tc>
        <w:tc>
          <w:tcPr>
            <w:tcW w:w="8788" w:type="dxa"/>
          </w:tcPr>
          <w:p w14:paraId="5A6521D6" w14:textId="23F13CA7" w:rsidR="0072520F" w:rsidRPr="008407A7" w:rsidRDefault="0072520F" w:rsidP="007D5E3C">
            <w:pPr>
              <w:pStyle w:val="NoSpacing"/>
              <w:rPr>
                <w:rFonts w:ascii="Verdana" w:hAnsi="Verdana"/>
                <w:b/>
                <w:i/>
                <w:color w:val="FF0000"/>
              </w:rPr>
            </w:pPr>
            <w:r w:rsidRPr="00A649BB">
              <w:rPr>
                <w:rFonts w:ascii="Verdana" w:hAnsi="Verdana"/>
                <w:b/>
                <w:i/>
              </w:rPr>
              <w:t>Expenditure</w:t>
            </w:r>
          </w:p>
        </w:tc>
      </w:tr>
    </w:tbl>
    <w:p w14:paraId="79203978" w14:textId="77777777" w:rsidR="0072520F" w:rsidRPr="008407A7" w:rsidRDefault="0072520F" w:rsidP="004F4C55">
      <w:pPr>
        <w:rPr>
          <w:color w:val="FF0000"/>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691"/>
        <w:gridCol w:w="2126"/>
      </w:tblGrid>
      <w:tr w:rsidR="00A649BB" w:rsidRPr="00A649BB" w14:paraId="46E7E87F" w14:textId="77777777" w:rsidTr="00C54211">
        <w:tc>
          <w:tcPr>
            <w:tcW w:w="534" w:type="dxa"/>
          </w:tcPr>
          <w:p w14:paraId="51C17633" w14:textId="77777777" w:rsidR="0072520F" w:rsidRPr="008407A7" w:rsidRDefault="0072520F" w:rsidP="007D5E3C">
            <w:pPr>
              <w:rPr>
                <w:rFonts w:ascii="Verdana" w:hAnsi="Verdana"/>
                <w:color w:val="FF0000"/>
              </w:rPr>
            </w:pPr>
          </w:p>
        </w:tc>
        <w:tc>
          <w:tcPr>
            <w:tcW w:w="6691" w:type="dxa"/>
          </w:tcPr>
          <w:p w14:paraId="05E073AC" w14:textId="77777777" w:rsidR="0072520F" w:rsidRPr="00A649BB" w:rsidRDefault="0072520F" w:rsidP="007D5E3C">
            <w:pPr>
              <w:rPr>
                <w:rFonts w:ascii="Verdana" w:hAnsi="Verdana"/>
              </w:rPr>
            </w:pPr>
          </w:p>
        </w:tc>
        <w:tc>
          <w:tcPr>
            <w:tcW w:w="2126" w:type="dxa"/>
          </w:tcPr>
          <w:p w14:paraId="0EC24B9A" w14:textId="34B52D17" w:rsidR="0072520F" w:rsidRPr="00A649BB" w:rsidRDefault="0072520F" w:rsidP="007D5E3C">
            <w:pPr>
              <w:contextualSpacing/>
              <w:jc w:val="right"/>
              <w:rPr>
                <w:rFonts w:ascii="Verdana" w:hAnsi="Verdana"/>
                <w:i/>
              </w:rPr>
            </w:pPr>
            <w:r w:rsidRPr="00A649BB">
              <w:rPr>
                <w:rFonts w:ascii="Verdana" w:hAnsi="Verdana"/>
                <w:i/>
              </w:rPr>
              <w:t>Variance (£</w:t>
            </w:r>
            <w:r w:rsidR="00E30E80" w:rsidRPr="00A649BB">
              <w:rPr>
                <w:rFonts w:ascii="Verdana" w:hAnsi="Verdana"/>
                <w:i/>
              </w:rPr>
              <w:t>000</w:t>
            </w:r>
            <w:r w:rsidRPr="00A649BB">
              <w:rPr>
                <w:rFonts w:ascii="Verdana" w:hAnsi="Verdana"/>
                <w:i/>
              </w:rPr>
              <w:t>)</w:t>
            </w:r>
          </w:p>
          <w:p w14:paraId="4EDB1CAD" w14:textId="77777777" w:rsidR="0072520F" w:rsidRPr="00A649BB" w:rsidRDefault="0072520F" w:rsidP="007D5E3C">
            <w:pPr>
              <w:contextualSpacing/>
              <w:jc w:val="right"/>
              <w:rPr>
                <w:rFonts w:ascii="Verdana" w:hAnsi="Verdana"/>
                <w:i/>
              </w:rPr>
            </w:pPr>
          </w:p>
        </w:tc>
      </w:tr>
      <w:tr w:rsidR="00A649BB" w:rsidRPr="00A649BB" w14:paraId="7EE3D633" w14:textId="77777777" w:rsidTr="00C54211">
        <w:tc>
          <w:tcPr>
            <w:tcW w:w="534" w:type="dxa"/>
          </w:tcPr>
          <w:p w14:paraId="49CF2D33" w14:textId="77777777" w:rsidR="0072520F" w:rsidRPr="008407A7" w:rsidRDefault="0072520F" w:rsidP="007D5E3C">
            <w:pPr>
              <w:rPr>
                <w:rFonts w:ascii="Verdana" w:hAnsi="Verdana"/>
                <w:color w:val="FF0000"/>
              </w:rPr>
            </w:pPr>
          </w:p>
        </w:tc>
        <w:tc>
          <w:tcPr>
            <w:tcW w:w="6691" w:type="dxa"/>
          </w:tcPr>
          <w:p w14:paraId="2C05C7EF" w14:textId="7BC6B929" w:rsidR="0072520F" w:rsidRPr="00A649BB" w:rsidRDefault="00566AC5" w:rsidP="007D5E3C">
            <w:pPr>
              <w:rPr>
                <w:rFonts w:ascii="Verdana" w:hAnsi="Verdana"/>
              </w:rPr>
            </w:pPr>
            <w:r w:rsidRPr="00A649BB">
              <w:rPr>
                <w:rFonts w:ascii="Verdana" w:hAnsi="Verdana"/>
              </w:rPr>
              <w:t>Pay</w:t>
            </w:r>
          </w:p>
        </w:tc>
        <w:tc>
          <w:tcPr>
            <w:tcW w:w="2126" w:type="dxa"/>
          </w:tcPr>
          <w:p w14:paraId="74D3DD75" w14:textId="5FE0D39F" w:rsidR="0072520F" w:rsidRPr="00A649BB" w:rsidRDefault="00A649BB" w:rsidP="007D5E3C">
            <w:pPr>
              <w:contextualSpacing/>
              <w:jc w:val="right"/>
              <w:rPr>
                <w:rFonts w:ascii="Verdana" w:hAnsi="Verdana" w:cs="Arial"/>
              </w:rPr>
            </w:pPr>
            <w:r>
              <w:rPr>
                <w:rFonts w:ascii="Verdana" w:hAnsi="Verdana" w:cs="Arial"/>
              </w:rPr>
              <w:t>1</w:t>
            </w:r>
            <w:r w:rsidR="00244E9A">
              <w:rPr>
                <w:rFonts w:ascii="Verdana" w:hAnsi="Verdana" w:cs="Arial"/>
              </w:rPr>
              <w:t>41</w:t>
            </w:r>
          </w:p>
        </w:tc>
      </w:tr>
      <w:tr w:rsidR="00A649BB" w:rsidRPr="00A649BB" w14:paraId="47606CF7" w14:textId="77777777" w:rsidTr="00C54211">
        <w:tc>
          <w:tcPr>
            <w:tcW w:w="534" w:type="dxa"/>
          </w:tcPr>
          <w:p w14:paraId="2FDA3920" w14:textId="77777777" w:rsidR="0072520F" w:rsidRPr="008407A7" w:rsidRDefault="0072520F" w:rsidP="007D5E3C">
            <w:pPr>
              <w:rPr>
                <w:rFonts w:ascii="Verdana" w:hAnsi="Verdana"/>
                <w:color w:val="FF0000"/>
              </w:rPr>
            </w:pPr>
          </w:p>
        </w:tc>
        <w:tc>
          <w:tcPr>
            <w:tcW w:w="6691" w:type="dxa"/>
          </w:tcPr>
          <w:p w14:paraId="61CE5ECF" w14:textId="2F287B61" w:rsidR="0072520F" w:rsidRPr="00A649BB" w:rsidRDefault="00566AC5" w:rsidP="007D5E3C">
            <w:pPr>
              <w:rPr>
                <w:rFonts w:ascii="Verdana" w:hAnsi="Verdana"/>
              </w:rPr>
            </w:pPr>
            <w:r w:rsidRPr="00A649BB">
              <w:rPr>
                <w:rFonts w:ascii="Verdana" w:hAnsi="Verdana"/>
              </w:rPr>
              <w:t>Non-Pay</w:t>
            </w:r>
          </w:p>
        </w:tc>
        <w:tc>
          <w:tcPr>
            <w:tcW w:w="2126" w:type="dxa"/>
          </w:tcPr>
          <w:p w14:paraId="45181167" w14:textId="11BFFC5D" w:rsidR="0072520F" w:rsidRPr="00A649BB" w:rsidRDefault="001434D1" w:rsidP="007D5E3C">
            <w:pPr>
              <w:contextualSpacing/>
              <w:jc w:val="right"/>
              <w:rPr>
                <w:rFonts w:ascii="Verdana" w:hAnsi="Verdana" w:cs="Arial"/>
              </w:rPr>
            </w:pPr>
            <w:r w:rsidRPr="00A649BB">
              <w:rPr>
                <w:rFonts w:ascii="Verdana" w:hAnsi="Verdana" w:cs="Arial"/>
              </w:rPr>
              <w:t>(</w:t>
            </w:r>
            <w:r w:rsidR="00A649BB">
              <w:rPr>
                <w:rFonts w:ascii="Verdana" w:hAnsi="Verdana" w:cs="Arial"/>
              </w:rPr>
              <w:t>3</w:t>
            </w:r>
            <w:r w:rsidR="00244E9A">
              <w:rPr>
                <w:rFonts w:ascii="Verdana" w:hAnsi="Verdana" w:cs="Arial"/>
              </w:rPr>
              <w:t>21</w:t>
            </w:r>
            <w:r w:rsidRPr="00A649BB">
              <w:rPr>
                <w:rFonts w:ascii="Verdana" w:hAnsi="Verdana" w:cs="Arial"/>
              </w:rPr>
              <w:t>)</w:t>
            </w:r>
          </w:p>
        </w:tc>
      </w:tr>
      <w:tr w:rsidR="00A649BB" w:rsidRPr="00A649BB" w14:paraId="00AFCE76" w14:textId="77777777" w:rsidTr="00C54211">
        <w:tc>
          <w:tcPr>
            <w:tcW w:w="534" w:type="dxa"/>
          </w:tcPr>
          <w:p w14:paraId="2430E92B" w14:textId="77777777" w:rsidR="0072520F" w:rsidRPr="004F4C55" w:rsidRDefault="0072520F" w:rsidP="007D5E3C">
            <w:pPr>
              <w:rPr>
                <w:rFonts w:ascii="Verdana" w:hAnsi="Verdana"/>
              </w:rPr>
            </w:pPr>
          </w:p>
        </w:tc>
        <w:tc>
          <w:tcPr>
            <w:tcW w:w="6691" w:type="dxa"/>
          </w:tcPr>
          <w:p w14:paraId="036DDEEE" w14:textId="73651F2E" w:rsidR="0072520F" w:rsidRPr="00A649BB" w:rsidRDefault="00566AC5" w:rsidP="007D5E3C">
            <w:pPr>
              <w:rPr>
                <w:rFonts w:ascii="Verdana" w:hAnsi="Verdana"/>
              </w:rPr>
            </w:pPr>
            <w:r w:rsidRPr="00A649BB">
              <w:rPr>
                <w:rFonts w:ascii="Verdana" w:hAnsi="Verdana"/>
              </w:rPr>
              <w:t>Depreciation</w:t>
            </w:r>
          </w:p>
        </w:tc>
        <w:tc>
          <w:tcPr>
            <w:tcW w:w="2126" w:type="dxa"/>
          </w:tcPr>
          <w:p w14:paraId="0BC2AE6D" w14:textId="72B86D45" w:rsidR="0072520F" w:rsidRPr="00A649BB" w:rsidRDefault="00A649BB" w:rsidP="007D5E3C">
            <w:pPr>
              <w:contextualSpacing/>
              <w:jc w:val="right"/>
              <w:rPr>
                <w:rFonts w:ascii="Verdana" w:hAnsi="Verdana" w:cs="Arial"/>
              </w:rPr>
            </w:pPr>
            <w:r>
              <w:rPr>
                <w:rFonts w:ascii="Verdana" w:hAnsi="Verdana" w:cs="Arial"/>
              </w:rPr>
              <w:t>(</w:t>
            </w:r>
            <w:r w:rsidR="00244E9A">
              <w:rPr>
                <w:rFonts w:ascii="Verdana" w:hAnsi="Verdana" w:cs="Arial"/>
              </w:rPr>
              <w:t>30</w:t>
            </w:r>
            <w:r>
              <w:rPr>
                <w:rFonts w:ascii="Verdana" w:hAnsi="Verdana" w:cs="Arial"/>
              </w:rPr>
              <w:t>)</w:t>
            </w:r>
          </w:p>
          <w:p w14:paraId="1B5AAD1C" w14:textId="0A9831FF" w:rsidR="00CC6A1F" w:rsidRPr="00A649BB" w:rsidRDefault="00CC6A1F" w:rsidP="007D5E3C">
            <w:pPr>
              <w:contextualSpacing/>
              <w:jc w:val="right"/>
              <w:rPr>
                <w:rFonts w:ascii="Verdana" w:hAnsi="Verdana" w:cs="Arial"/>
              </w:rPr>
            </w:pPr>
          </w:p>
        </w:tc>
      </w:tr>
      <w:tr w:rsidR="0072520F" w14:paraId="158FED3E" w14:textId="77777777" w:rsidTr="00C54211">
        <w:tc>
          <w:tcPr>
            <w:tcW w:w="534" w:type="dxa"/>
          </w:tcPr>
          <w:p w14:paraId="73903CB0" w14:textId="77777777" w:rsidR="0072520F" w:rsidRPr="004F4C55" w:rsidRDefault="0072520F" w:rsidP="007D5E3C">
            <w:pPr>
              <w:rPr>
                <w:rFonts w:ascii="Verdana" w:hAnsi="Verdana"/>
              </w:rPr>
            </w:pPr>
          </w:p>
        </w:tc>
        <w:tc>
          <w:tcPr>
            <w:tcW w:w="6691" w:type="dxa"/>
          </w:tcPr>
          <w:p w14:paraId="7F751223" w14:textId="77777777" w:rsidR="0072520F" w:rsidRDefault="0072520F" w:rsidP="007D5E3C">
            <w:pPr>
              <w:rPr>
                <w:rFonts w:ascii="Verdana" w:hAnsi="Verdana"/>
              </w:rPr>
            </w:pPr>
          </w:p>
        </w:tc>
        <w:tc>
          <w:tcPr>
            <w:tcW w:w="2126" w:type="dxa"/>
          </w:tcPr>
          <w:p w14:paraId="44E9D92C" w14:textId="771FC6D4" w:rsidR="0072520F" w:rsidRPr="0027151B" w:rsidRDefault="00CC6A1F" w:rsidP="007D5E3C">
            <w:pPr>
              <w:contextualSpacing/>
              <w:jc w:val="right"/>
              <w:rPr>
                <w:rFonts w:ascii="Verdana" w:hAnsi="Verdana" w:cs="Arial"/>
                <w:b/>
              </w:rPr>
            </w:pPr>
            <w:r w:rsidRPr="0027151B">
              <w:rPr>
                <w:rFonts w:ascii="Verdana" w:hAnsi="Verdana" w:cs="Arial"/>
                <w:b/>
              </w:rPr>
              <w:t>(</w:t>
            </w:r>
            <w:r w:rsidR="00A649BB">
              <w:rPr>
                <w:rFonts w:ascii="Verdana" w:hAnsi="Verdana" w:cs="Arial"/>
                <w:b/>
              </w:rPr>
              <w:t>2</w:t>
            </w:r>
            <w:r w:rsidR="00244E9A">
              <w:rPr>
                <w:rFonts w:ascii="Verdana" w:hAnsi="Verdana" w:cs="Arial"/>
                <w:b/>
              </w:rPr>
              <w:t>10</w:t>
            </w:r>
            <w:r w:rsidRPr="0027151B">
              <w:rPr>
                <w:rFonts w:ascii="Verdana" w:hAnsi="Verdana" w:cs="Arial"/>
                <w:b/>
              </w:rPr>
              <w:t>)</w:t>
            </w:r>
          </w:p>
          <w:p w14:paraId="4945CB2A" w14:textId="6AF144D0" w:rsidR="004978F4" w:rsidRPr="0027151B" w:rsidRDefault="004978F4" w:rsidP="007D5E3C">
            <w:pPr>
              <w:contextualSpacing/>
              <w:jc w:val="right"/>
              <w:rPr>
                <w:rFonts w:ascii="Verdana" w:hAnsi="Verdana" w:cs="Arial"/>
                <w:b/>
              </w:rPr>
            </w:pPr>
          </w:p>
        </w:tc>
      </w:tr>
      <w:tr w:rsidR="004978F4" w14:paraId="52CDD63F" w14:textId="77777777" w:rsidTr="00C54211">
        <w:tc>
          <w:tcPr>
            <w:tcW w:w="534" w:type="dxa"/>
          </w:tcPr>
          <w:p w14:paraId="44D7C197" w14:textId="77777777" w:rsidR="004978F4" w:rsidRPr="004F4C55" w:rsidRDefault="004978F4" w:rsidP="007D5E3C">
            <w:pPr>
              <w:rPr>
                <w:rFonts w:ascii="Verdana" w:hAnsi="Verdana"/>
              </w:rPr>
            </w:pPr>
          </w:p>
        </w:tc>
        <w:tc>
          <w:tcPr>
            <w:tcW w:w="6691" w:type="dxa"/>
          </w:tcPr>
          <w:p w14:paraId="242AA39C" w14:textId="4A569CA6" w:rsidR="004978F4" w:rsidRPr="00AF6898" w:rsidRDefault="00AF6898" w:rsidP="007D5E3C">
            <w:pPr>
              <w:rPr>
                <w:rFonts w:ascii="Verdana" w:hAnsi="Verdana"/>
                <w:b/>
              </w:rPr>
            </w:pPr>
            <w:r w:rsidRPr="00AF6898">
              <w:rPr>
                <w:rFonts w:ascii="Verdana" w:hAnsi="Verdana"/>
                <w:b/>
              </w:rPr>
              <w:t>Surplus</w:t>
            </w:r>
          </w:p>
        </w:tc>
        <w:tc>
          <w:tcPr>
            <w:tcW w:w="2126" w:type="dxa"/>
          </w:tcPr>
          <w:p w14:paraId="12D364C7" w14:textId="57C850E1" w:rsidR="004978F4" w:rsidRPr="0027151B" w:rsidRDefault="00A649BB" w:rsidP="007D5E3C">
            <w:pPr>
              <w:contextualSpacing/>
              <w:jc w:val="right"/>
              <w:rPr>
                <w:rFonts w:ascii="Verdana" w:hAnsi="Verdana" w:cs="Arial"/>
                <w:b/>
              </w:rPr>
            </w:pPr>
            <w:r>
              <w:rPr>
                <w:rFonts w:ascii="Verdana" w:hAnsi="Verdana" w:cs="Arial"/>
                <w:b/>
              </w:rPr>
              <w:t>2</w:t>
            </w:r>
            <w:r w:rsidR="00244E9A">
              <w:rPr>
                <w:rFonts w:ascii="Verdana" w:hAnsi="Verdana" w:cs="Arial"/>
                <w:b/>
              </w:rPr>
              <w:t>6</w:t>
            </w:r>
          </w:p>
        </w:tc>
      </w:tr>
    </w:tbl>
    <w:p w14:paraId="1D29863C" w14:textId="67176120" w:rsidR="00EB1910" w:rsidRDefault="00EB1910" w:rsidP="004F4C55"/>
    <w:tbl>
      <w:tblPr>
        <w:tblW w:w="9322" w:type="dxa"/>
        <w:tblLook w:val="04A0" w:firstRow="1" w:lastRow="0" w:firstColumn="1" w:lastColumn="0" w:noHBand="0" w:noVBand="1"/>
      </w:tblPr>
      <w:tblGrid>
        <w:gridCol w:w="534"/>
        <w:gridCol w:w="8788"/>
      </w:tblGrid>
      <w:tr w:rsidR="00285AED" w:rsidRPr="007D5E3C" w14:paraId="423A33D9" w14:textId="77777777" w:rsidTr="00C54211">
        <w:tc>
          <w:tcPr>
            <w:tcW w:w="534" w:type="dxa"/>
          </w:tcPr>
          <w:p w14:paraId="6CFC8482" w14:textId="77777777" w:rsidR="00285AED" w:rsidRPr="007D5E3C" w:rsidRDefault="00285AED" w:rsidP="00AC7FCA">
            <w:pPr>
              <w:rPr>
                <w:rFonts w:ascii="Verdana" w:hAnsi="Verdana"/>
                <w:b/>
              </w:rPr>
            </w:pPr>
          </w:p>
        </w:tc>
        <w:tc>
          <w:tcPr>
            <w:tcW w:w="8788" w:type="dxa"/>
          </w:tcPr>
          <w:p w14:paraId="5FF356CC" w14:textId="77777777" w:rsidR="00285AED" w:rsidRDefault="00285AED" w:rsidP="00285AED">
            <w:pPr>
              <w:pStyle w:val="NoSpacing"/>
              <w:rPr>
                <w:rFonts w:ascii="Verdana" w:hAnsi="Verdana"/>
              </w:rPr>
            </w:pPr>
            <w:r>
              <w:rPr>
                <w:rFonts w:ascii="Verdana" w:hAnsi="Verdana"/>
              </w:rPr>
              <w:t>T</w:t>
            </w:r>
            <w:r w:rsidRPr="0009514A">
              <w:rPr>
                <w:rFonts w:ascii="Verdana" w:hAnsi="Verdana"/>
              </w:rPr>
              <w:t>here ha</w:t>
            </w:r>
            <w:r>
              <w:rPr>
                <w:rFonts w:ascii="Verdana" w:hAnsi="Verdana"/>
              </w:rPr>
              <w:t>ve</w:t>
            </w:r>
            <w:r w:rsidRPr="0009514A">
              <w:rPr>
                <w:rFonts w:ascii="Verdana" w:hAnsi="Verdana"/>
              </w:rPr>
              <w:t xml:space="preserve"> been no events after the reporting date (i.e. post-balance sheet events) affecting any matter of substance.</w:t>
            </w:r>
          </w:p>
          <w:p w14:paraId="1555C167" w14:textId="77777777" w:rsidR="00285AED" w:rsidRDefault="00285AED" w:rsidP="00285AED">
            <w:pPr>
              <w:pStyle w:val="NoSpacing"/>
              <w:rPr>
                <w:rFonts w:ascii="Verdana" w:hAnsi="Verdana"/>
              </w:rPr>
            </w:pPr>
          </w:p>
          <w:p w14:paraId="2E746457" w14:textId="071A1D2E" w:rsidR="00285AED" w:rsidRPr="007D5E3C" w:rsidRDefault="00285AED" w:rsidP="00285AED">
            <w:pPr>
              <w:pStyle w:val="NoSpacing"/>
              <w:rPr>
                <w:rFonts w:ascii="Verdana" w:hAnsi="Verdana"/>
              </w:rPr>
            </w:pPr>
            <w:r w:rsidRPr="004241F0">
              <w:rPr>
                <w:rFonts w:ascii="Verdana" w:hAnsi="Verdana"/>
              </w:rPr>
              <w:t>The draft audited annual report and financial statements</w:t>
            </w:r>
            <w:r>
              <w:rPr>
                <w:rFonts w:ascii="Verdana" w:hAnsi="Verdana"/>
              </w:rPr>
              <w:t xml:space="preserve"> </w:t>
            </w:r>
            <w:r w:rsidRPr="004241F0">
              <w:rPr>
                <w:rFonts w:ascii="Verdana" w:hAnsi="Verdana"/>
              </w:rPr>
              <w:t>were</w:t>
            </w:r>
            <w:r>
              <w:rPr>
                <w:rFonts w:ascii="Verdana" w:hAnsi="Verdana"/>
              </w:rPr>
              <w:t>, in terms of the outcomes reported,</w:t>
            </w:r>
            <w:r w:rsidRPr="004241F0">
              <w:rPr>
                <w:rFonts w:ascii="Verdana" w:hAnsi="Verdana"/>
              </w:rPr>
              <w:t xml:space="preserve"> recommended for approval by, and signature on behalf of, the Corporation at the meeti</w:t>
            </w:r>
            <w:r>
              <w:rPr>
                <w:rFonts w:ascii="Verdana" w:hAnsi="Verdana"/>
              </w:rPr>
              <w:t>ng to be held on 15 December 2020.</w:t>
            </w:r>
          </w:p>
        </w:tc>
      </w:tr>
    </w:tbl>
    <w:p w14:paraId="7D318BF9" w14:textId="77777777" w:rsidR="0086749B" w:rsidRDefault="0086749B" w:rsidP="004F4C55"/>
    <w:tbl>
      <w:tblPr>
        <w:tblW w:w="9351" w:type="dxa"/>
        <w:tblLook w:val="04A0" w:firstRow="1" w:lastRow="0" w:firstColumn="1" w:lastColumn="0" w:noHBand="0" w:noVBand="1"/>
      </w:tblPr>
      <w:tblGrid>
        <w:gridCol w:w="534"/>
        <w:gridCol w:w="8817"/>
      </w:tblGrid>
      <w:tr w:rsidR="0009514A" w:rsidRPr="004241F0" w14:paraId="1042AC11" w14:textId="77777777" w:rsidTr="00C54211">
        <w:tc>
          <w:tcPr>
            <w:tcW w:w="534" w:type="dxa"/>
          </w:tcPr>
          <w:p w14:paraId="4AEE54B5" w14:textId="082339B6" w:rsidR="0009514A" w:rsidRPr="004241F0" w:rsidRDefault="006B53B2" w:rsidP="00DE41DD">
            <w:pPr>
              <w:rPr>
                <w:rFonts w:ascii="Verdana" w:hAnsi="Verdana"/>
                <w:b/>
              </w:rPr>
            </w:pPr>
            <w:r>
              <w:rPr>
                <w:rFonts w:ascii="Verdana" w:hAnsi="Verdana"/>
                <w:b/>
              </w:rPr>
              <w:t>9</w:t>
            </w:r>
          </w:p>
        </w:tc>
        <w:tc>
          <w:tcPr>
            <w:tcW w:w="8817" w:type="dxa"/>
          </w:tcPr>
          <w:p w14:paraId="343482FD" w14:textId="5B5E1ABA" w:rsidR="0009514A" w:rsidRPr="00285AED" w:rsidRDefault="0009514A" w:rsidP="00DE41DD">
            <w:pPr>
              <w:pStyle w:val="NoSpacing"/>
              <w:rPr>
                <w:rFonts w:ascii="Verdana" w:hAnsi="Verdana"/>
                <w:b/>
              </w:rPr>
            </w:pPr>
            <w:r>
              <w:rPr>
                <w:rFonts w:ascii="Verdana" w:hAnsi="Verdana"/>
                <w:b/>
              </w:rPr>
              <w:t>Management Accounts 2019-20</w:t>
            </w:r>
            <w:r w:rsidRPr="00126685">
              <w:rPr>
                <w:rFonts w:ascii="Verdana" w:hAnsi="Verdana"/>
                <w:b/>
              </w:rPr>
              <w:t xml:space="preserve"> </w:t>
            </w:r>
            <w:r>
              <w:rPr>
                <w:rFonts w:ascii="Verdana" w:hAnsi="Verdana"/>
                <w:b/>
              </w:rPr>
              <w:t>to Period 3</w:t>
            </w:r>
            <w:r w:rsidRPr="00CF3270">
              <w:rPr>
                <w:rFonts w:ascii="Verdana" w:hAnsi="Verdana"/>
                <w:b/>
              </w:rPr>
              <w:t xml:space="preserve">: </w:t>
            </w:r>
            <w:r>
              <w:rPr>
                <w:rFonts w:ascii="Verdana" w:hAnsi="Verdana"/>
                <w:b/>
              </w:rPr>
              <w:t>31 October 2019</w:t>
            </w:r>
          </w:p>
          <w:p w14:paraId="5D91F894" w14:textId="77777777" w:rsidR="0009514A" w:rsidRDefault="0009514A" w:rsidP="00DE41DD">
            <w:pPr>
              <w:contextualSpacing/>
              <w:rPr>
                <w:rFonts w:ascii="Verdana" w:hAnsi="Verdana" w:cs="Arial"/>
              </w:rPr>
            </w:pPr>
          </w:p>
          <w:p w14:paraId="43FA2958" w14:textId="1E5C8AF2" w:rsidR="0009514A" w:rsidRDefault="0009514A" w:rsidP="00DE41DD">
            <w:pPr>
              <w:pStyle w:val="NoSpacing"/>
              <w:rPr>
                <w:rFonts w:ascii="Verdana" w:hAnsi="Verdana"/>
              </w:rPr>
            </w:pPr>
            <w:r w:rsidRPr="003B130C">
              <w:rPr>
                <w:rFonts w:ascii="Verdana" w:hAnsi="Verdana"/>
              </w:rPr>
              <w:t>A draft report</w:t>
            </w:r>
            <w:r>
              <w:rPr>
                <w:rFonts w:ascii="Verdana" w:hAnsi="Verdana"/>
              </w:rPr>
              <w:t xml:space="preserve"> prepared by the Vice Principal: Corporate Services and the Finance Manager, together with supporting documents,</w:t>
            </w:r>
            <w:r w:rsidRPr="003B130C">
              <w:rPr>
                <w:rFonts w:ascii="Verdana" w:hAnsi="Verdana"/>
              </w:rPr>
              <w:t xml:space="preserve"> was received and considered.</w:t>
            </w:r>
          </w:p>
          <w:p w14:paraId="5F4B2A9F" w14:textId="61AF0541" w:rsidR="000F4119" w:rsidRDefault="000F4119" w:rsidP="00DE41DD">
            <w:pPr>
              <w:pStyle w:val="NoSpacing"/>
              <w:rPr>
                <w:rFonts w:ascii="Verdana" w:hAnsi="Verdana"/>
              </w:rPr>
            </w:pPr>
          </w:p>
          <w:p w14:paraId="1269733F" w14:textId="3654CCCD" w:rsidR="000F4119" w:rsidRDefault="000F4119" w:rsidP="00DE41DD">
            <w:pPr>
              <w:pStyle w:val="NoSpacing"/>
              <w:rPr>
                <w:rFonts w:ascii="Verdana" w:hAnsi="Verdana"/>
              </w:rPr>
            </w:pPr>
            <w:r>
              <w:rPr>
                <w:rFonts w:ascii="Verdana" w:hAnsi="Verdana"/>
              </w:rPr>
              <w:t>Factors specific to the public health emergency’s impact on the College’s finances were reported and noted.</w:t>
            </w:r>
          </w:p>
          <w:p w14:paraId="6F10FE2A" w14:textId="77777777" w:rsidR="0009514A" w:rsidRDefault="0009514A" w:rsidP="00DE41DD">
            <w:pPr>
              <w:pStyle w:val="NoSpacing"/>
              <w:rPr>
                <w:rFonts w:ascii="Verdana" w:hAnsi="Verdana"/>
              </w:rPr>
            </w:pPr>
          </w:p>
          <w:p w14:paraId="64F1F238" w14:textId="3BF4FE7E" w:rsidR="0086749B" w:rsidRDefault="0086749B" w:rsidP="0086749B">
            <w:pPr>
              <w:contextualSpacing/>
              <w:rPr>
                <w:rFonts w:ascii="Verdana" w:hAnsi="Verdana"/>
              </w:rPr>
            </w:pPr>
            <w:r>
              <w:rPr>
                <w:rFonts w:ascii="Verdana" w:hAnsi="Verdana"/>
              </w:rPr>
              <w:t>It was confirmed that the number of enrolled students at the census date is 1,7</w:t>
            </w:r>
            <w:r w:rsidR="00EE5DF7">
              <w:rPr>
                <w:rFonts w:ascii="Verdana" w:hAnsi="Verdana"/>
              </w:rPr>
              <w:t>95 (target: 1,820)</w:t>
            </w:r>
            <w:r>
              <w:rPr>
                <w:rFonts w:ascii="Verdana" w:hAnsi="Verdana"/>
              </w:rPr>
              <w:t>, and that 202</w:t>
            </w:r>
            <w:r w:rsidR="00EE5DF7">
              <w:rPr>
                <w:rFonts w:ascii="Verdana" w:hAnsi="Verdana"/>
              </w:rPr>
              <w:t>1</w:t>
            </w:r>
            <w:r>
              <w:rPr>
                <w:rFonts w:ascii="Verdana" w:hAnsi="Verdana"/>
              </w:rPr>
              <w:t>-2</w:t>
            </w:r>
            <w:r w:rsidR="00EE5DF7">
              <w:rPr>
                <w:rFonts w:ascii="Verdana" w:hAnsi="Verdana"/>
              </w:rPr>
              <w:t>2</w:t>
            </w:r>
            <w:r>
              <w:rPr>
                <w:rFonts w:ascii="Verdana" w:hAnsi="Verdana"/>
              </w:rPr>
              <w:t xml:space="preserve"> core funding will </w:t>
            </w:r>
            <w:r w:rsidR="00593049">
              <w:rPr>
                <w:rFonts w:ascii="Verdana" w:hAnsi="Verdana"/>
              </w:rPr>
              <w:t>be based on</w:t>
            </w:r>
            <w:r>
              <w:rPr>
                <w:rFonts w:ascii="Verdana" w:hAnsi="Verdana"/>
              </w:rPr>
              <w:t xml:space="preserve"> this figure.  In the course of the year, actual numbers may vary reflecting the effect of suspensions and reinstatements, and reduce if students are permanently excluded or otherwise leave the College.</w:t>
            </w:r>
          </w:p>
          <w:p w14:paraId="40D3FDDE" w14:textId="1FBEFC2D" w:rsidR="002D019D" w:rsidRDefault="002D019D" w:rsidP="0086749B">
            <w:pPr>
              <w:contextualSpacing/>
              <w:rPr>
                <w:rFonts w:ascii="Verdana" w:hAnsi="Verdana"/>
              </w:rPr>
            </w:pPr>
          </w:p>
          <w:p w14:paraId="566E0326" w14:textId="1DA0ADDB" w:rsidR="00DE41DD" w:rsidRPr="002D019D" w:rsidRDefault="00DE41DD" w:rsidP="00DE41DD">
            <w:pPr>
              <w:contextualSpacing/>
              <w:rPr>
                <w:rFonts w:ascii="Verdana" w:hAnsi="Verdana"/>
              </w:rPr>
            </w:pPr>
            <w:r w:rsidRPr="002D019D">
              <w:rPr>
                <w:rFonts w:ascii="Verdana" w:hAnsi="Verdana"/>
              </w:rPr>
              <w:t>Cash balances at 31 July 20</w:t>
            </w:r>
            <w:r w:rsidR="00593049" w:rsidRPr="002D019D">
              <w:rPr>
                <w:rFonts w:ascii="Verdana" w:hAnsi="Verdana"/>
              </w:rPr>
              <w:t>2</w:t>
            </w:r>
            <w:r w:rsidR="002D019D">
              <w:rPr>
                <w:rFonts w:ascii="Verdana" w:hAnsi="Verdana"/>
              </w:rPr>
              <w:t>1</w:t>
            </w:r>
            <w:r w:rsidRPr="002D019D">
              <w:rPr>
                <w:rFonts w:ascii="Verdana" w:hAnsi="Verdana"/>
              </w:rPr>
              <w:t xml:space="preserve"> are forecast to be £1</w:t>
            </w:r>
            <w:r w:rsidR="002D019D" w:rsidRPr="002D019D">
              <w:rPr>
                <w:rFonts w:ascii="Verdana" w:hAnsi="Verdana"/>
              </w:rPr>
              <w:t>.767m</w:t>
            </w:r>
            <w:r w:rsidRPr="002D019D">
              <w:rPr>
                <w:rFonts w:ascii="Verdana" w:hAnsi="Verdana"/>
              </w:rPr>
              <w:t xml:space="preserve">, </w:t>
            </w:r>
            <w:r w:rsidR="002D019D" w:rsidRPr="002D019D">
              <w:rPr>
                <w:rFonts w:ascii="Verdana" w:hAnsi="Verdana"/>
              </w:rPr>
              <w:t>an increase</w:t>
            </w:r>
            <w:r w:rsidRPr="002D019D">
              <w:rPr>
                <w:rFonts w:ascii="Verdana" w:hAnsi="Verdana"/>
              </w:rPr>
              <w:t xml:space="preserve"> of </w:t>
            </w:r>
            <w:r w:rsidR="002D019D" w:rsidRPr="002D019D">
              <w:rPr>
                <w:rFonts w:ascii="Verdana" w:hAnsi="Verdana"/>
              </w:rPr>
              <w:t>£587k</w:t>
            </w:r>
            <w:r w:rsidRPr="002D019D">
              <w:rPr>
                <w:rFonts w:ascii="Verdana" w:hAnsi="Verdana"/>
              </w:rPr>
              <w:t xml:space="preserve"> compared to actual cash balances of £1</w:t>
            </w:r>
            <w:r w:rsidR="002D019D" w:rsidRPr="002D019D">
              <w:rPr>
                <w:rFonts w:ascii="Verdana" w:hAnsi="Verdana"/>
              </w:rPr>
              <w:t>.18m</w:t>
            </w:r>
            <w:r w:rsidRPr="002D019D">
              <w:rPr>
                <w:rFonts w:ascii="Verdana" w:hAnsi="Verdana"/>
              </w:rPr>
              <w:t xml:space="preserve"> at 31</w:t>
            </w:r>
            <w:r w:rsidRPr="002D019D">
              <w:rPr>
                <w:rFonts w:ascii="Verdana" w:hAnsi="Verdana"/>
                <w:vertAlign w:val="superscript"/>
              </w:rPr>
              <w:t>st</w:t>
            </w:r>
            <w:r w:rsidRPr="002D019D">
              <w:rPr>
                <w:rFonts w:ascii="Verdana" w:hAnsi="Verdana"/>
              </w:rPr>
              <w:t xml:space="preserve"> July 20</w:t>
            </w:r>
            <w:r w:rsidR="002D019D">
              <w:rPr>
                <w:rFonts w:ascii="Verdana" w:hAnsi="Verdana"/>
              </w:rPr>
              <w:t>20</w:t>
            </w:r>
            <w:r w:rsidRPr="002D019D">
              <w:rPr>
                <w:rFonts w:ascii="Verdana" w:hAnsi="Verdana"/>
              </w:rPr>
              <w:t>.</w:t>
            </w:r>
          </w:p>
          <w:p w14:paraId="02D94898" w14:textId="77777777" w:rsidR="00DE41DD" w:rsidRPr="000F4119" w:rsidRDefault="00DE41DD" w:rsidP="00DE41DD">
            <w:pPr>
              <w:contextualSpacing/>
              <w:rPr>
                <w:rFonts w:ascii="Verdana" w:hAnsi="Verdana"/>
                <w:color w:val="FF0000"/>
              </w:rPr>
            </w:pPr>
          </w:p>
          <w:p w14:paraId="2EE8DC74" w14:textId="3D3202A6" w:rsidR="00DE41DD" w:rsidRPr="002D019D" w:rsidRDefault="00DE41DD" w:rsidP="00DE41DD">
            <w:pPr>
              <w:contextualSpacing/>
              <w:rPr>
                <w:rFonts w:ascii="Verdana" w:hAnsi="Verdana"/>
              </w:rPr>
            </w:pPr>
            <w:r w:rsidRPr="002D019D">
              <w:rPr>
                <w:rFonts w:ascii="Verdana" w:hAnsi="Verdana"/>
              </w:rPr>
              <w:lastRenderedPageBreak/>
              <w:t xml:space="preserve">Cash days in hand remain healthy and stable at </w:t>
            </w:r>
            <w:r w:rsidR="002D019D" w:rsidRPr="002D019D">
              <w:rPr>
                <w:rFonts w:ascii="Verdana" w:hAnsi="Verdana"/>
              </w:rPr>
              <w:t>73</w:t>
            </w:r>
            <w:r w:rsidR="00593049" w:rsidRPr="002D019D">
              <w:rPr>
                <w:rFonts w:ascii="Verdana" w:hAnsi="Verdana"/>
              </w:rPr>
              <w:t xml:space="preserve">, and are </w:t>
            </w:r>
            <w:r w:rsidRPr="002D019D">
              <w:rPr>
                <w:rFonts w:ascii="Verdana" w:hAnsi="Verdana"/>
              </w:rPr>
              <w:t xml:space="preserve">predicted to be </w:t>
            </w:r>
            <w:r w:rsidR="002D019D" w:rsidRPr="002D019D">
              <w:rPr>
                <w:rFonts w:ascii="Verdana" w:hAnsi="Verdana"/>
              </w:rPr>
              <w:t>57</w:t>
            </w:r>
            <w:r w:rsidRPr="002D019D">
              <w:rPr>
                <w:rFonts w:ascii="Verdana" w:hAnsi="Verdana"/>
              </w:rPr>
              <w:t xml:space="preserve"> days at 31 July 202</w:t>
            </w:r>
            <w:r w:rsidR="00532C4D">
              <w:rPr>
                <w:rFonts w:ascii="Verdana" w:hAnsi="Verdana"/>
              </w:rPr>
              <w:t>1</w:t>
            </w:r>
            <w:r w:rsidRPr="002D019D">
              <w:rPr>
                <w:rFonts w:ascii="Verdana" w:hAnsi="Verdana"/>
              </w:rPr>
              <w:t xml:space="preserve"> (31 July </w:t>
            </w:r>
            <w:r w:rsidR="002D019D" w:rsidRPr="002D019D">
              <w:rPr>
                <w:rFonts w:ascii="Verdana" w:hAnsi="Verdana"/>
              </w:rPr>
              <w:t>2020</w:t>
            </w:r>
            <w:r w:rsidRPr="002D019D">
              <w:rPr>
                <w:rFonts w:ascii="Verdana" w:hAnsi="Verdana"/>
              </w:rPr>
              <w:t xml:space="preserve">: </w:t>
            </w:r>
            <w:r w:rsidR="002D019D" w:rsidRPr="002D019D">
              <w:rPr>
                <w:rFonts w:ascii="Verdana" w:hAnsi="Verdana"/>
              </w:rPr>
              <w:t>4</w:t>
            </w:r>
            <w:r w:rsidRPr="002D019D">
              <w:rPr>
                <w:rFonts w:ascii="Verdana" w:hAnsi="Verdana"/>
              </w:rPr>
              <w:t xml:space="preserve">6). </w:t>
            </w:r>
          </w:p>
          <w:p w14:paraId="3FDEF523" w14:textId="77777777" w:rsidR="002D019D" w:rsidRDefault="002D019D" w:rsidP="000F4119">
            <w:pPr>
              <w:tabs>
                <w:tab w:val="left" w:pos="5790"/>
              </w:tabs>
              <w:contextualSpacing/>
              <w:rPr>
                <w:rFonts w:ascii="Verdana" w:hAnsi="Verdana"/>
              </w:rPr>
            </w:pPr>
          </w:p>
          <w:p w14:paraId="676F1BA6" w14:textId="57E37055" w:rsidR="002D019D" w:rsidRPr="002D019D" w:rsidRDefault="002D019D" w:rsidP="002D019D">
            <w:pPr>
              <w:contextualSpacing/>
              <w:rPr>
                <w:rFonts w:ascii="Verdana" w:hAnsi="Verdana"/>
              </w:rPr>
            </w:pPr>
            <w:r w:rsidRPr="002D019D">
              <w:rPr>
                <w:rFonts w:ascii="Verdana" w:hAnsi="Verdana"/>
              </w:rPr>
              <w:t xml:space="preserve">There are no issues anticipated at this time </w:t>
            </w:r>
            <w:r w:rsidR="00E73C35">
              <w:rPr>
                <w:rFonts w:ascii="Verdana" w:hAnsi="Verdana"/>
              </w:rPr>
              <w:t>attending the achievement</w:t>
            </w:r>
            <w:r w:rsidRPr="002D019D">
              <w:rPr>
                <w:rFonts w:ascii="Verdana" w:hAnsi="Verdana"/>
              </w:rPr>
              <w:t xml:space="preserve">, or slight undershoot, </w:t>
            </w:r>
            <w:r w:rsidR="00E73C35">
              <w:rPr>
                <w:rFonts w:ascii="Verdana" w:hAnsi="Verdana"/>
              </w:rPr>
              <w:t xml:space="preserve">of </w:t>
            </w:r>
            <w:r w:rsidRPr="002D019D">
              <w:rPr>
                <w:rFonts w:ascii="Verdana" w:hAnsi="Verdana"/>
              </w:rPr>
              <w:t>the budget deficit</w:t>
            </w:r>
            <w:r>
              <w:rPr>
                <w:rFonts w:ascii="Verdana" w:hAnsi="Verdana"/>
              </w:rPr>
              <w:t xml:space="preserve"> for the year.</w:t>
            </w:r>
          </w:p>
          <w:p w14:paraId="2C84AAA3" w14:textId="77777777" w:rsidR="002D019D" w:rsidRPr="002D019D" w:rsidRDefault="002D019D" w:rsidP="002D019D">
            <w:pPr>
              <w:rPr>
                <w:rFonts w:ascii="Verdana" w:hAnsi="Verdana"/>
              </w:rPr>
            </w:pPr>
            <w:r w:rsidRPr="002D019D">
              <w:rPr>
                <w:rFonts w:ascii="Verdana" w:hAnsi="Verdana"/>
              </w:rPr>
              <w:t xml:space="preserve">  </w:t>
            </w:r>
          </w:p>
          <w:p w14:paraId="7893084D" w14:textId="77777777" w:rsidR="002D019D" w:rsidRPr="00DE41DD" w:rsidRDefault="002D019D" w:rsidP="002D019D">
            <w:pPr>
              <w:rPr>
                <w:rFonts w:ascii="Verdana" w:hAnsi="Verdana"/>
              </w:rPr>
            </w:pPr>
            <w:r w:rsidRPr="002D019D">
              <w:rPr>
                <w:rFonts w:ascii="Verdana" w:hAnsi="Verdana"/>
              </w:rPr>
              <w:t>The College is anticipated to</w:t>
            </w:r>
            <w:r w:rsidRPr="00DE41DD">
              <w:rPr>
                <w:rFonts w:ascii="Verdana" w:hAnsi="Verdana"/>
              </w:rPr>
              <w:t xml:space="preserve"> be in the Good category for financial health</w:t>
            </w:r>
            <w:r>
              <w:rPr>
                <w:rFonts w:ascii="Verdana" w:hAnsi="Verdana"/>
              </w:rPr>
              <w:t xml:space="preserve"> at 31 July 2021</w:t>
            </w:r>
            <w:r w:rsidRPr="00DE41DD">
              <w:rPr>
                <w:rFonts w:ascii="Verdana" w:hAnsi="Verdana"/>
              </w:rPr>
              <w:t>.</w:t>
            </w:r>
          </w:p>
          <w:p w14:paraId="689E9C6C" w14:textId="77777777" w:rsidR="002D019D" w:rsidRDefault="002D019D" w:rsidP="000F4119">
            <w:pPr>
              <w:tabs>
                <w:tab w:val="left" w:pos="5790"/>
              </w:tabs>
              <w:contextualSpacing/>
              <w:rPr>
                <w:rFonts w:ascii="Verdana" w:hAnsi="Verdana"/>
              </w:rPr>
            </w:pPr>
          </w:p>
          <w:p w14:paraId="07AC6511" w14:textId="4CABDA7E" w:rsidR="00446FEA" w:rsidRDefault="002D019D" w:rsidP="000F4119">
            <w:pPr>
              <w:tabs>
                <w:tab w:val="left" w:pos="5790"/>
              </w:tabs>
              <w:contextualSpacing/>
              <w:rPr>
                <w:rFonts w:ascii="Verdana" w:hAnsi="Verdana"/>
              </w:rPr>
            </w:pPr>
            <w:r w:rsidRPr="002D019D">
              <w:rPr>
                <w:rFonts w:ascii="Verdana" w:hAnsi="Verdana"/>
              </w:rPr>
              <w:t xml:space="preserve">It was reported that during the </w:t>
            </w:r>
            <w:r>
              <w:rPr>
                <w:rFonts w:ascii="Verdana" w:hAnsi="Verdana"/>
              </w:rPr>
              <w:t>public health emergency</w:t>
            </w:r>
            <w:r w:rsidRPr="002D019D">
              <w:rPr>
                <w:rFonts w:ascii="Verdana" w:hAnsi="Verdana"/>
              </w:rPr>
              <w:t xml:space="preserve"> it </w:t>
            </w:r>
            <w:r>
              <w:rPr>
                <w:rFonts w:ascii="Verdana" w:hAnsi="Verdana"/>
              </w:rPr>
              <w:t>had not been</w:t>
            </w:r>
            <w:r w:rsidRPr="002D019D">
              <w:rPr>
                <w:rFonts w:ascii="Verdana" w:hAnsi="Verdana"/>
              </w:rPr>
              <w:t xml:space="preserve"> possible</w:t>
            </w:r>
            <w:r>
              <w:rPr>
                <w:rFonts w:ascii="Verdana" w:hAnsi="Verdana"/>
              </w:rPr>
              <w:t xml:space="preserve"> in three instances</w:t>
            </w:r>
            <w:r w:rsidRPr="002D019D">
              <w:rPr>
                <w:rFonts w:ascii="Verdana" w:hAnsi="Verdana"/>
              </w:rPr>
              <w:t xml:space="preserve"> to obtain the three quotes </w:t>
            </w:r>
            <w:r w:rsidR="00E73C35">
              <w:rPr>
                <w:rFonts w:ascii="Verdana" w:hAnsi="Verdana"/>
              </w:rPr>
              <w:t>which</w:t>
            </w:r>
            <w:r w:rsidRPr="002D019D">
              <w:rPr>
                <w:rFonts w:ascii="Verdana" w:hAnsi="Verdana"/>
              </w:rPr>
              <w:t xml:space="preserve"> would normally </w:t>
            </w:r>
            <w:r w:rsidR="00AC7FCA">
              <w:rPr>
                <w:rFonts w:ascii="Verdana" w:hAnsi="Verdana"/>
              </w:rPr>
              <w:t>attend</w:t>
            </w:r>
            <w:r>
              <w:rPr>
                <w:rFonts w:ascii="Verdana" w:hAnsi="Verdana"/>
              </w:rPr>
              <w:t xml:space="preserve"> procurement</w:t>
            </w:r>
            <w:r w:rsidR="004C308B">
              <w:rPr>
                <w:rFonts w:ascii="Verdana" w:hAnsi="Verdana"/>
              </w:rPr>
              <w:t xml:space="preserve"> of IT equipment where the cost exceeds the prescribed threshold</w:t>
            </w:r>
            <w:r w:rsidRPr="002D019D">
              <w:rPr>
                <w:rFonts w:ascii="Verdana" w:hAnsi="Verdana"/>
              </w:rPr>
              <w:t xml:space="preserve">.  </w:t>
            </w:r>
            <w:r>
              <w:rPr>
                <w:rFonts w:ascii="Verdana" w:hAnsi="Verdana"/>
              </w:rPr>
              <w:t xml:space="preserve"> </w:t>
            </w:r>
            <w:r w:rsidRPr="002D019D">
              <w:rPr>
                <w:rFonts w:ascii="Verdana" w:hAnsi="Verdana"/>
              </w:rPr>
              <w:t xml:space="preserve">The Financial Regulations allow for </w:t>
            </w:r>
            <w:r w:rsidR="004C308B">
              <w:rPr>
                <w:rFonts w:ascii="Verdana" w:hAnsi="Verdana"/>
              </w:rPr>
              <w:t>the provision</w:t>
            </w:r>
            <w:r w:rsidRPr="002D019D">
              <w:rPr>
                <w:rFonts w:ascii="Verdana" w:hAnsi="Verdana"/>
              </w:rPr>
              <w:t xml:space="preserve"> to be overridden by College senior management where it </w:t>
            </w:r>
            <w:r>
              <w:rPr>
                <w:rFonts w:ascii="Verdana" w:hAnsi="Verdana"/>
              </w:rPr>
              <w:t>i</w:t>
            </w:r>
            <w:r w:rsidRPr="002D019D">
              <w:rPr>
                <w:rFonts w:ascii="Verdana" w:hAnsi="Verdana"/>
              </w:rPr>
              <w:t xml:space="preserve">s not possible to obtain three quotes.  </w:t>
            </w:r>
            <w:r>
              <w:rPr>
                <w:rFonts w:ascii="Verdana" w:hAnsi="Verdana"/>
              </w:rPr>
              <w:t xml:space="preserve"> </w:t>
            </w:r>
            <w:r w:rsidRPr="002D019D">
              <w:rPr>
                <w:rFonts w:ascii="Verdana" w:hAnsi="Verdana"/>
              </w:rPr>
              <w:t xml:space="preserve">In this </w:t>
            </w:r>
            <w:r>
              <w:rPr>
                <w:rFonts w:ascii="Verdana" w:hAnsi="Verdana"/>
              </w:rPr>
              <w:t>instanc</w:t>
            </w:r>
            <w:r w:rsidRPr="002D019D">
              <w:rPr>
                <w:rFonts w:ascii="Verdana" w:hAnsi="Verdana"/>
              </w:rPr>
              <w:t xml:space="preserve">e during the first </w:t>
            </w:r>
            <w:r>
              <w:rPr>
                <w:rFonts w:ascii="Verdana" w:hAnsi="Verdana"/>
              </w:rPr>
              <w:t>period of</w:t>
            </w:r>
            <w:r w:rsidRPr="002D019D">
              <w:rPr>
                <w:rFonts w:ascii="Verdana" w:hAnsi="Verdana"/>
              </w:rPr>
              <w:t xml:space="preserve"> lockdown there were few suppliers able to deliver goods and services within the time frame </w:t>
            </w:r>
            <w:r w:rsidR="00AC7FCA">
              <w:rPr>
                <w:rFonts w:ascii="Verdana" w:hAnsi="Verdana"/>
              </w:rPr>
              <w:t>required by</w:t>
            </w:r>
            <w:r w:rsidRPr="002D019D">
              <w:rPr>
                <w:rFonts w:ascii="Verdana" w:hAnsi="Verdana"/>
              </w:rPr>
              <w:t xml:space="preserve"> the College to ensure a continuation of services</w:t>
            </w:r>
            <w:r w:rsidR="00AC7FCA">
              <w:rPr>
                <w:rFonts w:ascii="Verdana" w:hAnsi="Verdana"/>
              </w:rPr>
              <w:t xml:space="preserve"> in both the short and medium terms</w:t>
            </w:r>
            <w:r w:rsidRPr="002D019D">
              <w:rPr>
                <w:rFonts w:ascii="Verdana" w:hAnsi="Verdana"/>
              </w:rPr>
              <w:t xml:space="preserve">.  </w:t>
            </w:r>
            <w:r>
              <w:rPr>
                <w:rFonts w:ascii="Verdana" w:hAnsi="Verdana"/>
              </w:rPr>
              <w:t>The</w:t>
            </w:r>
            <w:r w:rsidR="00446FEA">
              <w:rPr>
                <w:rFonts w:ascii="Verdana" w:hAnsi="Verdana"/>
              </w:rPr>
              <w:t xml:space="preserve"> management override</w:t>
            </w:r>
            <w:r>
              <w:rPr>
                <w:rFonts w:ascii="Verdana" w:hAnsi="Verdana"/>
              </w:rPr>
              <w:t xml:space="preserve"> had been acc</w:t>
            </w:r>
            <w:r w:rsidR="00446FEA">
              <w:rPr>
                <w:rFonts w:ascii="Verdana" w:hAnsi="Verdana"/>
              </w:rPr>
              <w:t>identally omitted as a note to</w:t>
            </w:r>
            <w:r w:rsidRPr="002D019D">
              <w:rPr>
                <w:rFonts w:ascii="Verdana" w:hAnsi="Verdana"/>
              </w:rPr>
              <w:t xml:space="preserve"> the Management Accounts</w:t>
            </w:r>
            <w:r w:rsidR="00446FEA">
              <w:rPr>
                <w:rFonts w:ascii="Verdana" w:hAnsi="Verdana"/>
              </w:rPr>
              <w:t xml:space="preserve"> circulated at the time.</w:t>
            </w:r>
          </w:p>
          <w:p w14:paraId="59581AF6" w14:textId="77777777" w:rsidR="00446FEA" w:rsidRDefault="00446FEA" w:rsidP="000F4119">
            <w:pPr>
              <w:tabs>
                <w:tab w:val="left" w:pos="5790"/>
              </w:tabs>
              <w:contextualSpacing/>
              <w:rPr>
                <w:rFonts w:ascii="Verdana" w:hAnsi="Verdana"/>
              </w:rPr>
            </w:pPr>
          </w:p>
          <w:p w14:paraId="63B452AB" w14:textId="77E9E43E" w:rsidR="0086749B" w:rsidRDefault="00446FEA" w:rsidP="000F4119">
            <w:pPr>
              <w:tabs>
                <w:tab w:val="left" w:pos="5790"/>
              </w:tabs>
              <w:contextualSpacing/>
              <w:rPr>
                <w:rFonts w:ascii="Verdana" w:hAnsi="Verdana"/>
              </w:rPr>
            </w:pPr>
            <w:r w:rsidRPr="00446FEA">
              <w:rPr>
                <w:rFonts w:ascii="Verdana" w:hAnsi="Verdana"/>
              </w:rPr>
              <w:t>The Auditors</w:t>
            </w:r>
            <w:r w:rsidR="004C308B">
              <w:rPr>
                <w:rFonts w:ascii="Verdana" w:hAnsi="Verdana"/>
              </w:rPr>
              <w:t xml:space="preserve"> had </w:t>
            </w:r>
            <w:r w:rsidRPr="00446FEA">
              <w:rPr>
                <w:rFonts w:ascii="Verdana" w:hAnsi="Verdana"/>
              </w:rPr>
              <w:t xml:space="preserve">noted </w:t>
            </w:r>
            <w:r>
              <w:rPr>
                <w:rFonts w:ascii="Verdana" w:hAnsi="Verdana"/>
              </w:rPr>
              <w:t>the omission</w:t>
            </w:r>
            <w:r w:rsidR="004C308B">
              <w:rPr>
                <w:rFonts w:ascii="Verdana" w:hAnsi="Verdana"/>
              </w:rPr>
              <w:t>,</w:t>
            </w:r>
            <w:r>
              <w:rPr>
                <w:rFonts w:ascii="Verdana" w:hAnsi="Verdana"/>
              </w:rPr>
              <w:t xml:space="preserve"> but</w:t>
            </w:r>
            <w:r w:rsidRPr="00446FEA">
              <w:rPr>
                <w:rFonts w:ascii="Verdana" w:hAnsi="Verdana"/>
              </w:rPr>
              <w:t xml:space="preserve"> stated that they believe there were no</w:t>
            </w:r>
            <w:r>
              <w:rPr>
                <w:rFonts w:ascii="Verdana" w:hAnsi="Verdana"/>
              </w:rPr>
              <w:t xml:space="preserve"> adverse</w:t>
            </w:r>
            <w:r w:rsidRPr="00446FEA">
              <w:rPr>
                <w:rFonts w:ascii="Verdana" w:hAnsi="Verdana"/>
              </w:rPr>
              <w:t xml:space="preserve"> issues </w:t>
            </w:r>
            <w:r>
              <w:rPr>
                <w:rFonts w:ascii="Verdana" w:hAnsi="Verdana"/>
              </w:rPr>
              <w:t>attending</w:t>
            </w:r>
            <w:r w:rsidRPr="00446FEA">
              <w:rPr>
                <w:rFonts w:ascii="Verdana" w:hAnsi="Verdana"/>
              </w:rPr>
              <w:t xml:space="preserve"> the procurement.  This </w:t>
            </w:r>
            <w:r>
              <w:rPr>
                <w:rFonts w:ascii="Verdana" w:hAnsi="Verdana"/>
              </w:rPr>
              <w:t>view ha</w:t>
            </w:r>
            <w:r w:rsidR="004C308B">
              <w:rPr>
                <w:rFonts w:ascii="Verdana" w:hAnsi="Verdana"/>
              </w:rPr>
              <w:t>d</w:t>
            </w:r>
            <w:r>
              <w:rPr>
                <w:rFonts w:ascii="Verdana" w:hAnsi="Verdana"/>
              </w:rPr>
              <w:t xml:space="preserve"> been</w:t>
            </w:r>
            <w:r w:rsidRPr="00446FEA">
              <w:rPr>
                <w:rFonts w:ascii="Verdana" w:hAnsi="Verdana"/>
              </w:rPr>
              <w:t xml:space="preserve"> endorsed by the Audit Committee, who noted that it was impressive that the College had managed to </w:t>
            </w:r>
            <w:r w:rsidR="004C308B">
              <w:rPr>
                <w:rFonts w:ascii="Verdana" w:hAnsi="Verdana"/>
              </w:rPr>
              <w:t>successfully procure equipment</w:t>
            </w:r>
            <w:r w:rsidRPr="00446FEA">
              <w:rPr>
                <w:rFonts w:ascii="Verdana" w:hAnsi="Verdana"/>
              </w:rPr>
              <w:t xml:space="preserve"> </w:t>
            </w:r>
            <w:r>
              <w:rPr>
                <w:rFonts w:ascii="Verdana" w:hAnsi="Verdana"/>
              </w:rPr>
              <w:t>at the time.</w:t>
            </w:r>
            <w:r w:rsidR="00E95636">
              <w:rPr>
                <w:rFonts w:ascii="Verdana" w:hAnsi="Verdana"/>
              </w:rPr>
              <w:t xml:space="preserve">  The College’s policy of prompt settlement of purchase invoices had positively assisted with maintaining supplies at a time of shortage. </w:t>
            </w:r>
          </w:p>
          <w:p w14:paraId="47FEFE86" w14:textId="1C7741A2" w:rsidR="00446FEA" w:rsidRDefault="00446FEA" w:rsidP="000F4119">
            <w:pPr>
              <w:tabs>
                <w:tab w:val="left" w:pos="5790"/>
              </w:tabs>
              <w:contextualSpacing/>
              <w:rPr>
                <w:rFonts w:ascii="Verdana" w:hAnsi="Verdana"/>
              </w:rPr>
            </w:pPr>
          </w:p>
          <w:p w14:paraId="5A2E449C" w14:textId="1466D6ED" w:rsidR="00446FEA" w:rsidRPr="00446FEA" w:rsidRDefault="00446FEA" w:rsidP="00446FEA">
            <w:pPr>
              <w:tabs>
                <w:tab w:val="left" w:pos="5790"/>
              </w:tabs>
              <w:contextualSpacing/>
              <w:rPr>
                <w:rFonts w:ascii="Verdana" w:hAnsi="Verdana"/>
              </w:rPr>
            </w:pPr>
            <w:r w:rsidRPr="00446FEA">
              <w:rPr>
                <w:rFonts w:ascii="Verdana" w:hAnsi="Verdana"/>
              </w:rPr>
              <w:t xml:space="preserve">Attention was drawn to the difficulty </w:t>
            </w:r>
            <w:r>
              <w:rPr>
                <w:rFonts w:ascii="Verdana" w:hAnsi="Verdana"/>
              </w:rPr>
              <w:t>during</w:t>
            </w:r>
            <w:r w:rsidRPr="00446FEA">
              <w:rPr>
                <w:rFonts w:ascii="Verdana" w:hAnsi="Verdana"/>
              </w:rPr>
              <w:t xml:space="preserve"> the continuing public health emergency of anticipating the future with </w:t>
            </w:r>
            <w:r w:rsidR="00851250">
              <w:rPr>
                <w:rFonts w:ascii="Verdana" w:hAnsi="Verdana"/>
              </w:rPr>
              <w:t>the normal level of</w:t>
            </w:r>
            <w:r w:rsidRPr="00446FEA">
              <w:rPr>
                <w:rFonts w:ascii="Verdana" w:hAnsi="Verdana"/>
              </w:rPr>
              <w:t xml:space="preserve"> confidence</w:t>
            </w:r>
            <w:r>
              <w:rPr>
                <w:rFonts w:ascii="Verdana" w:hAnsi="Verdana"/>
              </w:rPr>
              <w:t xml:space="preserve">. </w:t>
            </w:r>
            <w:r w:rsidRPr="00446FEA">
              <w:rPr>
                <w:rFonts w:ascii="Verdana" w:hAnsi="Verdana"/>
              </w:rPr>
              <w:t xml:space="preserve"> </w:t>
            </w:r>
            <w:r>
              <w:rPr>
                <w:rFonts w:ascii="Verdana" w:hAnsi="Verdana"/>
              </w:rPr>
              <w:t>However, t</w:t>
            </w:r>
            <w:r w:rsidRPr="00446FEA">
              <w:rPr>
                <w:rFonts w:ascii="Verdana" w:hAnsi="Verdana"/>
              </w:rPr>
              <w:t>he College does have funds in place to support catch</w:t>
            </w:r>
            <w:r>
              <w:rPr>
                <w:rFonts w:ascii="Verdana" w:hAnsi="Verdana"/>
              </w:rPr>
              <w:t>-</w:t>
            </w:r>
            <w:r w:rsidRPr="00446FEA">
              <w:rPr>
                <w:rFonts w:ascii="Verdana" w:hAnsi="Verdana"/>
              </w:rPr>
              <w:t>up work and</w:t>
            </w:r>
            <w:r>
              <w:rPr>
                <w:rFonts w:ascii="Verdana" w:hAnsi="Verdana"/>
              </w:rPr>
              <w:t xml:space="preserve"> finance</w:t>
            </w:r>
            <w:r w:rsidRPr="00446FEA">
              <w:rPr>
                <w:rFonts w:ascii="Verdana" w:hAnsi="Verdana"/>
              </w:rPr>
              <w:t xml:space="preserve"> the operational needs of delivering on the strategic plan </w:t>
            </w:r>
            <w:r>
              <w:rPr>
                <w:rFonts w:ascii="Verdana" w:hAnsi="Verdana"/>
              </w:rPr>
              <w:t>in 2020-21</w:t>
            </w:r>
            <w:r w:rsidRPr="00446FEA">
              <w:rPr>
                <w:rFonts w:ascii="Verdana" w:hAnsi="Verdana"/>
              </w:rPr>
              <w:t>.</w:t>
            </w:r>
          </w:p>
          <w:p w14:paraId="3C0B08A9" w14:textId="77777777" w:rsidR="00446FEA" w:rsidRPr="00810484" w:rsidRDefault="00446FEA" w:rsidP="00446FEA">
            <w:pPr>
              <w:rPr>
                <w:rFonts w:asciiTheme="minorHAnsi" w:hAnsiTheme="minorHAnsi"/>
              </w:rPr>
            </w:pPr>
          </w:p>
          <w:p w14:paraId="0E581C21" w14:textId="6ECAD0A3" w:rsidR="00446FEA" w:rsidRPr="00446FEA" w:rsidRDefault="00446FEA" w:rsidP="00446FEA">
            <w:pPr>
              <w:rPr>
                <w:rFonts w:ascii="Verdana" w:hAnsi="Verdana"/>
              </w:rPr>
            </w:pPr>
            <w:r w:rsidRPr="00446FEA">
              <w:rPr>
                <w:rFonts w:ascii="Verdana" w:hAnsi="Verdana"/>
              </w:rPr>
              <w:t>Further disruption (</w:t>
            </w:r>
            <w:r w:rsidR="00AC7FCA">
              <w:rPr>
                <w:rFonts w:ascii="Verdana" w:hAnsi="Verdana"/>
              </w:rPr>
              <w:t>e.g.</w:t>
            </w:r>
            <w:r w:rsidRPr="00446FEA">
              <w:rPr>
                <w:rFonts w:ascii="Verdana" w:hAnsi="Verdana"/>
              </w:rPr>
              <w:t xml:space="preserve"> another college closure) would </w:t>
            </w:r>
            <w:r>
              <w:rPr>
                <w:rFonts w:ascii="Verdana" w:hAnsi="Verdana"/>
              </w:rPr>
              <w:t>necessitate</w:t>
            </w:r>
            <w:r w:rsidRPr="00446FEA">
              <w:rPr>
                <w:rFonts w:ascii="Verdana" w:hAnsi="Verdana"/>
              </w:rPr>
              <w:t xml:space="preserve"> a review of expenditure, with some possibl</w:t>
            </w:r>
            <w:r w:rsidR="00851250">
              <w:rPr>
                <w:rFonts w:ascii="Verdana" w:hAnsi="Verdana"/>
              </w:rPr>
              <w:t>e</w:t>
            </w:r>
            <w:r w:rsidRPr="00446FEA">
              <w:rPr>
                <w:rFonts w:ascii="Verdana" w:hAnsi="Verdana"/>
              </w:rPr>
              <w:t xml:space="preserve"> reallocat</w:t>
            </w:r>
            <w:r w:rsidR="00851250">
              <w:rPr>
                <w:rFonts w:ascii="Verdana" w:hAnsi="Verdana"/>
              </w:rPr>
              <w:t>ion of funds</w:t>
            </w:r>
            <w:r>
              <w:rPr>
                <w:rFonts w:ascii="Verdana" w:hAnsi="Verdana"/>
              </w:rPr>
              <w:t xml:space="preserve"> </w:t>
            </w:r>
            <w:r w:rsidRPr="00446FEA">
              <w:rPr>
                <w:rFonts w:ascii="Verdana" w:hAnsi="Verdana"/>
              </w:rPr>
              <w:t xml:space="preserve">to mitigate </w:t>
            </w:r>
            <w:r w:rsidR="00E95636">
              <w:rPr>
                <w:rFonts w:ascii="Verdana" w:hAnsi="Verdana"/>
              </w:rPr>
              <w:t>its</w:t>
            </w:r>
            <w:r w:rsidRPr="00446FEA">
              <w:rPr>
                <w:rFonts w:ascii="Verdana" w:hAnsi="Verdana"/>
              </w:rPr>
              <w:t xml:space="preserve"> effects.</w:t>
            </w:r>
          </w:p>
          <w:p w14:paraId="653BE492" w14:textId="77777777" w:rsidR="00446FEA" w:rsidRPr="00810484" w:rsidRDefault="00446FEA" w:rsidP="00446FEA">
            <w:pPr>
              <w:rPr>
                <w:rFonts w:asciiTheme="minorHAnsi" w:hAnsiTheme="minorHAnsi"/>
              </w:rPr>
            </w:pPr>
          </w:p>
          <w:p w14:paraId="45BC92ED" w14:textId="016D99B5" w:rsidR="00446FEA" w:rsidRPr="00446FEA" w:rsidRDefault="00446FEA" w:rsidP="00446FEA">
            <w:pPr>
              <w:rPr>
                <w:rFonts w:ascii="Verdana" w:hAnsi="Verdana"/>
              </w:rPr>
            </w:pPr>
            <w:r w:rsidRPr="00446FEA">
              <w:rPr>
                <w:rFonts w:ascii="Verdana" w:hAnsi="Verdana"/>
              </w:rPr>
              <w:t xml:space="preserve">The College’s cash flow remains strong, with </w:t>
            </w:r>
            <w:r>
              <w:rPr>
                <w:rFonts w:ascii="Verdana" w:hAnsi="Verdana"/>
              </w:rPr>
              <w:t>no issues presently attending liquidity</w:t>
            </w:r>
            <w:r w:rsidRPr="00446FEA">
              <w:rPr>
                <w:rFonts w:ascii="Verdana" w:hAnsi="Verdana"/>
              </w:rPr>
              <w:t>.</w:t>
            </w:r>
          </w:p>
          <w:p w14:paraId="279B78CE" w14:textId="77777777" w:rsidR="00446FEA" w:rsidRDefault="00446FEA" w:rsidP="0086749B">
            <w:pPr>
              <w:contextualSpacing/>
              <w:rPr>
                <w:rFonts w:ascii="Verdana" w:hAnsi="Verdana"/>
              </w:rPr>
            </w:pPr>
          </w:p>
          <w:p w14:paraId="79F3925B" w14:textId="45A909AA" w:rsidR="0086749B" w:rsidRPr="00DE41DD" w:rsidRDefault="0086749B" w:rsidP="0086749B">
            <w:pPr>
              <w:contextualSpacing/>
              <w:rPr>
                <w:rFonts w:ascii="Verdana" w:hAnsi="Verdana" w:cs="Arial"/>
              </w:rPr>
            </w:pPr>
            <w:r w:rsidRPr="00DE41DD">
              <w:rPr>
                <w:rFonts w:ascii="Verdana" w:hAnsi="Verdana" w:cs="Arial"/>
              </w:rPr>
              <w:t>The management accounts were recommended for consideration by the Corporation at the meeting to be held on 1</w:t>
            </w:r>
            <w:r w:rsidR="002D019D">
              <w:rPr>
                <w:rFonts w:ascii="Verdana" w:hAnsi="Verdana" w:cs="Arial"/>
              </w:rPr>
              <w:t>5</w:t>
            </w:r>
            <w:r w:rsidRPr="00DE41DD">
              <w:rPr>
                <w:rFonts w:ascii="Verdana" w:hAnsi="Verdana" w:cs="Arial"/>
              </w:rPr>
              <w:t xml:space="preserve"> December 20</w:t>
            </w:r>
            <w:r w:rsidR="002D019D">
              <w:rPr>
                <w:rFonts w:ascii="Verdana" w:hAnsi="Verdana" w:cs="Arial"/>
              </w:rPr>
              <w:t>20</w:t>
            </w:r>
            <w:r w:rsidRPr="00DE41DD">
              <w:rPr>
                <w:rFonts w:ascii="Verdana" w:hAnsi="Verdana" w:cs="Arial"/>
              </w:rPr>
              <w:t>.</w:t>
            </w:r>
          </w:p>
        </w:tc>
      </w:tr>
    </w:tbl>
    <w:p w14:paraId="321B0869" w14:textId="79315C52" w:rsidR="00AC7FCA" w:rsidRDefault="00AC7FCA" w:rsidP="004F4C55"/>
    <w:p w14:paraId="75AFB3E4" w14:textId="709526A4" w:rsidR="00C54211" w:rsidRDefault="00C54211" w:rsidP="004F4C55"/>
    <w:p w14:paraId="24F84250" w14:textId="6314BDB8" w:rsidR="00C54211" w:rsidRDefault="00C54211" w:rsidP="004F4C55"/>
    <w:p w14:paraId="2DBF20B3" w14:textId="1856393D" w:rsidR="00C54211" w:rsidRDefault="00C54211" w:rsidP="004F4C55"/>
    <w:p w14:paraId="3EDE9434" w14:textId="7BE86DD2" w:rsidR="00C54211" w:rsidRDefault="00C54211" w:rsidP="004F4C55"/>
    <w:p w14:paraId="1ECA16D0" w14:textId="49D9F76A" w:rsidR="00C54211" w:rsidRDefault="00C54211" w:rsidP="004F4C55"/>
    <w:p w14:paraId="49F56CC8" w14:textId="675B153D" w:rsidR="00C54211" w:rsidRDefault="00C54211" w:rsidP="004F4C55"/>
    <w:p w14:paraId="2C4AA42C" w14:textId="4688EBC0" w:rsidR="00C54211" w:rsidRDefault="00C54211" w:rsidP="004F4C55"/>
    <w:p w14:paraId="0DC8EE55" w14:textId="706BF497" w:rsidR="00C54211" w:rsidRDefault="00C54211" w:rsidP="004F4C55"/>
    <w:p w14:paraId="78932A28" w14:textId="40C5308D" w:rsidR="00C54211" w:rsidRDefault="00C54211" w:rsidP="004F4C55"/>
    <w:p w14:paraId="67E459FA" w14:textId="77777777" w:rsidR="00C54211" w:rsidRDefault="00C54211" w:rsidP="004F4C55"/>
    <w:tbl>
      <w:tblPr>
        <w:tblW w:w="9351" w:type="dxa"/>
        <w:tblLook w:val="04A0" w:firstRow="1" w:lastRow="0" w:firstColumn="1" w:lastColumn="0" w:noHBand="0" w:noVBand="1"/>
      </w:tblPr>
      <w:tblGrid>
        <w:gridCol w:w="544"/>
        <w:gridCol w:w="8807"/>
      </w:tblGrid>
      <w:tr w:rsidR="00A71A30" w:rsidRPr="006B53B2" w14:paraId="26A12B2A" w14:textId="77777777" w:rsidTr="00C54211">
        <w:tc>
          <w:tcPr>
            <w:tcW w:w="534" w:type="dxa"/>
          </w:tcPr>
          <w:p w14:paraId="01F6ECFA" w14:textId="4C8CBF66" w:rsidR="00A71A30" w:rsidRPr="006B53B2" w:rsidRDefault="006B53B2" w:rsidP="00706434">
            <w:pPr>
              <w:rPr>
                <w:rFonts w:ascii="Verdana" w:hAnsi="Verdana"/>
                <w:b/>
                <w:color w:val="FF0000"/>
              </w:rPr>
            </w:pPr>
            <w:r w:rsidRPr="006B53B2">
              <w:rPr>
                <w:rFonts w:ascii="Verdana" w:hAnsi="Verdana"/>
                <w:b/>
              </w:rPr>
              <w:lastRenderedPageBreak/>
              <w:t>10</w:t>
            </w:r>
          </w:p>
        </w:tc>
        <w:tc>
          <w:tcPr>
            <w:tcW w:w="8646" w:type="dxa"/>
          </w:tcPr>
          <w:p w14:paraId="78EDD43C" w14:textId="77777777" w:rsidR="00A71A30" w:rsidRPr="006B53B2" w:rsidRDefault="00A71A30" w:rsidP="00706434">
            <w:pPr>
              <w:pStyle w:val="NoSpacing"/>
              <w:rPr>
                <w:rFonts w:ascii="Verdana" w:hAnsi="Verdana"/>
                <w:b/>
              </w:rPr>
            </w:pPr>
            <w:r w:rsidRPr="006B53B2">
              <w:rPr>
                <w:rFonts w:ascii="Verdana" w:hAnsi="Verdana"/>
                <w:b/>
              </w:rPr>
              <w:t>Student Numbers: Impact on College Finances</w:t>
            </w:r>
          </w:p>
          <w:p w14:paraId="56F40273" w14:textId="77777777" w:rsidR="00A71A30" w:rsidRPr="006B53B2" w:rsidRDefault="00A71A30" w:rsidP="00706434">
            <w:pPr>
              <w:contextualSpacing/>
              <w:rPr>
                <w:rFonts w:ascii="Verdana" w:hAnsi="Verdana" w:cs="Arial"/>
              </w:rPr>
            </w:pPr>
          </w:p>
          <w:p w14:paraId="6A0EE1E6" w14:textId="33C9BE44" w:rsidR="00A71A30" w:rsidRPr="006B53B2" w:rsidRDefault="00A71A30" w:rsidP="00706434">
            <w:pPr>
              <w:pStyle w:val="NoSpacing"/>
              <w:rPr>
                <w:rFonts w:ascii="Verdana" w:hAnsi="Verdana"/>
              </w:rPr>
            </w:pPr>
            <w:r w:rsidRPr="006B53B2">
              <w:rPr>
                <w:rFonts w:ascii="Verdana" w:hAnsi="Verdana"/>
              </w:rPr>
              <w:t>A report, prepared by the Vice Principal: Corporate Services was received and considered.</w:t>
            </w:r>
          </w:p>
          <w:p w14:paraId="57FD1283" w14:textId="77777777" w:rsidR="00A71A30" w:rsidRPr="006B53B2" w:rsidRDefault="00A71A30" w:rsidP="00706434">
            <w:pPr>
              <w:contextualSpacing/>
              <w:rPr>
                <w:rFonts w:ascii="Verdana" w:hAnsi="Verdana" w:cs="Arial"/>
              </w:rPr>
            </w:pPr>
          </w:p>
          <w:p w14:paraId="22BC2341" w14:textId="0859FF25" w:rsidR="00A71A30" w:rsidRPr="006B53B2" w:rsidRDefault="00A71A30" w:rsidP="00706434">
            <w:pPr>
              <w:contextualSpacing/>
              <w:rPr>
                <w:rFonts w:ascii="Verdana" w:hAnsi="Verdana" w:cs="Arial"/>
                <w:color w:val="FF0000"/>
              </w:rPr>
            </w:pPr>
            <w:r w:rsidRPr="006B53B2">
              <w:rPr>
                <w:rFonts w:ascii="Verdana" w:hAnsi="Verdana" w:cs="Arial"/>
              </w:rPr>
              <w:t xml:space="preserve">It was </w:t>
            </w:r>
            <w:r w:rsidR="00702927" w:rsidRPr="006B53B2">
              <w:rPr>
                <w:rFonts w:ascii="Verdana" w:hAnsi="Verdana" w:cs="Arial"/>
              </w:rPr>
              <w:t>no</w:t>
            </w:r>
            <w:r w:rsidRPr="006B53B2">
              <w:rPr>
                <w:rFonts w:ascii="Verdana" w:hAnsi="Verdana" w:cs="Arial"/>
              </w:rPr>
              <w:t>ted that:</w:t>
            </w:r>
          </w:p>
        </w:tc>
      </w:tr>
    </w:tbl>
    <w:p w14:paraId="7CA243CA" w14:textId="008A4225" w:rsidR="00A71A30" w:rsidRPr="006B53B2" w:rsidRDefault="00A71A30" w:rsidP="004F4C55">
      <w:pPr>
        <w:rPr>
          <w:rFonts w:ascii="Verdana" w:hAnsi="Verdana"/>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429"/>
        <w:gridCol w:w="8355"/>
      </w:tblGrid>
      <w:tr w:rsidR="003C23B2" w:rsidRPr="006B53B2" w14:paraId="0E92D8A9" w14:textId="77777777" w:rsidTr="00C54211">
        <w:tc>
          <w:tcPr>
            <w:tcW w:w="538" w:type="dxa"/>
          </w:tcPr>
          <w:p w14:paraId="3D7B3BA2" w14:textId="77777777" w:rsidR="003C23B2" w:rsidRPr="006B53B2" w:rsidRDefault="003C23B2" w:rsidP="005A3352">
            <w:pPr>
              <w:rPr>
                <w:rFonts w:ascii="Verdana" w:hAnsi="Verdana"/>
              </w:rPr>
            </w:pPr>
          </w:p>
        </w:tc>
        <w:tc>
          <w:tcPr>
            <w:tcW w:w="429" w:type="dxa"/>
          </w:tcPr>
          <w:p w14:paraId="3BAB8C65" w14:textId="77777777" w:rsidR="003C23B2" w:rsidRPr="006B53B2" w:rsidRDefault="003C23B2" w:rsidP="005A3352">
            <w:pPr>
              <w:rPr>
                <w:rFonts w:ascii="Verdana" w:hAnsi="Verdana"/>
                <w:b/>
              </w:rPr>
            </w:pPr>
            <w:r w:rsidRPr="006B53B2">
              <w:rPr>
                <w:rFonts w:ascii="Verdana" w:hAnsi="Verdana"/>
                <w:b/>
              </w:rPr>
              <w:t>.</w:t>
            </w:r>
          </w:p>
        </w:tc>
        <w:tc>
          <w:tcPr>
            <w:tcW w:w="8355" w:type="dxa"/>
          </w:tcPr>
          <w:p w14:paraId="5DFEF55B" w14:textId="32AC4868" w:rsidR="006B53B2" w:rsidRPr="006B53B2" w:rsidRDefault="006B53B2" w:rsidP="006B53B2">
            <w:pPr>
              <w:rPr>
                <w:rFonts w:ascii="Verdana" w:hAnsi="Verdana" w:cs="Arial"/>
                <w:lang w:eastAsia="en-GB"/>
              </w:rPr>
            </w:pPr>
            <w:r w:rsidRPr="006B53B2">
              <w:rPr>
                <w:rFonts w:ascii="Verdana" w:hAnsi="Verdana" w:cs="Arial"/>
                <w:lang w:eastAsia="en-GB"/>
              </w:rPr>
              <w:t>the College’s two-year financial forecast had been predicated on</w:t>
            </w:r>
            <w:r w:rsidR="009815B4">
              <w:rPr>
                <w:rFonts w:ascii="Verdana" w:hAnsi="Verdana" w:cs="Arial"/>
                <w:lang w:eastAsia="en-GB"/>
              </w:rPr>
              <w:t xml:space="preserve"> an enrolment of</w:t>
            </w:r>
            <w:r w:rsidRPr="006B53B2">
              <w:rPr>
                <w:rFonts w:ascii="Verdana" w:hAnsi="Verdana" w:cs="Arial"/>
                <w:lang w:eastAsia="en-GB"/>
              </w:rPr>
              <w:t xml:space="preserve"> 1,820 students, </w:t>
            </w:r>
            <w:r w:rsidR="009815B4">
              <w:rPr>
                <w:rFonts w:ascii="Verdana" w:hAnsi="Verdana" w:cs="Arial"/>
                <w:lang w:eastAsia="en-GB"/>
              </w:rPr>
              <w:t xml:space="preserve">but </w:t>
            </w:r>
            <w:r w:rsidRPr="006B53B2">
              <w:rPr>
                <w:rFonts w:ascii="Verdana" w:hAnsi="Verdana" w:cs="Arial"/>
                <w:lang w:eastAsia="en-GB"/>
              </w:rPr>
              <w:t xml:space="preserve">the actual number recruited in 2020 </w:t>
            </w:r>
            <w:r w:rsidR="009815B4">
              <w:rPr>
                <w:rFonts w:ascii="Verdana" w:hAnsi="Verdana" w:cs="Arial"/>
                <w:lang w:eastAsia="en-GB"/>
              </w:rPr>
              <w:t>(1,795) entail</w:t>
            </w:r>
            <w:r w:rsidRPr="006B53B2">
              <w:rPr>
                <w:rFonts w:ascii="Verdana" w:hAnsi="Verdana" w:cs="Arial"/>
                <w:lang w:eastAsia="en-GB"/>
              </w:rPr>
              <w:t>s a shortfall of approximately £140,000</w:t>
            </w:r>
            <w:r w:rsidR="00E95636">
              <w:rPr>
                <w:rFonts w:ascii="Verdana" w:hAnsi="Verdana" w:cs="Arial"/>
                <w:lang w:eastAsia="en-GB"/>
              </w:rPr>
              <w:t xml:space="preserve"> – this may be ameliorated by an uplift in the funding rate for students aged 16-19, implied in the Spending Review, should it be announced</w:t>
            </w:r>
            <w:r w:rsidRPr="006B53B2">
              <w:rPr>
                <w:rFonts w:ascii="Verdana" w:hAnsi="Verdana" w:cs="Arial"/>
                <w:lang w:eastAsia="en-GB"/>
              </w:rPr>
              <w:t>;</w:t>
            </w:r>
          </w:p>
          <w:p w14:paraId="3F35D0AA" w14:textId="2A5C9922" w:rsidR="00702927" w:rsidRPr="006B53B2" w:rsidRDefault="00702927" w:rsidP="005A3352">
            <w:pPr>
              <w:contextualSpacing/>
              <w:rPr>
                <w:rFonts w:ascii="Verdana" w:hAnsi="Verdana" w:cs="Arial"/>
              </w:rPr>
            </w:pPr>
          </w:p>
        </w:tc>
      </w:tr>
      <w:tr w:rsidR="003C23B2" w14:paraId="0E03D9FA" w14:textId="77777777" w:rsidTr="00C54211">
        <w:tc>
          <w:tcPr>
            <w:tcW w:w="538" w:type="dxa"/>
          </w:tcPr>
          <w:p w14:paraId="03742808" w14:textId="77777777" w:rsidR="003C23B2" w:rsidRPr="00D1552C" w:rsidRDefault="003C23B2" w:rsidP="005A3352">
            <w:pPr>
              <w:rPr>
                <w:rFonts w:ascii="Verdana" w:hAnsi="Verdana"/>
              </w:rPr>
            </w:pPr>
          </w:p>
        </w:tc>
        <w:tc>
          <w:tcPr>
            <w:tcW w:w="429" w:type="dxa"/>
          </w:tcPr>
          <w:p w14:paraId="1A306B8A" w14:textId="1EB95F69" w:rsidR="003C23B2" w:rsidRPr="00D1552C" w:rsidRDefault="003C23B2" w:rsidP="005A3352">
            <w:pPr>
              <w:rPr>
                <w:rFonts w:ascii="Verdana" w:hAnsi="Verdana"/>
                <w:b/>
              </w:rPr>
            </w:pPr>
            <w:r w:rsidRPr="00D1552C">
              <w:rPr>
                <w:rFonts w:ascii="Verdana" w:hAnsi="Verdana"/>
                <w:b/>
              </w:rPr>
              <w:t>.</w:t>
            </w:r>
          </w:p>
        </w:tc>
        <w:tc>
          <w:tcPr>
            <w:tcW w:w="8355" w:type="dxa"/>
          </w:tcPr>
          <w:p w14:paraId="66996792" w14:textId="2890EEC8" w:rsidR="009815B4" w:rsidRDefault="009815B4" w:rsidP="009815B4">
            <w:pPr>
              <w:contextualSpacing/>
              <w:rPr>
                <w:rFonts w:ascii="Verdana" w:hAnsi="Verdana" w:cs="Arial"/>
                <w:lang w:eastAsia="en-GB"/>
              </w:rPr>
            </w:pPr>
            <w:r w:rsidRPr="009815B4">
              <w:rPr>
                <w:rFonts w:ascii="Verdana" w:hAnsi="Verdana" w:cs="Arial"/>
                <w:lang w:eastAsia="en-GB"/>
              </w:rPr>
              <w:t>despite the ESFA formal deadline for a 2021-22 budget submission having reverted</w:t>
            </w:r>
            <w:r w:rsidRPr="009815B4">
              <w:rPr>
                <w:rFonts w:ascii="Verdana" w:hAnsi="Verdana" w:cs="Arial"/>
                <w:color w:val="FF0000"/>
                <w:lang w:eastAsia="en-GB"/>
              </w:rPr>
              <w:t xml:space="preserve"> </w:t>
            </w:r>
            <w:r w:rsidRPr="009815B4">
              <w:rPr>
                <w:rFonts w:ascii="Verdana" w:hAnsi="Verdana" w:cs="Arial"/>
                <w:lang w:eastAsia="en-GB"/>
              </w:rPr>
              <w:t>to 31 July 2021, the College intends to bring a budget to the</w:t>
            </w:r>
            <w:r w:rsidRPr="00E95636">
              <w:rPr>
                <w:rFonts w:ascii="Verdana" w:hAnsi="Verdana" w:cs="Arial"/>
                <w:color w:val="FF0000"/>
                <w:lang w:eastAsia="en-GB"/>
              </w:rPr>
              <w:t xml:space="preserve"> </w:t>
            </w:r>
            <w:r w:rsidR="005356BF" w:rsidRPr="00E95636">
              <w:rPr>
                <w:rFonts w:ascii="Verdana" w:hAnsi="Verdana" w:cs="Arial"/>
                <w:lang w:eastAsia="en-GB"/>
              </w:rPr>
              <w:t>March</w:t>
            </w:r>
            <w:r w:rsidRPr="00E95636">
              <w:rPr>
                <w:rFonts w:ascii="Verdana" w:hAnsi="Verdana" w:cs="Arial"/>
                <w:color w:val="FF0000"/>
                <w:lang w:eastAsia="en-GB"/>
              </w:rPr>
              <w:t xml:space="preserve"> </w:t>
            </w:r>
            <w:r w:rsidRPr="009815B4">
              <w:rPr>
                <w:rFonts w:ascii="Verdana" w:hAnsi="Verdana" w:cs="Arial"/>
                <w:lang w:eastAsia="en-GB"/>
              </w:rPr>
              <w:t xml:space="preserve">Resources Committee meeting showing a draft break-even </w:t>
            </w:r>
            <w:r w:rsidR="00E95636">
              <w:rPr>
                <w:rFonts w:ascii="Verdana" w:hAnsi="Verdana" w:cs="Arial"/>
                <w:lang w:eastAsia="en-GB"/>
              </w:rPr>
              <w:t>outcome</w:t>
            </w:r>
            <w:r w:rsidRPr="009815B4">
              <w:rPr>
                <w:rFonts w:ascii="Verdana" w:hAnsi="Verdana" w:cs="Arial"/>
                <w:lang w:eastAsia="en-GB"/>
              </w:rPr>
              <w:t xml:space="preserve">; </w:t>
            </w:r>
          </w:p>
          <w:p w14:paraId="4E9A3C30" w14:textId="05C4B67C" w:rsidR="009815B4" w:rsidRPr="009815B4" w:rsidRDefault="009815B4" w:rsidP="009815B4">
            <w:pPr>
              <w:contextualSpacing/>
              <w:rPr>
                <w:rFonts w:ascii="Verdana" w:hAnsi="Verdana" w:cs="Arial"/>
              </w:rPr>
            </w:pPr>
          </w:p>
        </w:tc>
      </w:tr>
      <w:tr w:rsidR="003C23B2" w14:paraId="4012E9F2" w14:textId="77777777" w:rsidTr="00C54211">
        <w:tc>
          <w:tcPr>
            <w:tcW w:w="538" w:type="dxa"/>
          </w:tcPr>
          <w:p w14:paraId="44CE0BCF" w14:textId="77777777" w:rsidR="003C23B2" w:rsidRPr="00D1552C" w:rsidRDefault="003C23B2" w:rsidP="005A3352">
            <w:pPr>
              <w:rPr>
                <w:rFonts w:ascii="Verdana" w:hAnsi="Verdana"/>
              </w:rPr>
            </w:pPr>
          </w:p>
        </w:tc>
        <w:tc>
          <w:tcPr>
            <w:tcW w:w="429" w:type="dxa"/>
          </w:tcPr>
          <w:p w14:paraId="2FA7E2AF" w14:textId="488DF23F" w:rsidR="003C23B2" w:rsidRPr="00D1552C" w:rsidRDefault="003C23B2" w:rsidP="005A3352">
            <w:pPr>
              <w:rPr>
                <w:rFonts w:ascii="Verdana" w:hAnsi="Verdana"/>
                <w:b/>
              </w:rPr>
            </w:pPr>
            <w:r w:rsidRPr="00D1552C">
              <w:rPr>
                <w:rFonts w:ascii="Verdana" w:hAnsi="Verdana"/>
                <w:b/>
              </w:rPr>
              <w:t>.</w:t>
            </w:r>
          </w:p>
        </w:tc>
        <w:tc>
          <w:tcPr>
            <w:tcW w:w="8355" w:type="dxa"/>
          </w:tcPr>
          <w:p w14:paraId="4009C9FE" w14:textId="58BA7FC6" w:rsidR="009815B4" w:rsidRPr="009815B4" w:rsidRDefault="009815B4" w:rsidP="009815B4">
            <w:pPr>
              <w:contextualSpacing/>
              <w:rPr>
                <w:rFonts w:ascii="Verdana" w:hAnsi="Verdana" w:cs="Arial"/>
                <w:i/>
                <w:iCs/>
                <w:lang w:eastAsia="en-GB"/>
              </w:rPr>
            </w:pPr>
            <w:r>
              <w:rPr>
                <w:rFonts w:ascii="Verdana" w:hAnsi="Verdana" w:cs="Arial"/>
                <w:lang w:eastAsia="en-GB"/>
              </w:rPr>
              <w:t>there is the potential for</w:t>
            </w:r>
            <w:r w:rsidRPr="009815B4">
              <w:rPr>
                <w:rFonts w:ascii="Verdana" w:hAnsi="Verdana" w:cs="Arial"/>
                <w:lang w:eastAsia="en-GB"/>
              </w:rPr>
              <w:t xml:space="preserve"> </w:t>
            </w:r>
            <w:r>
              <w:rPr>
                <w:rFonts w:ascii="Verdana" w:hAnsi="Verdana" w:cs="Arial"/>
                <w:lang w:eastAsia="en-GB"/>
              </w:rPr>
              <w:t xml:space="preserve">the College’s </w:t>
            </w:r>
            <w:r w:rsidRPr="009815B4">
              <w:rPr>
                <w:rFonts w:ascii="Verdana" w:hAnsi="Verdana" w:cs="Arial"/>
                <w:lang w:eastAsia="en-GB"/>
              </w:rPr>
              <w:t xml:space="preserve">financial health to return to </w:t>
            </w:r>
            <w:r>
              <w:rPr>
                <w:rFonts w:ascii="Verdana" w:hAnsi="Verdana" w:cs="Arial"/>
                <w:lang w:eastAsia="en-GB"/>
              </w:rPr>
              <w:t>O</w:t>
            </w:r>
            <w:r w:rsidRPr="009815B4">
              <w:rPr>
                <w:rFonts w:ascii="Verdana" w:hAnsi="Verdana" w:cs="Arial"/>
                <w:lang w:eastAsia="en-GB"/>
              </w:rPr>
              <w:t>utstanding, dependent on expenditure decisions</w:t>
            </w:r>
            <w:r>
              <w:rPr>
                <w:rFonts w:ascii="Verdana" w:hAnsi="Verdana" w:cs="Arial"/>
                <w:lang w:eastAsia="en-GB"/>
              </w:rPr>
              <w:t>, but</w:t>
            </w:r>
            <w:r w:rsidRPr="009815B4">
              <w:rPr>
                <w:rFonts w:ascii="Verdana" w:hAnsi="Verdana" w:cs="Arial"/>
                <w:lang w:eastAsia="en-GB"/>
              </w:rPr>
              <w:t xml:space="preserve"> </w:t>
            </w:r>
            <w:r>
              <w:rPr>
                <w:rFonts w:ascii="Verdana" w:hAnsi="Verdana" w:cs="Arial"/>
                <w:lang w:eastAsia="en-GB"/>
              </w:rPr>
              <w:t>a</w:t>
            </w:r>
            <w:r w:rsidRPr="009815B4">
              <w:rPr>
                <w:rFonts w:ascii="Verdana" w:hAnsi="Verdana" w:cs="Arial"/>
                <w:lang w:eastAsia="en-GB"/>
              </w:rPr>
              <w:t>t the very least it would return to the top of the Good grade</w:t>
            </w:r>
            <w:r>
              <w:rPr>
                <w:rFonts w:ascii="Verdana" w:hAnsi="Verdana" w:cs="Arial"/>
                <w:lang w:eastAsia="en-GB"/>
              </w:rPr>
              <w:t>;</w:t>
            </w:r>
            <w:r>
              <w:rPr>
                <w:rFonts w:ascii="Verdana" w:hAnsi="Verdana" w:cs="Arial"/>
                <w:i/>
                <w:iCs/>
                <w:lang w:eastAsia="en-GB"/>
              </w:rPr>
              <w:t xml:space="preserve"> a</w:t>
            </w:r>
            <w:r w:rsidRPr="009815B4">
              <w:rPr>
                <w:rFonts w:ascii="Verdana" w:hAnsi="Verdana" w:cs="Arial"/>
                <w:i/>
                <w:iCs/>
                <w:lang w:eastAsia="en-GB"/>
              </w:rPr>
              <w:t>nd</w:t>
            </w:r>
          </w:p>
          <w:p w14:paraId="56B02F49" w14:textId="0AF8B6BA" w:rsidR="00B84AD3" w:rsidRPr="009815B4" w:rsidRDefault="00B84AD3" w:rsidP="005A3352">
            <w:pPr>
              <w:contextualSpacing/>
              <w:rPr>
                <w:rFonts w:ascii="Verdana" w:hAnsi="Verdana" w:cs="Arial"/>
              </w:rPr>
            </w:pPr>
          </w:p>
        </w:tc>
      </w:tr>
      <w:tr w:rsidR="00B84AD3" w:rsidRPr="009815B4" w14:paraId="28DE8722" w14:textId="77777777" w:rsidTr="00C54211">
        <w:tc>
          <w:tcPr>
            <w:tcW w:w="538" w:type="dxa"/>
          </w:tcPr>
          <w:p w14:paraId="7C6A042E" w14:textId="77777777" w:rsidR="00B84AD3" w:rsidRPr="009815B4" w:rsidRDefault="00B84AD3" w:rsidP="005A3352">
            <w:pPr>
              <w:rPr>
                <w:rFonts w:ascii="Verdana" w:hAnsi="Verdana"/>
              </w:rPr>
            </w:pPr>
          </w:p>
        </w:tc>
        <w:tc>
          <w:tcPr>
            <w:tcW w:w="429" w:type="dxa"/>
          </w:tcPr>
          <w:p w14:paraId="0A2F468F" w14:textId="62D9D80F" w:rsidR="00B84AD3" w:rsidRPr="009815B4" w:rsidRDefault="00B84AD3" w:rsidP="005A3352">
            <w:pPr>
              <w:rPr>
                <w:rFonts w:ascii="Verdana" w:hAnsi="Verdana"/>
                <w:b/>
              </w:rPr>
            </w:pPr>
            <w:r w:rsidRPr="009815B4">
              <w:rPr>
                <w:rFonts w:ascii="Verdana" w:hAnsi="Verdana"/>
                <w:b/>
              </w:rPr>
              <w:t>.</w:t>
            </w:r>
          </w:p>
        </w:tc>
        <w:tc>
          <w:tcPr>
            <w:tcW w:w="8355" w:type="dxa"/>
          </w:tcPr>
          <w:p w14:paraId="52B29A83" w14:textId="50CF45EA" w:rsidR="00B84AD3" w:rsidRPr="009815B4" w:rsidRDefault="001D3374" w:rsidP="005A3352">
            <w:pPr>
              <w:contextualSpacing/>
              <w:rPr>
                <w:rFonts w:ascii="Verdana" w:hAnsi="Verdana" w:cs="Arial"/>
                <w:lang w:eastAsia="en-GB"/>
              </w:rPr>
            </w:pPr>
            <w:r w:rsidRPr="009815B4">
              <w:rPr>
                <w:rFonts w:ascii="Verdana" w:hAnsi="Verdana" w:cs="Arial"/>
                <w:lang w:eastAsia="en-GB"/>
              </w:rPr>
              <w:t>there are additional risk factors to be considered, namely that:</w:t>
            </w:r>
          </w:p>
        </w:tc>
      </w:tr>
    </w:tbl>
    <w:p w14:paraId="708FEAB1" w14:textId="10197559" w:rsidR="003C23B2" w:rsidRPr="009815B4" w:rsidRDefault="003C23B2" w:rsidP="004F4C55">
      <w:pPr>
        <w:rPr>
          <w:rFonts w:ascii="Verdana" w:hAnsi="Verdana"/>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426"/>
        <w:gridCol w:w="296"/>
        <w:gridCol w:w="8068"/>
      </w:tblGrid>
      <w:tr w:rsidR="001D3374" w:rsidRPr="009815B4" w14:paraId="18B0FD69" w14:textId="77777777" w:rsidTr="00C54211">
        <w:tc>
          <w:tcPr>
            <w:tcW w:w="561" w:type="dxa"/>
          </w:tcPr>
          <w:p w14:paraId="0E2E1E0F" w14:textId="77777777" w:rsidR="001D3374" w:rsidRPr="009815B4" w:rsidRDefault="001D3374" w:rsidP="004F4C55">
            <w:pPr>
              <w:rPr>
                <w:rFonts w:ascii="Verdana" w:hAnsi="Verdana"/>
              </w:rPr>
            </w:pPr>
          </w:p>
        </w:tc>
        <w:tc>
          <w:tcPr>
            <w:tcW w:w="426" w:type="dxa"/>
          </w:tcPr>
          <w:p w14:paraId="1A43DDCC" w14:textId="77777777" w:rsidR="001D3374" w:rsidRPr="009815B4" w:rsidRDefault="001D3374" w:rsidP="004F4C55">
            <w:pPr>
              <w:rPr>
                <w:rFonts w:ascii="Verdana" w:hAnsi="Verdana"/>
              </w:rPr>
            </w:pPr>
          </w:p>
        </w:tc>
        <w:tc>
          <w:tcPr>
            <w:tcW w:w="296" w:type="dxa"/>
          </w:tcPr>
          <w:p w14:paraId="38A0A55D" w14:textId="3302C5AF" w:rsidR="001D3374" w:rsidRPr="009815B4" w:rsidRDefault="001D3374" w:rsidP="004F4C55">
            <w:pPr>
              <w:rPr>
                <w:rFonts w:ascii="Verdana" w:hAnsi="Verdana"/>
                <w:b/>
                <w:bCs/>
              </w:rPr>
            </w:pPr>
            <w:r w:rsidRPr="009815B4">
              <w:rPr>
                <w:rFonts w:ascii="Verdana" w:hAnsi="Verdana"/>
                <w:b/>
                <w:bCs/>
              </w:rPr>
              <w:t>.</w:t>
            </w:r>
          </w:p>
        </w:tc>
        <w:tc>
          <w:tcPr>
            <w:tcW w:w="8068" w:type="dxa"/>
          </w:tcPr>
          <w:p w14:paraId="00CC06E3" w14:textId="01A20B4F" w:rsidR="001D3374" w:rsidRPr="009815B4" w:rsidRDefault="009815B4" w:rsidP="004F4C55">
            <w:pPr>
              <w:rPr>
                <w:rFonts w:ascii="Verdana" w:hAnsi="Verdana" w:cs="Arial"/>
                <w:lang w:eastAsia="en-GB"/>
              </w:rPr>
            </w:pPr>
            <w:r w:rsidRPr="009815B4">
              <w:rPr>
                <w:rFonts w:ascii="Verdana" w:hAnsi="Verdana" w:cs="Arial"/>
                <w:lang w:eastAsia="en-GB"/>
              </w:rPr>
              <w:t>the Teachers’ Pension Scheme (TPS) raised the employer contribution rate from 16.48% to 23.68% from September 2019 (largely owing to a change in the discount rate) - it has been guaranteed that additional ESFA funding will be made available to cover this increase at least to March 2022, the annual impact of this loss being approximately £150,000</w:t>
            </w:r>
            <w:r w:rsidR="001D3374" w:rsidRPr="009815B4">
              <w:rPr>
                <w:rFonts w:ascii="Verdana" w:hAnsi="Verdana" w:cs="Arial"/>
                <w:lang w:eastAsia="en-GB"/>
              </w:rPr>
              <w:t xml:space="preserve">; </w:t>
            </w:r>
            <w:r w:rsidR="001D3374" w:rsidRPr="009815B4">
              <w:rPr>
                <w:rFonts w:ascii="Verdana" w:hAnsi="Verdana" w:cs="Arial"/>
                <w:i/>
                <w:iCs/>
                <w:lang w:eastAsia="en-GB"/>
              </w:rPr>
              <w:t>and</w:t>
            </w:r>
            <w:r w:rsidRPr="009815B4">
              <w:rPr>
                <w:rFonts w:ascii="Verdana" w:hAnsi="Verdana" w:cs="Arial"/>
                <w:i/>
                <w:iCs/>
                <w:lang w:eastAsia="en-GB"/>
              </w:rPr>
              <w:t xml:space="preserve"> </w:t>
            </w:r>
          </w:p>
          <w:p w14:paraId="05F4BADA" w14:textId="61C940E9" w:rsidR="001D3374" w:rsidRPr="009815B4" w:rsidRDefault="001D3374" w:rsidP="004F4C55">
            <w:pPr>
              <w:rPr>
                <w:rFonts w:ascii="Verdana" w:hAnsi="Verdana"/>
              </w:rPr>
            </w:pPr>
          </w:p>
        </w:tc>
      </w:tr>
      <w:tr w:rsidR="001D3374" w14:paraId="7EB98DD5" w14:textId="77777777" w:rsidTr="00C54211">
        <w:tc>
          <w:tcPr>
            <w:tcW w:w="561" w:type="dxa"/>
          </w:tcPr>
          <w:p w14:paraId="58F6722B" w14:textId="77777777" w:rsidR="001D3374" w:rsidRPr="001D3374" w:rsidRDefault="001D3374" w:rsidP="004F4C55">
            <w:pPr>
              <w:rPr>
                <w:rFonts w:ascii="Verdana" w:hAnsi="Verdana"/>
              </w:rPr>
            </w:pPr>
          </w:p>
        </w:tc>
        <w:tc>
          <w:tcPr>
            <w:tcW w:w="426" w:type="dxa"/>
          </w:tcPr>
          <w:p w14:paraId="0186D156" w14:textId="77777777" w:rsidR="001D3374" w:rsidRPr="001D3374" w:rsidRDefault="001D3374" w:rsidP="004F4C55">
            <w:pPr>
              <w:rPr>
                <w:rFonts w:ascii="Verdana" w:hAnsi="Verdana"/>
              </w:rPr>
            </w:pPr>
          </w:p>
        </w:tc>
        <w:tc>
          <w:tcPr>
            <w:tcW w:w="296" w:type="dxa"/>
          </w:tcPr>
          <w:p w14:paraId="2C19916E" w14:textId="0C6689BE" w:rsidR="001D3374" w:rsidRPr="001D3374" w:rsidRDefault="001D3374" w:rsidP="004F4C55">
            <w:pPr>
              <w:rPr>
                <w:rFonts w:ascii="Verdana" w:hAnsi="Verdana"/>
                <w:b/>
                <w:bCs/>
              </w:rPr>
            </w:pPr>
            <w:r w:rsidRPr="001D3374">
              <w:rPr>
                <w:rFonts w:ascii="Verdana" w:hAnsi="Verdana"/>
                <w:b/>
                <w:bCs/>
              </w:rPr>
              <w:t>.</w:t>
            </w:r>
          </w:p>
        </w:tc>
        <w:tc>
          <w:tcPr>
            <w:tcW w:w="8068" w:type="dxa"/>
          </w:tcPr>
          <w:p w14:paraId="4FB06165" w14:textId="69D8EBDE" w:rsidR="009815B4" w:rsidRPr="00AC7FCA" w:rsidRDefault="009815B4" w:rsidP="00EF575B">
            <w:pPr>
              <w:rPr>
                <w:rFonts w:ascii="Verdana" w:hAnsi="Verdana" w:cs="Arial"/>
                <w:i/>
                <w:iCs/>
                <w:lang w:eastAsia="en-GB"/>
              </w:rPr>
            </w:pPr>
            <w:r w:rsidRPr="00EF575B">
              <w:rPr>
                <w:rFonts w:ascii="Verdana" w:hAnsi="Verdana" w:cs="Arial"/>
                <w:lang w:eastAsia="en-GB"/>
              </w:rPr>
              <w:t>the Capacity and Delivery funds (£80-100k per annum) have not been confirmed, but their availability appears increasingly likely</w:t>
            </w:r>
            <w:r w:rsidR="00EF575B">
              <w:rPr>
                <w:rFonts w:ascii="Verdana" w:hAnsi="Verdana" w:cs="Arial"/>
                <w:lang w:eastAsia="en-GB"/>
              </w:rPr>
              <w:t>;</w:t>
            </w:r>
            <w:r w:rsidR="00AC7FCA">
              <w:rPr>
                <w:rFonts w:ascii="Verdana" w:hAnsi="Verdana" w:cs="Arial"/>
                <w:lang w:eastAsia="en-GB"/>
              </w:rPr>
              <w:t xml:space="preserve"> </w:t>
            </w:r>
            <w:r w:rsidR="00AC7FCA">
              <w:rPr>
                <w:rFonts w:ascii="Verdana" w:hAnsi="Verdana" w:cs="Arial"/>
                <w:i/>
                <w:iCs/>
                <w:lang w:eastAsia="en-GB"/>
              </w:rPr>
              <w:t>and</w:t>
            </w:r>
          </w:p>
          <w:p w14:paraId="6BED03D9" w14:textId="19F7BA3C" w:rsidR="00EF575B" w:rsidRPr="00EF575B" w:rsidRDefault="00EF575B" w:rsidP="00EF575B">
            <w:pPr>
              <w:rPr>
                <w:rFonts w:ascii="Verdana" w:hAnsi="Verdana"/>
                <w:i/>
                <w:iCs/>
              </w:rPr>
            </w:pPr>
          </w:p>
        </w:tc>
      </w:tr>
      <w:tr w:rsidR="009815B4" w14:paraId="160D30E8" w14:textId="77777777" w:rsidTr="00C54211">
        <w:tc>
          <w:tcPr>
            <w:tcW w:w="561" w:type="dxa"/>
          </w:tcPr>
          <w:p w14:paraId="005E4F02" w14:textId="77777777" w:rsidR="009815B4" w:rsidRPr="001D3374" w:rsidRDefault="009815B4" w:rsidP="004F4C55">
            <w:pPr>
              <w:rPr>
                <w:rFonts w:ascii="Verdana" w:hAnsi="Verdana"/>
              </w:rPr>
            </w:pPr>
          </w:p>
        </w:tc>
        <w:tc>
          <w:tcPr>
            <w:tcW w:w="426" w:type="dxa"/>
          </w:tcPr>
          <w:p w14:paraId="3D09A0C5" w14:textId="77777777" w:rsidR="009815B4" w:rsidRPr="001D3374" w:rsidRDefault="009815B4" w:rsidP="004F4C55">
            <w:pPr>
              <w:rPr>
                <w:rFonts w:ascii="Verdana" w:hAnsi="Verdana"/>
              </w:rPr>
            </w:pPr>
          </w:p>
        </w:tc>
        <w:tc>
          <w:tcPr>
            <w:tcW w:w="296" w:type="dxa"/>
          </w:tcPr>
          <w:p w14:paraId="35698361" w14:textId="1319FE63" w:rsidR="009815B4" w:rsidRPr="001D3374" w:rsidRDefault="009815B4" w:rsidP="004F4C55">
            <w:pPr>
              <w:rPr>
                <w:rFonts w:ascii="Verdana" w:hAnsi="Verdana"/>
                <w:b/>
                <w:bCs/>
              </w:rPr>
            </w:pPr>
            <w:r>
              <w:rPr>
                <w:rFonts w:ascii="Verdana" w:hAnsi="Verdana"/>
                <w:b/>
                <w:bCs/>
              </w:rPr>
              <w:t>.</w:t>
            </w:r>
          </w:p>
        </w:tc>
        <w:tc>
          <w:tcPr>
            <w:tcW w:w="8068" w:type="dxa"/>
          </w:tcPr>
          <w:p w14:paraId="2BE1F1FD" w14:textId="56FCD712" w:rsidR="00EF575B" w:rsidRPr="00EF575B" w:rsidRDefault="00AC7FCA" w:rsidP="00AC7FCA">
            <w:pPr>
              <w:rPr>
                <w:rFonts w:ascii="Verdana" w:hAnsi="Verdana" w:cs="Arial"/>
                <w:i/>
                <w:iCs/>
                <w:lang w:eastAsia="en-GB"/>
              </w:rPr>
            </w:pPr>
            <w:r>
              <w:rPr>
                <w:rFonts w:ascii="Verdana" w:hAnsi="Verdana" w:cs="Arial"/>
                <w:lang w:eastAsia="en-GB"/>
              </w:rPr>
              <w:t xml:space="preserve">although </w:t>
            </w:r>
            <w:r w:rsidR="00EF575B">
              <w:rPr>
                <w:rFonts w:ascii="Verdana" w:hAnsi="Verdana" w:cs="Arial"/>
                <w:lang w:eastAsia="en-GB"/>
              </w:rPr>
              <w:t>t</w:t>
            </w:r>
            <w:r w:rsidR="009815B4" w:rsidRPr="00EF575B">
              <w:rPr>
                <w:rFonts w:ascii="Verdana" w:hAnsi="Verdana" w:cs="Arial"/>
                <w:lang w:eastAsia="en-GB"/>
              </w:rPr>
              <w:t xml:space="preserve">he </w:t>
            </w:r>
            <w:r w:rsidR="00EF575B">
              <w:rPr>
                <w:rFonts w:ascii="Verdana" w:hAnsi="Verdana" w:cs="Arial"/>
                <w:lang w:eastAsia="en-GB"/>
              </w:rPr>
              <w:t xml:space="preserve">2020-21 </w:t>
            </w:r>
            <w:r w:rsidR="009815B4" w:rsidRPr="00EF575B">
              <w:rPr>
                <w:rFonts w:ascii="Verdana" w:hAnsi="Verdana" w:cs="Arial"/>
                <w:lang w:eastAsia="en-GB"/>
              </w:rPr>
              <w:t>cost of living pay rise</w:t>
            </w:r>
            <w:r w:rsidR="00EF575B">
              <w:rPr>
                <w:rFonts w:ascii="Verdana" w:hAnsi="Verdana" w:cs="Arial"/>
                <w:lang w:eastAsia="en-GB"/>
              </w:rPr>
              <w:t xml:space="preserve"> </w:t>
            </w:r>
            <w:r w:rsidR="009815B4" w:rsidRPr="00EF575B">
              <w:rPr>
                <w:rFonts w:ascii="Verdana" w:hAnsi="Verdana" w:cs="Arial"/>
                <w:lang w:eastAsia="en-GB"/>
              </w:rPr>
              <w:t>for support staff ha</w:t>
            </w:r>
            <w:r>
              <w:rPr>
                <w:rFonts w:ascii="Verdana" w:hAnsi="Verdana" w:cs="Arial"/>
                <w:lang w:eastAsia="en-GB"/>
              </w:rPr>
              <w:t>d</w:t>
            </w:r>
            <w:r w:rsidR="009815B4" w:rsidRPr="00EF575B">
              <w:rPr>
                <w:rFonts w:ascii="Verdana" w:hAnsi="Verdana" w:cs="Arial"/>
                <w:lang w:eastAsia="en-GB"/>
              </w:rPr>
              <w:t xml:space="preserve"> already been agreed at 2.5% </w:t>
            </w:r>
            <w:r w:rsidR="00EF575B">
              <w:rPr>
                <w:rFonts w:ascii="Verdana" w:hAnsi="Verdana" w:cs="Arial"/>
                <w:lang w:eastAsia="en-GB"/>
              </w:rPr>
              <w:t xml:space="preserve">with effect </w:t>
            </w:r>
            <w:r w:rsidR="009815B4" w:rsidRPr="00EF575B">
              <w:rPr>
                <w:rFonts w:ascii="Verdana" w:hAnsi="Verdana" w:cs="Arial"/>
                <w:lang w:eastAsia="en-GB"/>
              </w:rPr>
              <w:t>from 1 January 2021</w:t>
            </w:r>
            <w:r>
              <w:rPr>
                <w:rFonts w:ascii="Verdana" w:hAnsi="Verdana" w:cs="Arial"/>
                <w:lang w:eastAsia="en-GB"/>
              </w:rPr>
              <w:t>, that for teaching staff has yet to be agreed, but</w:t>
            </w:r>
            <w:r w:rsidRPr="00EF575B">
              <w:rPr>
                <w:rFonts w:ascii="Verdana" w:hAnsi="Verdana" w:cs="Arial"/>
                <w:lang w:eastAsia="en-GB"/>
              </w:rPr>
              <w:t xml:space="preserve"> is unlikely to be less than that obtained by support staff</w:t>
            </w:r>
            <w:r>
              <w:rPr>
                <w:rFonts w:ascii="Verdana" w:hAnsi="Verdana" w:cs="Arial"/>
                <w:lang w:eastAsia="en-GB"/>
              </w:rPr>
              <w:t>.</w:t>
            </w:r>
            <w:r w:rsidR="00EF575B">
              <w:rPr>
                <w:rFonts w:ascii="Verdana" w:hAnsi="Verdana" w:cs="Arial"/>
                <w:lang w:eastAsia="en-GB"/>
              </w:rPr>
              <w:t xml:space="preserve"> </w:t>
            </w:r>
          </w:p>
        </w:tc>
      </w:tr>
    </w:tbl>
    <w:p w14:paraId="3BB7A1F6" w14:textId="77777777" w:rsidR="001D3374" w:rsidRDefault="001D3374" w:rsidP="004F4C55"/>
    <w:tbl>
      <w:tblPr>
        <w:tblW w:w="9351" w:type="dxa"/>
        <w:tblLook w:val="04A0" w:firstRow="1" w:lastRow="0" w:firstColumn="1" w:lastColumn="0" w:noHBand="0" w:noVBand="1"/>
      </w:tblPr>
      <w:tblGrid>
        <w:gridCol w:w="534"/>
        <w:gridCol w:w="8817"/>
      </w:tblGrid>
      <w:tr w:rsidR="00BF1465" w:rsidRPr="00DE41DD" w14:paraId="1A03D720" w14:textId="77777777" w:rsidTr="00C54211">
        <w:tc>
          <w:tcPr>
            <w:tcW w:w="534" w:type="dxa"/>
          </w:tcPr>
          <w:p w14:paraId="019574CF" w14:textId="77777777" w:rsidR="00BF1465" w:rsidRPr="00DE41DD" w:rsidRDefault="00BF1465" w:rsidP="00AC7FCA">
            <w:pPr>
              <w:rPr>
                <w:rFonts w:ascii="Verdana" w:hAnsi="Verdana"/>
                <w:b/>
              </w:rPr>
            </w:pPr>
          </w:p>
        </w:tc>
        <w:tc>
          <w:tcPr>
            <w:tcW w:w="8817" w:type="dxa"/>
          </w:tcPr>
          <w:p w14:paraId="5DAEE7EA" w14:textId="6B4F590C" w:rsidR="008573E6" w:rsidRPr="00DE41DD" w:rsidRDefault="00E95636" w:rsidP="00AC7FCA">
            <w:pPr>
              <w:contextualSpacing/>
              <w:rPr>
                <w:rFonts w:ascii="Verdana" w:hAnsi="Verdana" w:cs="Arial"/>
              </w:rPr>
            </w:pPr>
            <w:r>
              <w:rPr>
                <w:rFonts w:ascii="Verdana" w:hAnsi="Verdana" w:cs="Arial"/>
              </w:rPr>
              <w:t xml:space="preserve">Members noted the adverse effect of the Accelerated Learning Academy on staff costs as a proportion of income, which had risen </w:t>
            </w:r>
            <w:r w:rsidR="00D5267D">
              <w:rPr>
                <w:rFonts w:ascii="Verdana" w:hAnsi="Verdana" w:cs="Arial"/>
              </w:rPr>
              <w:t>very close</w:t>
            </w:r>
            <w:r>
              <w:rPr>
                <w:rFonts w:ascii="Verdana" w:hAnsi="Verdana" w:cs="Arial"/>
              </w:rPr>
              <w:t xml:space="preserve"> to the recommended upper limit.  It was </w:t>
            </w:r>
            <w:r w:rsidR="00D5267D">
              <w:rPr>
                <w:rFonts w:ascii="Verdana" w:hAnsi="Verdana" w:cs="Arial"/>
              </w:rPr>
              <w:t xml:space="preserve">further noted that the employment of student mentors had also increased the proportion of staff categorised as “support staff”.  In this regard, it was agreed that future iterations of the College management </w:t>
            </w:r>
            <w:proofErr w:type="gramStart"/>
            <w:r w:rsidR="00D5267D">
              <w:rPr>
                <w:rFonts w:ascii="Verdana" w:hAnsi="Verdana" w:cs="Arial"/>
              </w:rPr>
              <w:t>accounts</w:t>
            </w:r>
            <w:proofErr w:type="gramEnd"/>
            <w:r w:rsidR="00D5267D">
              <w:rPr>
                <w:rFonts w:ascii="Verdana" w:hAnsi="Verdana" w:cs="Arial"/>
              </w:rPr>
              <w:t xml:space="preserve"> and the 2020-21 Annual Report and Financial Statements should show staff costs divided between teaching, direct student support and other support, with supporting rationales for any significant changes in the proportions reported.</w:t>
            </w:r>
          </w:p>
        </w:tc>
      </w:tr>
    </w:tbl>
    <w:p w14:paraId="1EAD2C7F" w14:textId="5E180B62" w:rsidR="00E63E7D" w:rsidRDefault="00E63E7D" w:rsidP="004F4C55"/>
    <w:p w14:paraId="5B798957" w14:textId="41DD8CA0" w:rsidR="00D5267D" w:rsidRDefault="00D5267D" w:rsidP="004F4C55"/>
    <w:p w14:paraId="6B689BF5" w14:textId="17855E22" w:rsidR="00AC7FCA" w:rsidRDefault="00AC7FCA" w:rsidP="004F4C55"/>
    <w:p w14:paraId="7278F100" w14:textId="77777777" w:rsidR="00C54211" w:rsidRDefault="00C54211" w:rsidP="004F4C55"/>
    <w:tbl>
      <w:tblPr>
        <w:tblW w:w="9351" w:type="dxa"/>
        <w:tblLook w:val="04A0" w:firstRow="1" w:lastRow="0" w:firstColumn="1" w:lastColumn="0" w:noHBand="0" w:noVBand="1"/>
      </w:tblPr>
      <w:tblGrid>
        <w:gridCol w:w="534"/>
        <w:gridCol w:w="8817"/>
      </w:tblGrid>
      <w:tr w:rsidR="00436F19" w:rsidRPr="004241F0" w14:paraId="5F637A19" w14:textId="77777777" w:rsidTr="00C54211">
        <w:tc>
          <w:tcPr>
            <w:tcW w:w="534" w:type="dxa"/>
          </w:tcPr>
          <w:p w14:paraId="00ED38F5" w14:textId="2A40BF0F" w:rsidR="00436F19" w:rsidRPr="004241F0" w:rsidRDefault="00436F19" w:rsidP="007D5E3C">
            <w:pPr>
              <w:rPr>
                <w:rFonts w:ascii="Verdana" w:hAnsi="Verdana"/>
                <w:b/>
              </w:rPr>
            </w:pPr>
            <w:r>
              <w:rPr>
                <w:rFonts w:ascii="Verdana" w:hAnsi="Verdana"/>
                <w:b/>
              </w:rPr>
              <w:lastRenderedPageBreak/>
              <w:t>1</w:t>
            </w:r>
            <w:r w:rsidR="00EF575B">
              <w:rPr>
                <w:rFonts w:ascii="Verdana" w:hAnsi="Verdana"/>
                <w:b/>
              </w:rPr>
              <w:t>1</w:t>
            </w:r>
          </w:p>
        </w:tc>
        <w:tc>
          <w:tcPr>
            <w:tcW w:w="8817" w:type="dxa"/>
          </w:tcPr>
          <w:p w14:paraId="52748019" w14:textId="77777777" w:rsidR="00EF575B" w:rsidRDefault="00EF575B" w:rsidP="00EF575B">
            <w:pPr>
              <w:pStyle w:val="NoSpacing"/>
              <w:rPr>
                <w:rFonts w:ascii="Verdana" w:hAnsi="Verdana"/>
                <w:b/>
              </w:rPr>
            </w:pPr>
            <w:r w:rsidRPr="00896864">
              <w:rPr>
                <w:rFonts w:ascii="Verdana" w:hAnsi="Verdana"/>
                <w:b/>
              </w:rPr>
              <w:t>Review of Financial Regulations</w:t>
            </w:r>
          </w:p>
          <w:p w14:paraId="21DDF9AA" w14:textId="77777777" w:rsidR="0083078D" w:rsidRDefault="0083078D" w:rsidP="00D85377">
            <w:pPr>
              <w:pStyle w:val="NoSpacing"/>
              <w:rPr>
                <w:rFonts w:ascii="Verdana" w:hAnsi="Verdana"/>
                <w:bCs/>
              </w:rPr>
            </w:pPr>
          </w:p>
          <w:p w14:paraId="38DEBA64" w14:textId="685D88ED" w:rsidR="00EF575B" w:rsidRDefault="00EF575B" w:rsidP="00D85377">
            <w:pPr>
              <w:pStyle w:val="NoSpacing"/>
              <w:rPr>
                <w:rFonts w:ascii="Verdana" w:hAnsi="Verdana"/>
                <w:bCs/>
              </w:rPr>
            </w:pPr>
            <w:r>
              <w:rPr>
                <w:rFonts w:ascii="Verdana" w:hAnsi="Verdana"/>
                <w:bCs/>
              </w:rPr>
              <w:t>The Financial Regulations were received by the Committee for consideration.  It was noted that</w:t>
            </w:r>
            <w:r w:rsidR="00D5267D">
              <w:rPr>
                <w:rFonts w:ascii="Verdana" w:hAnsi="Verdana"/>
                <w:bCs/>
              </w:rPr>
              <w:t>, in the absence of any relevant audit recommendations or changes in the College’s operating circumstances,</w:t>
            </w:r>
            <w:r>
              <w:rPr>
                <w:rFonts w:ascii="Verdana" w:hAnsi="Verdana"/>
                <w:bCs/>
              </w:rPr>
              <w:t xml:space="preserve"> no changes</w:t>
            </w:r>
            <w:r w:rsidR="00D5267D">
              <w:rPr>
                <w:rFonts w:ascii="Verdana" w:hAnsi="Verdana"/>
                <w:bCs/>
              </w:rPr>
              <w:t xml:space="preserve"> to the Regulations</w:t>
            </w:r>
            <w:r>
              <w:rPr>
                <w:rFonts w:ascii="Verdana" w:hAnsi="Verdana"/>
                <w:bCs/>
              </w:rPr>
              <w:t xml:space="preserve"> </w:t>
            </w:r>
            <w:r w:rsidR="00D5267D">
              <w:rPr>
                <w:rFonts w:ascii="Verdana" w:hAnsi="Verdana"/>
                <w:bCs/>
              </w:rPr>
              <w:t>had been</w:t>
            </w:r>
            <w:r>
              <w:rPr>
                <w:rFonts w:ascii="Verdana" w:hAnsi="Verdana"/>
                <w:bCs/>
              </w:rPr>
              <w:t xml:space="preserve"> proposed in this instance.</w:t>
            </w:r>
          </w:p>
          <w:p w14:paraId="675AE913" w14:textId="25AC7D35" w:rsidR="00D5267D" w:rsidRDefault="00D5267D" w:rsidP="00D85377">
            <w:pPr>
              <w:pStyle w:val="NoSpacing"/>
              <w:rPr>
                <w:rFonts w:ascii="Verdana" w:hAnsi="Verdana"/>
                <w:bCs/>
              </w:rPr>
            </w:pPr>
          </w:p>
          <w:p w14:paraId="654C2508" w14:textId="0488C239" w:rsidR="00D5267D" w:rsidRDefault="00D5267D" w:rsidP="00D85377">
            <w:pPr>
              <w:pStyle w:val="NoSpacing"/>
              <w:rPr>
                <w:rFonts w:ascii="Verdana" w:hAnsi="Verdana"/>
                <w:bCs/>
              </w:rPr>
            </w:pPr>
            <w:r>
              <w:rPr>
                <w:rFonts w:ascii="Verdana" w:hAnsi="Verdana"/>
                <w:bCs/>
              </w:rPr>
              <w:t xml:space="preserve">It was particularly noted that the College’s financial systems are </w:t>
            </w:r>
            <w:r w:rsidR="00EA62D1">
              <w:rPr>
                <w:rFonts w:ascii="Verdana" w:hAnsi="Verdana"/>
                <w:bCs/>
              </w:rPr>
              <w:t xml:space="preserve">operated </w:t>
            </w:r>
            <w:r>
              <w:rPr>
                <w:rFonts w:ascii="Verdana" w:hAnsi="Verdana"/>
                <w:bCs/>
              </w:rPr>
              <w:t xml:space="preserve">almost entirely online, and </w:t>
            </w:r>
            <w:r w:rsidR="00EA62D1">
              <w:rPr>
                <w:rFonts w:ascii="Verdana" w:hAnsi="Verdana"/>
                <w:bCs/>
              </w:rPr>
              <w:t>are</w:t>
            </w:r>
            <w:r>
              <w:rPr>
                <w:rFonts w:ascii="Verdana" w:hAnsi="Verdana"/>
                <w:bCs/>
              </w:rPr>
              <w:t xml:space="preserve"> unimpeded during the public health emergency.</w:t>
            </w:r>
          </w:p>
          <w:p w14:paraId="71A4B11C" w14:textId="77777777" w:rsidR="00EF575B" w:rsidRDefault="00EF575B" w:rsidP="00D85377">
            <w:pPr>
              <w:pStyle w:val="NoSpacing"/>
              <w:rPr>
                <w:rFonts w:ascii="Verdana" w:hAnsi="Verdana"/>
                <w:bCs/>
              </w:rPr>
            </w:pPr>
          </w:p>
          <w:p w14:paraId="761E12BE" w14:textId="77777777" w:rsidR="00EF575B" w:rsidRDefault="00EF575B" w:rsidP="00D85377">
            <w:pPr>
              <w:pStyle w:val="NoSpacing"/>
              <w:rPr>
                <w:rFonts w:ascii="Verdana" w:hAnsi="Verdana"/>
                <w:bCs/>
              </w:rPr>
            </w:pPr>
            <w:r>
              <w:rPr>
                <w:rFonts w:ascii="Verdana" w:hAnsi="Verdana"/>
                <w:bCs/>
              </w:rPr>
              <w:t>The Regulations were approved on behalf of the Corporation.</w:t>
            </w:r>
          </w:p>
          <w:p w14:paraId="0CBA3A83" w14:textId="2B0190D5" w:rsidR="00EF575B" w:rsidRPr="00D85377" w:rsidRDefault="00EF575B" w:rsidP="00D85377">
            <w:pPr>
              <w:pStyle w:val="NoSpacing"/>
              <w:rPr>
                <w:rFonts w:ascii="Verdana" w:hAnsi="Verdana"/>
                <w:bCs/>
              </w:rPr>
            </w:pPr>
          </w:p>
        </w:tc>
      </w:tr>
      <w:tr w:rsidR="00EF575B" w:rsidRPr="004241F0" w14:paraId="0F41B3E7" w14:textId="77777777" w:rsidTr="00C54211">
        <w:tc>
          <w:tcPr>
            <w:tcW w:w="534" w:type="dxa"/>
          </w:tcPr>
          <w:p w14:paraId="55ABEEF2" w14:textId="0C425305" w:rsidR="00EF575B" w:rsidRDefault="00EF575B" w:rsidP="007D5E3C">
            <w:pPr>
              <w:rPr>
                <w:rFonts w:ascii="Verdana" w:hAnsi="Verdana"/>
                <w:b/>
              </w:rPr>
            </w:pPr>
            <w:r>
              <w:rPr>
                <w:rFonts w:ascii="Verdana" w:hAnsi="Verdana"/>
                <w:b/>
              </w:rPr>
              <w:t>12</w:t>
            </w:r>
          </w:p>
        </w:tc>
        <w:tc>
          <w:tcPr>
            <w:tcW w:w="8817" w:type="dxa"/>
          </w:tcPr>
          <w:p w14:paraId="212FC53D" w14:textId="77777777" w:rsidR="00EF575B" w:rsidRPr="00EF575B" w:rsidRDefault="00EF575B" w:rsidP="00EF575B">
            <w:pPr>
              <w:rPr>
                <w:rFonts w:ascii="Verdana" w:hAnsi="Verdana"/>
                <w:b/>
              </w:rPr>
            </w:pPr>
            <w:r w:rsidRPr="00EF575B">
              <w:rPr>
                <w:rFonts w:ascii="Verdana" w:hAnsi="Verdana"/>
                <w:b/>
              </w:rPr>
              <w:t>Review of Treasury Management Policy</w:t>
            </w:r>
          </w:p>
          <w:p w14:paraId="40AE68A3" w14:textId="77777777" w:rsidR="00EF575B" w:rsidRPr="00EF575B" w:rsidRDefault="00EF575B" w:rsidP="00EF575B">
            <w:pPr>
              <w:contextualSpacing/>
              <w:rPr>
                <w:rFonts w:ascii="Verdana" w:hAnsi="Verdana" w:cs="Arial"/>
                <w:b/>
              </w:rPr>
            </w:pPr>
          </w:p>
          <w:p w14:paraId="3FFAB014" w14:textId="7DF106E2" w:rsidR="00EF575B" w:rsidRPr="00EF575B" w:rsidRDefault="00EF575B" w:rsidP="00EF575B">
            <w:pPr>
              <w:pStyle w:val="NoSpacing"/>
              <w:rPr>
                <w:rFonts w:ascii="Verdana" w:hAnsi="Verdana"/>
                <w:bCs/>
              </w:rPr>
            </w:pPr>
            <w:r w:rsidRPr="00EF575B">
              <w:rPr>
                <w:rFonts w:ascii="Verdana" w:hAnsi="Verdana"/>
                <w:bCs/>
              </w:rPr>
              <w:t>A policy prepared by the Vice Principal: Corporate Services and the Finance Manager was received and noted to be unchanged from the previous year, thereby providing that:</w:t>
            </w:r>
          </w:p>
        </w:tc>
      </w:tr>
    </w:tbl>
    <w:p w14:paraId="51741919" w14:textId="52A8A1C5" w:rsidR="00A1529C" w:rsidRDefault="00A1529C" w:rsidP="004F4C55"/>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25"/>
        <w:gridCol w:w="8363"/>
      </w:tblGrid>
      <w:tr w:rsidR="00EF575B" w:rsidRPr="003677BF" w14:paraId="657D83F3" w14:textId="77777777" w:rsidTr="00C54211">
        <w:tc>
          <w:tcPr>
            <w:tcW w:w="534" w:type="dxa"/>
          </w:tcPr>
          <w:p w14:paraId="7BDAA5BE" w14:textId="77777777" w:rsidR="00EF575B" w:rsidRPr="004F4C55" w:rsidRDefault="00EF575B" w:rsidP="00AC7FCA">
            <w:pPr>
              <w:rPr>
                <w:rFonts w:ascii="Verdana" w:hAnsi="Verdana"/>
              </w:rPr>
            </w:pPr>
          </w:p>
        </w:tc>
        <w:tc>
          <w:tcPr>
            <w:tcW w:w="425" w:type="dxa"/>
          </w:tcPr>
          <w:p w14:paraId="0E155A6B" w14:textId="77777777" w:rsidR="00EF575B" w:rsidRDefault="00EF575B" w:rsidP="00AC7FCA">
            <w:pPr>
              <w:rPr>
                <w:rFonts w:ascii="Verdana" w:hAnsi="Verdana"/>
                <w:b/>
              </w:rPr>
            </w:pPr>
            <w:r>
              <w:rPr>
                <w:rFonts w:ascii="Verdana" w:hAnsi="Verdana"/>
                <w:b/>
              </w:rPr>
              <w:t>.</w:t>
            </w:r>
          </w:p>
        </w:tc>
        <w:tc>
          <w:tcPr>
            <w:tcW w:w="8363" w:type="dxa"/>
          </w:tcPr>
          <w:p w14:paraId="643A8007" w14:textId="77777777" w:rsidR="00EF575B" w:rsidRPr="003677BF" w:rsidRDefault="00EF575B" w:rsidP="00AC7FCA">
            <w:pPr>
              <w:rPr>
                <w:rFonts w:ascii="Verdana" w:hAnsi="Verdana"/>
              </w:rPr>
            </w:pPr>
            <w:r w:rsidRPr="003677BF">
              <w:rPr>
                <w:rFonts w:ascii="Verdana" w:hAnsi="Verdana"/>
              </w:rPr>
              <w:t>the College will hold its funds at a bank covered by United Kingdom compensation schemes and either registered, or maintaining a significant presence, in the United Kingdom;</w:t>
            </w:r>
          </w:p>
          <w:p w14:paraId="334E7F7C" w14:textId="77777777" w:rsidR="00EF575B" w:rsidRPr="003677BF" w:rsidRDefault="00EF575B" w:rsidP="00AC7FCA">
            <w:pPr>
              <w:rPr>
                <w:rFonts w:ascii="Verdana" w:hAnsi="Verdana"/>
              </w:rPr>
            </w:pPr>
          </w:p>
        </w:tc>
      </w:tr>
      <w:tr w:rsidR="00EF575B" w:rsidRPr="003677BF" w14:paraId="3ABC1B8F" w14:textId="77777777" w:rsidTr="00C54211">
        <w:tc>
          <w:tcPr>
            <w:tcW w:w="534" w:type="dxa"/>
          </w:tcPr>
          <w:p w14:paraId="1B3BDB32" w14:textId="77777777" w:rsidR="00EF575B" w:rsidRPr="004F4C55" w:rsidRDefault="00EF575B" w:rsidP="00AC7FCA">
            <w:pPr>
              <w:rPr>
                <w:rFonts w:ascii="Verdana" w:hAnsi="Verdana"/>
              </w:rPr>
            </w:pPr>
          </w:p>
        </w:tc>
        <w:tc>
          <w:tcPr>
            <w:tcW w:w="425" w:type="dxa"/>
          </w:tcPr>
          <w:p w14:paraId="6254BF70" w14:textId="77777777" w:rsidR="00EF575B" w:rsidRDefault="00EF575B" w:rsidP="00AC7FCA">
            <w:pPr>
              <w:rPr>
                <w:rFonts w:ascii="Verdana" w:hAnsi="Verdana"/>
                <w:b/>
              </w:rPr>
            </w:pPr>
            <w:r>
              <w:rPr>
                <w:rFonts w:ascii="Verdana" w:hAnsi="Verdana"/>
                <w:b/>
              </w:rPr>
              <w:t>.</w:t>
            </w:r>
          </w:p>
        </w:tc>
        <w:tc>
          <w:tcPr>
            <w:tcW w:w="8363" w:type="dxa"/>
          </w:tcPr>
          <w:p w14:paraId="68412751" w14:textId="77777777" w:rsidR="00EF575B" w:rsidRPr="003677BF" w:rsidRDefault="00EF575B" w:rsidP="00AC7FCA">
            <w:pPr>
              <w:tabs>
                <w:tab w:val="num" w:pos="993"/>
              </w:tabs>
              <w:rPr>
                <w:rFonts w:ascii="Verdana" w:hAnsi="Verdana"/>
              </w:rPr>
            </w:pPr>
            <w:r w:rsidRPr="003677BF">
              <w:rPr>
                <w:rFonts w:ascii="Verdana" w:hAnsi="Verdana"/>
              </w:rPr>
              <w:t>the College management will have the power to deposit funds at the following institutions without any further approval: Lloyds PLC, Barclays PLC, HSBC PLC, RBS PLC, Nationwide Building Society;</w:t>
            </w:r>
          </w:p>
          <w:p w14:paraId="268E4364" w14:textId="77777777" w:rsidR="00EF575B" w:rsidRPr="003677BF" w:rsidRDefault="00EF575B" w:rsidP="00AC7FCA">
            <w:pPr>
              <w:rPr>
                <w:rFonts w:ascii="Verdana" w:hAnsi="Verdana"/>
              </w:rPr>
            </w:pPr>
          </w:p>
        </w:tc>
      </w:tr>
      <w:tr w:rsidR="00EF575B" w:rsidRPr="003677BF" w14:paraId="1717EECD" w14:textId="77777777" w:rsidTr="00C54211">
        <w:tc>
          <w:tcPr>
            <w:tcW w:w="534" w:type="dxa"/>
          </w:tcPr>
          <w:p w14:paraId="5D7A1AAF" w14:textId="77777777" w:rsidR="00EF575B" w:rsidRPr="004F4C55" w:rsidRDefault="00EF575B" w:rsidP="00AC7FCA">
            <w:pPr>
              <w:rPr>
                <w:rFonts w:ascii="Verdana" w:hAnsi="Verdana"/>
              </w:rPr>
            </w:pPr>
          </w:p>
        </w:tc>
        <w:tc>
          <w:tcPr>
            <w:tcW w:w="425" w:type="dxa"/>
          </w:tcPr>
          <w:p w14:paraId="305E8E55" w14:textId="77777777" w:rsidR="00EF575B" w:rsidRDefault="00EF575B" w:rsidP="00AC7FCA">
            <w:pPr>
              <w:rPr>
                <w:rFonts w:ascii="Verdana" w:hAnsi="Verdana"/>
                <w:b/>
              </w:rPr>
            </w:pPr>
            <w:r>
              <w:rPr>
                <w:rFonts w:ascii="Verdana" w:hAnsi="Verdana"/>
                <w:b/>
              </w:rPr>
              <w:t>.</w:t>
            </w:r>
          </w:p>
        </w:tc>
        <w:tc>
          <w:tcPr>
            <w:tcW w:w="8363" w:type="dxa"/>
          </w:tcPr>
          <w:p w14:paraId="368715CA" w14:textId="77777777" w:rsidR="00EF575B" w:rsidRPr="003677BF" w:rsidRDefault="00EF575B" w:rsidP="00AC7FCA">
            <w:pPr>
              <w:rPr>
                <w:rFonts w:ascii="Verdana" w:hAnsi="Verdana"/>
                <w:i/>
              </w:rPr>
            </w:pPr>
            <w:r w:rsidRPr="003677BF">
              <w:rPr>
                <w:rFonts w:ascii="Verdana" w:hAnsi="Verdana"/>
              </w:rPr>
              <w:t xml:space="preserve">the use of any other institution must continue to be approved in advance by the Corporation on advice from the Resources Committee; </w:t>
            </w:r>
            <w:r w:rsidRPr="003677BF">
              <w:rPr>
                <w:rFonts w:ascii="Verdana" w:hAnsi="Verdana"/>
                <w:i/>
              </w:rPr>
              <w:t>and</w:t>
            </w:r>
          </w:p>
          <w:p w14:paraId="775BC816" w14:textId="77777777" w:rsidR="00EF575B" w:rsidRPr="003677BF" w:rsidRDefault="00EF575B" w:rsidP="00AC7FCA">
            <w:pPr>
              <w:rPr>
                <w:rFonts w:ascii="Verdana" w:hAnsi="Verdana"/>
                <w:i/>
              </w:rPr>
            </w:pPr>
          </w:p>
        </w:tc>
      </w:tr>
      <w:tr w:rsidR="00EF575B" w:rsidRPr="003677BF" w14:paraId="13728728" w14:textId="77777777" w:rsidTr="00C54211">
        <w:tc>
          <w:tcPr>
            <w:tcW w:w="534" w:type="dxa"/>
          </w:tcPr>
          <w:p w14:paraId="0C30FD3A" w14:textId="77777777" w:rsidR="00EF575B" w:rsidRPr="004F4C55" w:rsidRDefault="00EF575B" w:rsidP="00AC7FCA">
            <w:pPr>
              <w:rPr>
                <w:rFonts w:ascii="Verdana" w:hAnsi="Verdana"/>
              </w:rPr>
            </w:pPr>
          </w:p>
        </w:tc>
        <w:tc>
          <w:tcPr>
            <w:tcW w:w="425" w:type="dxa"/>
          </w:tcPr>
          <w:p w14:paraId="4E6F49E0" w14:textId="77777777" w:rsidR="00EF575B" w:rsidRDefault="00EF575B" w:rsidP="00AC7FCA">
            <w:pPr>
              <w:rPr>
                <w:rFonts w:ascii="Verdana" w:hAnsi="Verdana"/>
                <w:b/>
              </w:rPr>
            </w:pPr>
            <w:r>
              <w:rPr>
                <w:rFonts w:ascii="Verdana" w:hAnsi="Verdana"/>
                <w:b/>
              </w:rPr>
              <w:t>.</w:t>
            </w:r>
          </w:p>
        </w:tc>
        <w:tc>
          <w:tcPr>
            <w:tcW w:w="8363" w:type="dxa"/>
          </w:tcPr>
          <w:p w14:paraId="1E71EBDF" w14:textId="77777777" w:rsidR="00EF575B" w:rsidRPr="003677BF" w:rsidRDefault="00EF575B" w:rsidP="00AC7FCA">
            <w:pPr>
              <w:rPr>
                <w:rFonts w:ascii="Verdana" w:hAnsi="Verdana"/>
              </w:rPr>
            </w:pPr>
            <w:r>
              <w:rPr>
                <w:rFonts w:ascii="Verdana" w:hAnsi="Verdana"/>
              </w:rPr>
              <w:t>t</w:t>
            </w:r>
            <w:r w:rsidRPr="003677BF">
              <w:rPr>
                <w:rFonts w:ascii="Verdana" w:hAnsi="Verdana"/>
              </w:rPr>
              <w:t>he use of any investment vehicle, other than a United Kingdom</w:t>
            </w:r>
            <w:r>
              <w:rPr>
                <w:rFonts w:ascii="Verdana" w:hAnsi="Verdana"/>
              </w:rPr>
              <w:t>-</w:t>
            </w:r>
            <w:r w:rsidRPr="003677BF">
              <w:rPr>
                <w:rFonts w:ascii="Verdana" w:hAnsi="Verdana"/>
              </w:rPr>
              <w:t xml:space="preserve">based deposit account or a </w:t>
            </w:r>
            <w:r w:rsidRPr="00FD1AA3">
              <w:rPr>
                <w:rFonts w:ascii="Verdana" w:hAnsi="Verdana"/>
              </w:rPr>
              <w:t>money market deposit not exceeding sixth months,</w:t>
            </w:r>
            <w:r w:rsidRPr="003677BF">
              <w:rPr>
                <w:rFonts w:ascii="Verdana" w:hAnsi="Verdana"/>
              </w:rPr>
              <w:t xml:space="preserve"> must be approved in advance by the Corporation on advice from the Resources Committee.</w:t>
            </w:r>
          </w:p>
        </w:tc>
      </w:tr>
    </w:tbl>
    <w:p w14:paraId="63B198C6" w14:textId="2F3EBE5F" w:rsidR="00450D96" w:rsidRDefault="00450D96" w:rsidP="004F4C55"/>
    <w:tbl>
      <w:tblPr>
        <w:tblW w:w="9351" w:type="dxa"/>
        <w:tblLook w:val="04A0" w:firstRow="1" w:lastRow="0" w:firstColumn="1" w:lastColumn="0" w:noHBand="0" w:noVBand="1"/>
      </w:tblPr>
      <w:tblGrid>
        <w:gridCol w:w="534"/>
        <w:gridCol w:w="8817"/>
      </w:tblGrid>
      <w:tr w:rsidR="0092623B" w:rsidRPr="00283349" w14:paraId="62A49847" w14:textId="77777777" w:rsidTr="00C54211">
        <w:tc>
          <w:tcPr>
            <w:tcW w:w="534" w:type="dxa"/>
          </w:tcPr>
          <w:p w14:paraId="2BDC200A" w14:textId="77777777" w:rsidR="0092623B" w:rsidRPr="00580B68" w:rsidRDefault="0092623B" w:rsidP="007D5E3C">
            <w:pPr>
              <w:rPr>
                <w:rFonts w:ascii="Verdana" w:hAnsi="Verdana"/>
                <w:b/>
              </w:rPr>
            </w:pPr>
          </w:p>
        </w:tc>
        <w:tc>
          <w:tcPr>
            <w:tcW w:w="8817" w:type="dxa"/>
          </w:tcPr>
          <w:p w14:paraId="36C5F068" w14:textId="7FAED92E" w:rsidR="00D85377" w:rsidRPr="00EF575B" w:rsidRDefault="00EF575B" w:rsidP="00EF575B">
            <w:pPr>
              <w:pStyle w:val="NoSpacing"/>
              <w:rPr>
                <w:rFonts w:ascii="Verdana" w:hAnsi="Verdana"/>
                <w:bCs/>
              </w:rPr>
            </w:pPr>
            <w:r>
              <w:rPr>
                <w:rFonts w:ascii="Verdana" w:hAnsi="Verdana"/>
                <w:bCs/>
              </w:rPr>
              <w:t>The Policy</w:t>
            </w:r>
            <w:r w:rsidR="00D5267D">
              <w:rPr>
                <w:rFonts w:ascii="Verdana" w:hAnsi="Verdana"/>
                <w:bCs/>
              </w:rPr>
              <w:t>, which was accepted as necessarily risk averse,</w:t>
            </w:r>
            <w:r>
              <w:rPr>
                <w:rFonts w:ascii="Verdana" w:hAnsi="Verdana"/>
                <w:bCs/>
              </w:rPr>
              <w:t xml:space="preserve"> was approved on behalf of the Corporation.</w:t>
            </w:r>
          </w:p>
        </w:tc>
      </w:tr>
    </w:tbl>
    <w:p w14:paraId="4B8A1ABE" w14:textId="77777777" w:rsidR="00D5267D" w:rsidRDefault="00D5267D" w:rsidP="004F4C5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788"/>
      </w:tblGrid>
      <w:tr w:rsidR="002D189E" w:rsidRPr="00F97EF9" w14:paraId="6B663425" w14:textId="77777777" w:rsidTr="00C54211">
        <w:tc>
          <w:tcPr>
            <w:tcW w:w="534" w:type="dxa"/>
            <w:tcBorders>
              <w:top w:val="nil"/>
              <w:left w:val="nil"/>
              <w:bottom w:val="nil"/>
              <w:right w:val="nil"/>
            </w:tcBorders>
          </w:tcPr>
          <w:p w14:paraId="5A19FB96" w14:textId="3A147252" w:rsidR="002D189E" w:rsidRDefault="000B0F76" w:rsidP="00721161">
            <w:pPr>
              <w:rPr>
                <w:rFonts w:ascii="Verdana" w:hAnsi="Verdana"/>
                <w:b/>
              </w:rPr>
            </w:pPr>
            <w:r>
              <w:rPr>
                <w:rFonts w:ascii="Verdana" w:hAnsi="Verdana"/>
                <w:b/>
              </w:rPr>
              <w:t>1</w:t>
            </w:r>
            <w:r w:rsidR="005356BF">
              <w:rPr>
                <w:rFonts w:ascii="Verdana" w:hAnsi="Verdana"/>
                <w:b/>
              </w:rPr>
              <w:t>3</w:t>
            </w:r>
          </w:p>
        </w:tc>
        <w:tc>
          <w:tcPr>
            <w:tcW w:w="8788" w:type="dxa"/>
            <w:tcBorders>
              <w:top w:val="nil"/>
              <w:left w:val="nil"/>
              <w:bottom w:val="nil"/>
              <w:right w:val="nil"/>
            </w:tcBorders>
          </w:tcPr>
          <w:p w14:paraId="732CD594" w14:textId="0EFE1A4F" w:rsidR="00400A03" w:rsidRPr="00896864" w:rsidRDefault="00400A03" w:rsidP="00400A03">
            <w:pPr>
              <w:pStyle w:val="NoSpacing"/>
              <w:rPr>
                <w:rFonts w:ascii="Verdana" w:hAnsi="Verdana"/>
                <w:b/>
              </w:rPr>
            </w:pPr>
            <w:r w:rsidRPr="00896864">
              <w:rPr>
                <w:rFonts w:ascii="Verdana" w:hAnsi="Verdana"/>
                <w:b/>
              </w:rPr>
              <w:t>Dates</w:t>
            </w:r>
            <w:r>
              <w:rPr>
                <w:rFonts w:ascii="Verdana" w:hAnsi="Verdana"/>
                <w:b/>
              </w:rPr>
              <w:t xml:space="preserve"> and Times</w:t>
            </w:r>
            <w:r w:rsidRPr="00896864">
              <w:rPr>
                <w:rFonts w:ascii="Verdana" w:hAnsi="Verdana"/>
                <w:b/>
              </w:rPr>
              <w:t xml:space="preserve"> of </w:t>
            </w:r>
            <w:r>
              <w:rPr>
                <w:rFonts w:ascii="Verdana" w:hAnsi="Verdana"/>
                <w:b/>
              </w:rPr>
              <w:t>Remaining</w:t>
            </w:r>
            <w:r w:rsidRPr="00896864">
              <w:rPr>
                <w:rFonts w:ascii="Verdana" w:hAnsi="Verdana"/>
                <w:b/>
              </w:rPr>
              <w:t xml:space="preserve"> Meetings</w:t>
            </w:r>
            <w:r>
              <w:rPr>
                <w:rFonts w:ascii="Verdana" w:hAnsi="Verdana"/>
                <w:b/>
              </w:rPr>
              <w:t xml:space="preserve"> </w:t>
            </w:r>
            <w:r w:rsidR="00EF575B">
              <w:rPr>
                <w:rFonts w:ascii="Verdana" w:hAnsi="Verdana"/>
                <w:b/>
              </w:rPr>
              <w:t>2020-21</w:t>
            </w:r>
          </w:p>
          <w:p w14:paraId="79D85125" w14:textId="77777777" w:rsidR="002D189E" w:rsidRDefault="002D189E" w:rsidP="002D189E">
            <w:pPr>
              <w:rPr>
                <w:rFonts w:ascii="Verdana" w:hAnsi="Verdana"/>
              </w:rPr>
            </w:pPr>
          </w:p>
          <w:p w14:paraId="6F20B4E4" w14:textId="448EA2C7" w:rsidR="00EF575B" w:rsidRDefault="00EF575B" w:rsidP="00EF575B">
            <w:pPr>
              <w:rPr>
                <w:rFonts w:ascii="Verdana" w:hAnsi="Verdana"/>
              </w:rPr>
            </w:pPr>
            <w:r>
              <w:rPr>
                <w:rFonts w:ascii="Verdana" w:hAnsi="Verdana"/>
              </w:rPr>
              <w:t>The approved dates and times of meetings of the Committee were noted, as shown below:</w:t>
            </w:r>
          </w:p>
          <w:p w14:paraId="54C88DC1" w14:textId="77777777" w:rsidR="00EF575B" w:rsidRDefault="00EF575B" w:rsidP="00EF575B">
            <w:pPr>
              <w:rPr>
                <w:rFonts w:ascii="Verdana" w:hAnsi="Verdana"/>
              </w:rPr>
            </w:pPr>
          </w:p>
          <w:p w14:paraId="2CF319EE" w14:textId="77777777" w:rsidR="00EF575B" w:rsidRPr="00DC65DB" w:rsidRDefault="00EF575B" w:rsidP="00EF575B">
            <w:pPr>
              <w:pStyle w:val="NoSpacing"/>
              <w:rPr>
                <w:rFonts w:ascii="Verdana" w:hAnsi="Verdana"/>
                <w:b/>
                <w:i/>
              </w:rPr>
            </w:pPr>
            <w:r w:rsidRPr="00DC65DB">
              <w:rPr>
                <w:rFonts w:ascii="Verdana" w:hAnsi="Verdana"/>
                <w:b/>
                <w:i/>
              </w:rPr>
              <w:t>Tuesday 16 Ma</w:t>
            </w:r>
            <w:r>
              <w:rPr>
                <w:rFonts w:ascii="Verdana" w:hAnsi="Verdana"/>
                <w:b/>
                <w:i/>
              </w:rPr>
              <w:t>r</w:t>
            </w:r>
            <w:r w:rsidRPr="00DC65DB">
              <w:rPr>
                <w:rFonts w:ascii="Verdana" w:hAnsi="Verdana"/>
                <w:b/>
                <w:i/>
              </w:rPr>
              <w:t>ch 2021 (8.30am)</w:t>
            </w:r>
          </w:p>
          <w:p w14:paraId="053679C2" w14:textId="77777777" w:rsidR="00EF575B" w:rsidRPr="00DC65DB" w:rsidRDefault="00EF575B" w:rsidP="00EF575B">
            <w:pPr>
              <w:pStyle w:val="NoSpacing"/>
              <w:rPr>
                <w:rFonts w:ascii="Verdana" w:hAnsi="Verdana"/>
                <w:b/>
                <w:i/>
              </w:rPr>
            </w:pPr>
            <w:r w:rsidRPr="00DC65DB">
              <w:rPr>
                <w:rFonts w:ascii="Verdana" w:hAnsi="Verdana"/>
                <w:b/>
                <w:i/>
              </w:rPr>
              <w:t>Tuesday 22 June 2021 (8.30am)</w:t>
            </w:r>
          </w:p>
          <w:p w14:paraId="0E32D4F7" w14:textId="77777777" w:rsidR="003677BF" w:rsidRDefault="003677BF" w:rsidP="00044B16">
            <w:pPr>
              <w:pStyle w:val="NoSpacing"/>
              <w:rPr>
                <w:rFonts w:ascii="Verdana" w:hAnsi="Verdana"/>
                <w:b/>
              </w:rPr>
            </w:pPr>
          </w:p>
          <w:p w14:paraId="14052144" w14:textId="3D04D290" w:rsidR="005356BF" w:rsidRDefault="005356BF" w:rsidP="005356BF">
            <w:pPr>
              <w:rPr>
                <w:rFonts w:ascii="Verdana" w:hAnsi="Verdana"/>
              </w:rPr>
            </w:pPr>
            <w:r>
              <w:rPr>
                <w:rFonts w:ascii="Verdana" w:hAnsi="Verdana"/>
              </w:rPr>
              <w:t xml:space="preserve">It was agreed that, for the protection of members and the College, the 16 March 2021 meeting will be held online.  </w:t>
            </w:r>
          </w:p>
          <w:p w14:paraId="23D9EEBE" w14:textId="77777777" w:rsidR="005356BF" w:rsidRDefault="005356BF" w:rsidP="005356BF">
            <w:pPr>
              <w:rPr>
                <w:rFonts w:ascii="Verdana" w:hAnsi="Verdana"/>
              </w:rPr>
            </w:pPr>
          </w:p>
          <w:p w14:paraId="7AA8BBF9" w14:textId="77777777" w:rsidR="005356BF" w:rsidRDefault="005356BF" w:rsidP="005356BF">
            <w:pPr>
              <w:rPr>
                <w:rFonts w:ascii="Verdana" w:hAnsi="Verdana"/>
              </w:rPr>
            </w:pPr>
            <w:r>
              <w:rPr>
                <w:rFonts w:ascii="Verdana" w:hAnsi="Verdana"/>
              </w:rPr>
              <w:t>Whether subsequent meetings are held physically or online will be determined by the public health situation as it affects participants at the time.</w:t>
            </w:r>
          </w:p>
          <w:p w14:paraId="31D59FF4" w14:textId="2B524521" w:rsidR="005356BF" w:rsidRDefault="005356BF" w:rsidP="00044B16">
            <w:pPr>
              <w:pStyle w:val="NoSpacing"/>
              <w:rPr>
                <w:rFonts w:ascii="Verdana" w:hAnsi="Verdana"/>
                <w:b/>
              </w:rPr>
            </w:pPr>
          </w:p>
        </w:tc>
      </w:tr>
      <w:tr w:rsidR="002D189E" w:rsidRPr="00F97EF9" w14:paraId="30FDAEB6" w14:textId="77777777" w:rsidTr="00C54211">
        <w:tc>
          <w:tcPr>
            <w:tcW w:w="534" w:type="dxa"/>
            <w:tcBorders>
              <w:top w:val="nil"/>
              <w:left w:val="nil"/>
              <w:bottom w:val="nil"/>
              <w:right w:val="nil"/>
            </w:tcBorders>
          </w:tcPr>
          <w:p w14:paraId="437B63C4" w14:textId="6F45A46F" w:rsidR="002D189E" w:rsidRDefault="000B0F76" w:rsidP="00721161">
            <w:pPr>
              <w:rPr>
                <w:rFonts w:ascii="Verdana" w:hAnsi="Verdana"/>
                <w:b/>
              </w:rPr>
            </w:pPr>
            <w:r>
              <w:rPr>
                <w:rFonts w:ascii="Verdana" w:hAnsi="Verdana"/>
                <w:b/>
              </w:rPr>
              <w:lastRenderedPageBreak/>
              <w:t>1</w:t>
            </w:r>
            <w:r w:rsidR="005356BF">
              <w:rPr>
                <w:rFonts w:ascii="Verdana" w:hAnsi="Verdana"/>
                <w:b/>
              </w:rPr>
              <w:t>4</w:t>
            </w:r>
          </w:p>
        </w:tc>
        <w:tc>
          <w:tcPr>
            <w:tcW w:w="8788" w:type="dxa"/>
            <w:tcBorders>
              <w:top w:val="nil"/>
              <w:left w:val="nil"/>
              <w:bottom w:val="nil"/>
              <w:right w:val="nil"/>
            </w:tcBorders>
          </w:tcPr>
          <w:p w14:paraId="60BE7BF9" w14:textId="77777777" w:rsidR="002D189E" w:rsidRPr="0090279D" w:rsidRDefault="002D189E" w:rsidP="002D189E">
            <w:pPr>
              <w:pStyle w:val="NoSpacing"/>
              <w:rPr>
                <w:rFonts w:ascii="Verdana" w:hAnsi="Verdana"/>
                <w:b/>
              </w:rPr>
            </w:pPr>
            <w:r w:rsidRPr="0090279D">
              <w:rPr>
                <w:rFonts w:ascii="Verdana" w:hAnsi="Verdana"/>
                <w:b/>
              </w:rPr>
              <w:t>Any Other Competent Business</w:t>
            </w:r>
          </w:p>
          <w:p w14:paraId="6C8292C8" w14:textId="77777777" w:rsidR="002D189E" w:rsidRDefault="002D189E" w:rsidP="002136ED">
            <w:pPr>
              <w:pStyle w:val="NoSpacing"/>
              <w:rPr>
                <w:rFonts w:ascii="Verdana" w:hAnsi="Verdana"/>
                <w:b/>
              </w:rPr>
            </w:pPr>
          </w:p>
          <w:p w14:paraId="6FAF3E80" w14:textId="6296F649" w:rsidR="002D189E" w:rsidRPr="002D189E" w:rsidRDefault="00044B16" w:rsidP="003F7322">
            <w:pPr>
              <w:pStyle w:val="NoSpacing"/>
              <w:rPr>
                <w:rFonts w:ascii="Verdana" w:hAnsi="Verdana"/>
              </w:rPr>
            </w:pPr>
            <w:r>
              <w:rPr>
                <w:rFonts w:ascii="Verdana" w:hAnsi="Verdana"/>
              </w:rPr>
              <w:t>None.</w:t>
            </w:r>
          </w:p>
        </w:tc>
      </w:tr>
    </w:tbl>
    <w:p w14:paraId="4F7F5C7A" w14:textId="42D3B459" w:rsidR="001218D1" w:rsidRDefault="001218D1" w:rsidP="004F4C55"/>
    <w:p w14:paraId="2530E9AE" w14:textId="244C60BC" w:rsidR="00D85377" w:rsidRDefault="00D85377" w:rsidP="004F4C55"/>
    <w:p w14:paraId="2127C95E" w14:textId="0E64D00D" w:rsidR="00593049" w:rsidRDefault="00593049" w:rsidP="004F4C55"/>
    <w:p w14:paraId="6737517D" w14:textId="6E6F13D1" w:rsidR="006A55DA" w:rsidRPr="00413682" w:rsidRDefault="006A55DA" w:rsidP="006A55DA">
      <w:pPr>
        <w:rPr>
          <w:rFonts w:ascii="Verdana" w:hAnsi="Verdana"/>
          <w:b/>
        </w:rPr>
      </w:pPr>
      <w:r w:rsidRPr="00413682">
        <w:rPr>
          <w:rFonts w:ascii="Verdana" w:hAnsi="Verdana"/>
          <w:b/>
        </w:rPr>
        <w:t xml:space="preserve">List of Actions Arising from </w:t>
      </w:r>
      <w:r>
        <w:rPr>
          <w:rFonts w:ascii="Verdana" w:hAnsi="Verdana"/>
          <w:b/>
        </w:rPr>
        <w:t xml:space="preserve">This Meeting </w:t>
      </w:r>
    </w:p>
    <w:p w14:paraId="503E2491" w14:textId="77777777" w:rsidR="006A55DA" w:rsidRDefault="006A55DA" w:rsidP="006A55DA">
      <w:pPr>
        <w:rPr>
          <w:rFonts w:ascii="Verdana" w:hAnsi="Verdana"/>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
        <w:gridCol w:w="3017"/>
        <w:gridCol w:w="5387"/>
      </w:tblGrid>
      <w:tr w:rsidR="006A55DA" w14:paraId="6D25274B" w14:textId="77777777" w:rsidTr="00C54211">
        <w:tc>
          <w:tcPr>
            <w:tcW w:w="1060" w:type="dxa"/>
          </w:tcPr>
          <w:p w14:paraId="7B0DA7B0" w14:textId="57489576" w:rsidR="00593049" w:rsidRPr="00593049" w:rsidRDefault="006A55DA" w:rsidP="007D5E3C">
            <w:pPr>
              <w:rPr>
                <w:rFonts w:ascii="Verdana" w:hAnsi="Verdana"/>
                <w:b/>
                <w:i/>
              </w:rPr>
            </w:pPr>
            <w:r w:rsidRPr="00413682">
              <w:rPr>
                <w:rFonts w:ascii="Verdana" w:hAnsi="Verdana"/>
                <w:b/>
                <w:i/>
              </w:rPr>
              <w:t>Minute</w:t>
            </w:r>
          </w:p>
        </w:tc>
        <w:tc>
          <w:tcPr>
            <w:tcW w:w="3017" w:type="dxa"/>
          </w:tcPr>
          <w:p w14:paraId="33624299" w14:textId="00E31ABB" w:rsidR="006A55DA" w:rsidRDefault="006A55DA" w:rsidP="007D5E3C">
            <w:pPr>
              <w:rPr>
                <w:rFonts w:ascii="Verdana" w:hAnsi="Verdana"/>
                <w:b/>
                <w:i/>
              </w:rPr>
            </w:pPr>
            <w:r w:rsidRPr="00413682">
              <w:rPr>
                <w:rFonts w:ascii="Verdana" w:hAnsi="Verdana"/>
                <w:b/>
                <w:i/>
              </w:rPr>
              <w:t>Person Responsible</w:t>
            </w:r>
          </w:p>
          <w:p w14:paraId="2385396C" w14:textId="77777777" w:rsidR="00593049" w:rsidRDefault="00593049" w:rsidP="007D5E3C">
            <w:pPr>
              <w:rPr>
                <w:rFonts w:ascii="Verdana" w:hAnsi="Verdana"/>
                <w:b/>
                <w:i/>
              </w:rPr>
            </w:pPr>
          </w:p>
          <w:p w14:paraId="55E7030C" w14:textId="77191672" w:rsidR="00593049" w:rsidRPr="00593049" w:rsidRDefault="00593049" w:rsidP="007D5E3C">
            <w:pPr>
              <w:rPr>
                <w:rFonts w:ascii="Verdana" w:hAnsi="Verdana"/>
                <w:bCs/>
                <w:iCs/>
              </w:rPr>
            </w:pPr>
          </w:p>
        </w:tc>
        <w:tc>
          <w:tcPr>
            <w:tcW w:w="5387" w:type="dxa"/>
          </w:tcPr>
          <w:p w14:paraId="59A013D1" w14:textId="0C969E05" w:rsidR="006A55DA" w:rsidRPr="00413682" w:rsidRDefault="006A55DA" w:rsidP="00593049">
            <w:pPr>
              <w:rPr>
                <w:rFonts w:ascii="Verdana" w:hAnsi="Verdana"/>
                <w:b/>
                <w:i/>
              </w:rPr>
            </w:pPr>
            <w:r w:rsidRPr="00413682">
              <w:rPr>
                <w:rFonts w:ascii="Verdana" w:hAnsi="Verdana"/>
                <w:b/>
                <w:i/>
              </w:rPr>
              <w:t>Action</w:t>
            </w:r>
          </w:p>
        </w:tc>
      </w:tr>
      <w:tr w:rsidR="00467525" w14:paraId="26C79C5A" w14:textId="77777777" w:rsidTr="00C54211">
        <w:tc>
          <w:tcPr>
            <w:tcW w:w="1060" w:type="dxa"/>
          </w:tcPr>
          <w:p w14:paraId="5611E3E0" w14:textId="6D3DB99E" w:rsidR="00467525" w:rsidRPr="00413682" w:rsidRDefault="00303364" w:rsidP="007D5E3C">
            <w:pPr>
              <w:rPr>
                <w:rFonts w:ascii="Verdana" w:hAnsi="Verdana"/>
                <w:b/>
                <w:i/>
              </w:rPr>
            </w:pPr>
            <w:r>
              <w:rPr>
                <w:rFonts w:ascii="Verdana" w:hAnsi="Verdana"/>
                <w:b/>
                <w:iCs/>
              </w:rPr>
              <w:t>5</w:t>
            </w:r>
          </w:p>
        </w:tc>
        <w:tc>
          <w:tcPr>
            <w:tcW w:w="3017" w:type="dxa"/>
          </w:tcPr>
          <w:p w14:paraId="075FDBD9" w14:textId="7894F1EA" w:rsidR="00467525" w:rsidRPr="00413682" w:rsidRDefault="00303364" w:rsidP="007D5E3C">
            <w:pPr>
              <w:rPr>
                <w:rFonts w:ascii="Verdana" w:hAnsi="Verdana"/>
                <w:b/>
                <w:i/>
              </w:rPr>
            </w:pPr>
            <w:r>
              <w:rPr>
                <w:rFonts w:ascii="Verdana" w:hAnsi="Verdana"/>
                <w:bCs/>
                <w:iCs/>
              </w:rPr>
              <w:t>Head of HR</w:t>
            </w:r>
          </w:p>
        </w:tc>
        <w:tc>
          <w:tcPr>
            <w:tcW w:w="5387" w:type="dxa"/>
          </w:tcPr>
          <w:p w14:paraId="33FC0509" w14:textId="77777777" w:rsidR="00593049" w:rsidRDefault="00303364" w:rsidP="007D5E3C">
            <w:pPr>
              <w:contextualSpacing/>
              <w:rPr>
                <w:rFonts w:ascii="Verdana" w:hAnsi="Verdana"/>
              </w:rPr>
            </w:pPr>
            <w:r>
              <w:rPr>
                <w:rFonts w:ascii="Verdana" w:hAnsi="Verdana"/>
              </w:rPr>
              <w:t>Include internal promotions in future iterations of the HR Annual Report.</w:t>
            </w:r>
          </w:p>
          <w:p w14:paraId="239397EB" w14:textId="77777777" w:rsidR="00303364" w:rsidRDefault="00303364" w:rsidP="007D5E3C">
            <w:pPr>
              <w:contextualSpacing/>
              <w:rPr>
                <w:rFonts w:ascii="Verdana" w:hAnsi="Verdana"/>
              </w:rPr>
            </w:pPr>
          </w:p>
          <w:p w14:paraId="32CFCF4F" w14:textId="77777777" w:rsidR="00303364" w:rsidRDefault="00303364" w:rsidP="007D5E3C">
            <w:pPr>
              <w:contextualSpacing/>
              <w:rPr>
                <w:rFonts w:ascii="Verdana" w:hAnsi="Verdana"/>
              </w:rPr>
            </w:pPr>
            <w:r>
              <w:rPr>
                <w:rFonts w:ascii="Verdana" w:hAnsi="Verdana"/>
              </w:rPr>
              <w:t xml:space="preserve">Show breakdowns by gender and ethnicity referenced to </w:t>
            </w:r>
            <w:r w:rsidRPr="004C308B">
              <w:rPr>
                <w:rFonts w:ascii="Verdana" w:hAnsi="Verdana"/>
                <w:b/>
                <w:bCs/>
              </w:rPr>
              <w:t>levels of management</w:t>
            </w:r>
            <w:r w:rsidRPr="004C308B">
              <w:rPr>
                <w:rFonts w:ascii="Verdana" w:hAnsi="Verdana"/>
              </w:rPr>
              <w:t xml:space="preserve">, and </w:t>
            </w:r>
            <w:r>
              <w:rPr>
                <w:rFonts w:ascii="Verdana" w:hAnsi="Verdana"/>
              </w:rPr>
              <w:t>also to whether positions were filled as a result of internal promotion or external recruitment, in future iterations of the HR Annual Report.</w:t>
            </w:r>
          </w:p>
          <w:p w14:paraId="0381D4A6" w14:textId="716B0C9D" w:rsidR="00303364" w:rsidRPr="00593049" w:rsidRDefault="00303364" w:rsidP="007D5E3C">
            <w:pPr>
              <w:contextualSpacing/>
              <w:rPr>
                <w:rFonts w:ascii="Verdana" w:hAnsi="Verdana"/>
              </w:rPr>
            </w:pPr>
          </w:p>
        </w:tc>
      </w:tr>
      <w:tr w:rsidR="00303364" w14:paraId="0C68B706" w14:textId="77777777" w:rsidTr="00C54211">
        <w:tc>
          <w:tcPr>
            <w:tcW w:w="1060" w:type="dxa"/>
          </w:tcPr>
          <w:p w14:paraId="1EC6E68D" w14:textId="0006C8DC" w:rsidR="00303364" w:rsidRDefault="00AC7FCA" w:rsidP="007D5E3C">
            <w:pPr>
              <w:rPr>
                <w:rFonts w:ascii="Verdana" w:hAnsi="Verdana"/>
                <w:b/>
                <w:iCs/>
              </w:rPr>
            </w:pPr>
            <w:r>
              <w:rPr>
                <w:rFonts w:ascii="Verdana" w:hAnsi="Verdana"/>
                <w:b/>
                <w:iCs/>
              </w:rPr>
              <w:t>10</w:t>
            </w:r>
          </w:p>
        </w:tc>
        <w:tc>
          <w:tcPr>
            <w:tcW w:w="3017" w:type="dxa"/>
          </w:tcPr>
          <w:p w14:paraId="2713107D" w14:textId="4F1BDF7B" w:rsidR="00C54211" w:rsidRDefault="00C54211" w:rsidP="007D5E3C">
            <w:pPr>
              <w:rPr>
                <w:rFonts w:ascii="Verdana" w:hAnsi="Verdana"/>
                <w:bCs/>
                <w:iCs/>
              </w:rPr>
            </w:pPr>
            <w:r>
              <w:rPr>
                <w:rFonts w:ascii="Verdana" w:hAnsi="Verdana"/>
                <w:bCs/>
                <w:iCs/>
              </w:rPr>
              <w:t>Clerk to the Corporation</w:t>
            </w:r>
          </w:p>
          <w:p w14:paraId="51257718" w14:textId="77777777" w:rsidR="00C54211" w:rsidRDefault="00C54211" w:rsidP="007D5E3C">
            <w:pPr>
              <w:rPr>
                <w:rFonts w:ascii="Verdana" w:hAnsi="Verdana"/>
                <w:bCs/>
                <w:iCs/>
              </w:rPr>
            </w:pPr>
          </w:p>
          <w:p w14:paraId="2CDFF11D" w14:textId="77777777" w:rsidR="00C54211" w:rsidRDefault="00C54211" w:rsidP="007D5E3C">
            <w:pPr>
              <w:rPr>
                <w:rFonts w:ascii="Verdana" w:hAnsi="Verdana"/>
                <w:bCs/>
                <w:iCs/>
              </w:rPr>
            </w:pPr>
          </w:p>
          <w:p w14:paraId="4F8772BC" w14:textId="2631BD6E" w:rsidR="00303364" w:rsidRDefault="00AC7FCA" w:rsidP="007D5E3C">
            <w:pPr>
              <w:rPr>
                <w:rFonts w:ascii="Verdana" w:hAnsi="Verdana"/>
                <w:bCs/>
                <w:iCs/>
              </w:rPr>
            </w:pPr>
            <w:r>
              <w:rPr>
                <w:rFonts w:ascii="Verdana" w:hAnsi="Verdana"/>
                <w:bCs/>
                <w:iCs/>
              </w:rPr>
              <w:t>Vice-Principal: Corporate Services</w:t>
            </w:r>
          </w:p>
        </w:tc>
        <w:tc>
          <w:tcPr>
            <w:tcW w:w="5387" w:type="dxa"/>
          </w:tcPr>
          <w:p w14:paraId="082505F2" w14:textId="1B07752C" w:rsidR="00C54211" w:rsidRDefault="00C54211" w:rsidP="007D5E3C">
            <w:pPr>
              <w:contextualSpacing/>
              <w:rPr>
                <w:rFonts w:ascii="Verdana" w:hAnsi="Verdana" w:cs="Arial"/>
              </w:rPr>
            </w:pPr>
            <w:r>
              <w:rPr>
                <w:rFonts w:ascii="Verdana" w:hAnsi="Verdana" w:cs="Arial"/>
              </w:rPr>
              <w:t>Provide an agendum at the 16 March meeting for consideration of the financial forecast.</w:t>
            </w:r>
          </w:p>
          <w:p w14:paraId="0826E56A" w14:textId="77777777" w:rsidR="00C54211" w:rsidRDefault="00C54211" w:rsidP="007D5E3C">
            <w:pPr>
              <w:contextualSpacing/>
              <w:rPr>
                <w:rFonts w:ascii="Verdana" w:hAnsi="Verdana" w:cs="Arial"/>
              </w:rPr>
            </w:pPr>
          </w:p>
          <w:p w14:paraId="1A496307" w14:textId="0F61CA6B" w:rsidR="00303364" w:rsidRDefault="00AC7FCA" w:rsidP="007D5E3C">
            <w:pPr>
              <w:contextualSpacing/>
              <w:rPr>
                <w:rFonts w:ascii="Verdana" w:hAnsi="Verdana"/>
              </w:rPr>
            </w:pPr>
            <w:r>
              <w:rPr>
                <w:rFonts w:ascii="Verdana" w:hAnsi="Verdana" w:cs="Arial"/>
              </w:rPr>
              <w:t xml:space="preserve">Future iterations of the College management </w:t>
            </w:r>
            <w:proofErr w:type="gramStart"/>
            <w:r>
              <w:rPr>
                <w:rFonts w:ascii="Verdana" w:hAnsi="Verdana" w:cs="Arial"/>
              </w:rPr>
              <w:t>accounts</w:t>
            </w:r>
            <w:proofErr w:type="gramEnd"/>
            <w:r>
              <w:rPr>
                <w:rFonts w:ascii="Verdana" w:hAnsi="Verdana" w:cs="Arial"/>
              </w:rPr>
              <w:t xml:space="preserve"> and the 2020-21 Annual Report and Financial Statements to show staff costs divided between teaching, direct student support and other support, with supporting rationales for any significant changes in the proportions reported.</w:t>
            </w:r>
          </w:p>
        </w:tc>
      </w:tr>
    </w:tbl>
    <w:p w14:paraId="6AB9712A" w14:textId="43D78B8C" w:rsidR="006A55DA" w:rsidRDefault="006A55DA" w:rsidP="004F4C55"/>
    <w:p w14:paraId="3F116070" w14:textId="18AD75B7" w:rsidR="00C54211" w:rsidRPr="00C54211" w:rsidRDefault="00C54211" w:rsidP="00C54211"/>
    <w:p w14:paraId="5189BCD4" w14:textId="2C1DF891" w:rsidR="00C54211" w:rsidRPr="00C54211" w:rsidRDefault="00C54211" w:rsidP="00C54211"/>
    <w:p w14:paraId="14D5AD91" w14:textId="647053D0" w:rsidR="00C54211" w:rsidRDefault="00C54211" w:rsidP="00C54211"/>
    <w:p w14:paraId="444C3EFC" w14:textId="3C191D04" w:rsidR="00C54211" w:rsidRPr="00C54211" w:rsidRDefault="00C54211" w:rsidP="00C54211">
      <w:pPr>
        <w:tabs>
          <w:tab w:val="left" w:pos="2685"/>
        </w:tabs>
      </w:pPr>
      <w:r>
        <w:tab/>
      </w:r>
      <w:bookmarkStart w:id="0" w:name="_GoBack"/>
      <w:bookmarkEnd w:id="0"/>
    </w:p>
    <w:sectPr w:rsidR="00C54211" w:rsidRPr="00C542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656EF"/>
    <w:multiLevelType w:val="hybridMultilevel"/>
    <w:tmpl w:val="9FBEC4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C817EDB"/>
    <w:multiLevelType w:val="hybridMultilevel"/>
    <w:tmpl w:val="DE2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C0030"/>
    <w:multiLevelType w:val="hybridMultilevel"/>
    <w:tmpl w:val="E416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99739E"/>
    <w:multiLevelType w:val="hybridMultilevel"/>
    <w:tmpl w:val="66E6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62143B"/>
    <w:multiLevelType w:val="hybridMultilevel"/>
    <w:tmpl w:val="7D7C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117D8D"/>
    <w:multiLevelType w:val="hybridMultilevel"/>
    <w:tmpl w:val="F36AB6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572228"/>
    <w:multiLevelType w:val="hybridMultilevel"/>
    <w:tmpl w:val="FB6ACFCC"/>
    <w:lvl w:ilvl="0" w:tplc="35D465BA">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F0825"/>
    <w:multiLevelType w:val="hybridMultilevel"/>
    <w:tmpl w:val="5438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B36C55"/>
    <w:multiLevelType w:val="hybridMultilevel"/>
    <w:tmpl w:val="A4D4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773C5"/>
    <w:multiLevelType w:val="hybridMultilevel"/>
    <w:tmpl w:val="D93C6AB4"/>
    <w:lvl w:ilvl="0" w:tplc="08090001">
      <w:start w:val="1"/>
      <w:numFmt w:val="bullet"/>
      <w:lvlText w:val=""/>
      <w:lvlJc w:val="left"/>
      <w:pPr>
        <w:tabs>
          <w:tab w:val="num" w:pos="720"/>
        </w:tabs>
        <w:ind w:left="720" w:hanging="360"/>
      </w:pPr>
      <w:rPr>
        <w:rFonts w:ascii="Symbol" w:hAnsi="Symbol" w:hint="default"/>
      </w:rPr>
    </w:lvl>
    <w:lvl w:ilvl="1" w:tplc="6E2AA1E2">
      <w:start w:val="3"/>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971A1C"/>
    <w:multiLevelType w:val="hybridMultilevel"/>
    <w:tmpl w:val="D500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0B5B87"/>
    <w:multiLevelType w:val="hybridMultilevel"/>
    <w:tmpl w:val="915E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6E2DB0"/>
    <w:multiLevelType w:val="hybridMultilevel"/>
    <w:tmpl w:val="ED628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3"/>
  </w:num>
  <w:num w:numId="5">
    <w:abstractNumId w:val="11"/>
  </w:num>
  <w:num w:numId="6">
    <w:abstractNumId w:val="1"/>
  </w:num>
  <w:num w:numId="7">
    <w:abstractNumId w:val="4"/>
  </w:num>
  <w:num w:numId="8">
    <w:abstractNumId w:val="2"/>
  </w:num>
  <w:num w:numId="9">
    <w:abstractNumId w:val="12"/>
  </w:num>
  <w:num w:numId="10">
    <w:abstractNumId w:val="5"/>
  </w:num>
  <w:num w:numId="11">
    <w:abstractNumId w:val="8"/>
  </w:num>
  <w:num w:numId="12">
    <w:abstractNumId w:val="1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F4E"/>
    <w:rsid w:val="00005B4A"/>
    <w:rsid w:val="00007FC0"/>
    <w:rsid w:val="00011CD9"/>
    <w:rsid w:val="00012BA4"/>
    <w:rsid w:val="00014529"/>
    <w:rsid w:val="000151A8"/>
    <w:rsid w:val="0001737C"/>
    <w:rsid w:val="000220A5"/>
    <w:rsid w:val="00026381"/>
    <w:rsid w:val="00032EF3"/>
    <w:rsid w:val="00035B29"/>
    <w:rsid w:val="00044B16"/>
    <w:rsid w:val="00044EF9"/>
    <w:rsid w:val="00052605"/>
    <w:rsid w:val="0005304E"/>
    <w:rsid w:val="00054296"/>
    <w:rsid w:val="0005695F"/>
    <w:rsid w:val="00062135"/>
    <w:rsid w:val="00066965"/>
    <w:rsid w:val="000734E6"/>
    <w:rsid w:val="00083F5C"/>
    <w:rsid w:val="00084126"/>
    <w:rsid w:val="00090F36"/>
    <w:rsid w:val="00091237"/>
    <w:rsid w:val="00094D85"/>
    <w:rsid w:val="0009514A"/>
    <w:rsid w:val="000955C7"/>
    <w:rsid w:val="00096317"/>
    <w:rsid w:val="00096EE9"/>
    <w:rsid w:val="000A3026"/>
    <w:rsid w:val="000A4701"/>
    <w:rsid w:val="000A5A31"/>
    <w:rsid w:val="000A7EB7"/>
    <w:rsid w:val="000B0F76"/>
    <w:rsid w:val="000B0F91"/>
    <w:rsid w:val="000B33A1"/>
    <w:rsid w:val="000B7F3D"/>
    <w:rsid w:val="000C15EE"/>
    <w:rsid w:val="000C31CC"/>
    <w:rsid w:val="000D081E"/>
    <w:rsid w:val="000D4683"/>
    <w:rsid w:val="000D4784"/>
    <w:rsid w:val="000D734E"/>
    <w:rsid w:val="000E2D15"/>
    <w:rsid w:val="000E718C"/>
    <w:rsid w:val="000E75C1"/>
    <w:rsid w:val="000F4119"/>
    <w:rsid w:val="000F7CAB"/>
    <w:rsid w:val="00100DB8"/>
    <w:rsid w:val="00112BC7"/>
    <w:rsid w:val="00113116"/>
    <w:rsid w:val="00114983"/>
    <w:rsid w:val="00114E16"/>
    <w:rsid w:val="001218D1"/>
    <w:rsid w:val="001359BD"/>
    <w:rsid w:val="001434D1"/>
    <w:rsid w:val="00144B1A"/>
    <w:rsid w:val="00145538"/>
    <w:rsid w:val="00152971"/>
    <w:rsid w:val="00160261"/>
    <w:rsid w:val="00160959"/>
    <w:rsid w:val="001726DC"/>
    <w:rsid w:val="00173740"/>
    <w:rsid w:val="00173C78"/>
    <w:rsid w:val="0017770B"/>
    <w:rsid w:val="00181BFC"/>
    <w:rsid w:val="0018545A"/>
    <w:rsid w:val="0019046B"/>
    <w:rsid w:val="00192F99"/>
    <w:rsid w:val="001950A3"/>
    <w:rsid w:val="001A06BE"/>
    <w:rsid w:val="001A1D95"/>
    <w:rsid w:val="001A2738"/>
    <w:rsid w:val="001A2D89"/>
    <w:rsid w:val="001A36CA"/>
    <w:rsid w:val="001B0932"/>
    <w:rsid w:val="001B1365"/>
    <w:rsid w:val="001B4420"/>
    <w:rsid w:val="001B4AFA"/>
    <w:rsid w:val="001B63C7"/>
    <w:rsid w:val="001B739E"/>
    <w:rsid w:val="001C0A00"/>
    <w:rsid w:val="001C4DD3"/>
    <w:rsid w:val="001C69C1"/>
    <w:rsid w:val="001C746E"/>
    <w:rsid w:val="001D0987"/>
    <w:rsid w:val="001D0EF6"/>
    <w:rsid w:val="001D3374"/>
    <w:rsid w:val="001D550C"/>
    <w:rsid w:val="001E1079"/>
    <w:rsid w:val="001E18F8"/>
    <w:rsid w:val="001E2C2D"/>
    <w:rsid w:val="001E2D8C"/>
    <w:rsid w:val="001E4EB2"/>
    <w:rsid w:val="001E5F8F"/>
    <w:rsid w:val="001F2500"/>
    <w:rsid w:val="001F2DC1"/>
    <w:rsid w:val="001F3083"/>
    <w:rsid w:val="001F760D"/>
    <w:rsid w:val="00200C66"/>
    <w:rsid w:val="002057D6"/>
    <w:rsid w:val="00205D8D"/>
    <w:rsid w:val="0020744E"/>
    <w:rsid w:val="00210A83"/>
    <w:rsid w:val="00210DDF"/>
    <w:rsid w:val="002136ED"/>
    <w:rsid w:val="00216092"/>
    <w:rsid w:val="00217ADB"/>
    <w:rsid w:val="00222E73"/>
    <w:rsid w:val="00223BC3"/>
    <w:rsid w:val="00224BAE"/>
    <w:rsid w:val="0022757D"/>
    <w:rsid w:val="00232B9C"/>
    <w:rsid w:val="0024052E"/>
    <w:rsid w:val="00242A9A"/>
    <w:rsid w:val="00242F9C"/>
    <w:rsid w:val="00244E9A"/>
    <w:rsid w:val="002478A6"/>
    <w:rsid w:val="00254878"/>
    <w:rsid w:val="00254F63"/>
    <w:rsid w:val="00256047"/>
    <w:rsid w:val="00260D64"/>
    <w:rsid w:val="00260E93"/>
    <w:rsid w:val="00263B29"/>
    <w:rsid w:val="00267515"/>
    <w:rsid w:val="00267FC6"/>
    <w:rsid w:val="00270409"/>
    <w:rsid w:val="0027151B"/>
    <w:rsid w:val="0027745A"/>
    <w:rsid w:val="00283349"/>
    <w:rsid w:val="00283C9C"/>
    <w:rsid w:val="00285AED"/>
    <w:rsid w:val="00287ACA"/>
    <w:rsid w:val="00291A9A"/>
    <w:rsid w:val="00296A3A"/>
    <w:rsid w:val="002A08D9"/>
    <w:rsid w:val="002B0EB1"/>
    <w:rsid w:val="002B2F54"/>
    <w:rsid w:val="002B6900"/>
    <w:rsid w:val="002C3345"/>
    <w:rsid w:val="002C5665"/>
    <w:rsid w:val="002D019D"/>
    <w:rsid w:val="002D06EF"/>
    <w:rsid w:val="002D189E"/>
    <w:rsid w:val="002D2E7D"/>
    <w:rsid w:val="002D7F83"/>
    <w:rsid w:val="002E019A"/>
    <w:rsid w:val="002E39BF"/>
    <w:rsid w:val="002F4079"/>
    <w:rsid w:val="002F6DD1"/>
    <w:rsid w:val="00303364"/>
    <w:rsid w:val="003047BB"/>
    <w:rsid w:val="003048D4"/>
    <w:rsid w:val="003051AF"/>
    <w:rsid w:val="0031164C"/>
    <w:rsid w:val="003158E4"/>
    <w:rsid w:val="00316763"/>
    <w:rsid w:val="00323D47"/>
    <w:rsid w:val="003275B0"/>
    <w:rsid w:val="003332FB"/>
    <w:rsid w:val="00334682"/>
    <w:rsid w:val="003377CD"/>
    <w:rsid w:val="0034231B"/>
    <w:rsid w:val="00343A4E"/>
    <w:rsid w:val="003514A2"/>
    <w:rsid w:val="0036346D"/>
    <w:rsid w:val="003675F7"/>
    <w:rsid w:val="003677BF"/>
    <w:rsid w:val="00376A8E"/>
    <w:rsid w:val="00382376"/>
    <w:rsid w:val="003A4D45"/>
    <w:rsid w:val="003A711A"/>
    <w:rsid w:val="003B1C00"/>
    <w:rsid w:val="003B2119"/>
    <w:rsid w:val="003B4860"/>
    <w:rsid w:val="003B6572"/>
    <w:rsid w:val="003B6DF3"/>
    <w:rsid w:val="003B7E6E"/>
    <w:rsid w:val="003C23B2"/>
    <w:rsid w:val="003C407C"/>
    <w:rsid w:val="003C7785"/>
    <w:rsid w:val="003D170F"/>
    <w:rsid w:val="003D45B8"/>
    <w:rsid w:val="003D6982"/>
    <w:rsid w:val="003E1B0F"/>
    <w:rsid w:val="003E41ED"/>
    <w:rsid w:val="003E4B94"/>
    <w:rsid w:val="003E5024"/>
    <w:rsid w:val="003F0E4B"/>
    <w:rsid w:val="003F5F19"/>
    <w:rsid w:val="003F6C09"/>
    <w:rsid w:val="003F7322"/>
    <w:rsid w:val="00400A03"/>
    <w:rsid w:val="00403178"/>
    <w:rsid w:val="00403CFD"/>
    <w:rsid w:val="004054DF"/>
    <w:rsid w:val="00410F2C"/>
    <w:rsid w:val="00415400"/>
    <w:rsid w:val="00421A00"/>
    <w:rsid w:val="0042206F"/>
    <w:rsid w:val="0042394D"/>
    <w:rsid w:val="004241F0"/>
    <w:rsid w:val="00436F19"/>
    <w:rsid w:val="0044098C"/>
    <w:rsid w:val="004442F5"/>
    <w:rsid w:val="00446FEA"/>
    <w:rsid w:val="00450D96"/>
    <w:rsid w:val="004537E6"/>
    <w:rsid w:val="00453DDA"/>
    <w:rsid w:val="00463CDF"/>
    <w:rsid w:val="00464724"/>
    <w:rsid w:val="00466B92"/>
    <w:rsid w:val="00466CD1"/>
    <w:rsid w:val="00467525"/>
    <w:rsid w:val="004712C9"/>
    <w:rsid w:val="0047331C"/>
    <w:rsid w:val="0047706B"/>
    <w:rsid w:val="00483C6C"/>
    <w:rsid w:val="004849BE"/>
    <w:rsid w:val="00485D81"/>
    <w:rsid w:val="004919B3"/>
    <w:rsid w:val="00496CB0"/>
    <w:rsid w:val="004978F4"/>
    <w:rsid w:val="004B0DDE"/>
    <w:rsid w:val="004B7094"/>
    <w:rsid w:val="004C13C1"/>
    <w:rsid w:val="004C18D3"/>
    <w:rsid w:val="004C308B"/>
    <w:rsid w:val="004C390C"/>
    <w:rsid w:val="004D0F6A"/>
    <w:rsid w:val="004D4806"/>
    <w:rsid w:val="004D4D39"/>
    <w:rsid w:val="004D7DB1"/>
    <w:rsid w:val="004E6BBD"/>
    <w:rsid w:val="004E7128"/>
    <w:rsid w:val="004F2B66"/>
    <w:rsid w:val="004F4C55"/>
    <w:rsid w:val="005022F6"/>
    <w:rsid w:val="0050589F"/>
    <w:rsid w:val="005111D7"/>
    <w:rsid w:val="00513F35"/>
    <w:rsid w:val="005149C9"/>
    <w:rsid w:val="00515916"/>
    <w:rsid w:val="005167E8"/>
    <w:rsid w:val="00520C83"/>
    <w:rsid w:val="005256A7"/>
    <w:rsid w:val="00526961"/>
    <w:rsid w:val="00532624"/>
    <w:rsid w:val="00532B6B"/>
    <w:rsid w:val="00532C4D"/>
    <w:rsid w:val="00532D90"/>
    <w:rsid w:val="00532F99"/>
    <w:rsid w:val="005356BF"/>
    <w:rsid w:val="0053720D"/>
    <w:rsid w:val="00541404"/>
    <w:rsid w:val="00541B61"/>
    <w:rsid w:val="00547F03"/>
    <w:rsid w:val="005550A6"/>
    <w:rsid w:val="00561C1E"/>
    <w:rsid w:val="005629AA"/>
    <w:rsid w:val="00563141"/>
    <w:rsid w:val="00566AC5"/>
    <w:rsid w:val="00567AED"/>
    <w:rsid w:val="00570086"/>
    <w:rsid w:val="00570821"/>
    <w:rsid w:val="005751EF"/>
    <w:rsid w:val="00585941"/>
    <w:rsid w:val="005902FA"/>
    <w:rsid w:val="00593049"/>
    <w:rsid w:val="00593B73"/>
    <w:rsid w:val="005A0135"/>
    <w:rsid w:val="005A1B5C"/>
    <w:rsid w:val="005A3352"/>
    <w:rsid w:val="005A4C8A"/>
    <w:rsid w:val="005A53DD"/>
    <w:rsid w:val="005B0912"/>
    <w:rsid w:val="005B55F3"/>
    <w:rsid w:val="005C4323"/>
    <w:rsid w:val="005C6552"/>
    <w:rsid w:val="005C72FE"/>
    <w:rsid w:val="005D0C11"/>
    <w:rsid w:val="005D1EDD"/>
    <w:rsid w:val="005D70D6"/>
    <w:rsid w:val="005E0D14"/>
    <w:rsid w:val="005E1FD6"/>
    <w:rsid w:val="005E20DC"/>
    <w:rsid w:val="005E3EB3"/>
    <w:rsid w:val="005E6D7D"/>
    <w:rsid w:val="005F29AB"/>
    <w:rsid w:val="00612B3F"/>
    <w:rsid w:val="00615A25"/>
    <w:rsid w:val="00620A62"/>
    <w:rsid w:val="00624F38"/>
    <w:rsid w:val="00626B68"/>
    <w:rsid w:val="00627940"/>
    <w:rsid w:val="0063043F"/>
    <w:rsid w:val="006404F8"/>
    <w:rsid w:val="00640E6B"/>
    <w:rsid w:val="00640F7C"/>
    <w:rsid w:val="006418AB"/>
    <w:rsid w:val="00641963"/>
    <w:rsid w:val="0065071C"/>
    <w:rsid w:val="00651B90"/>
    <w:rsid w:val="00656CB2"/>
    <w:rsid w:val="0066082E"/>
    <w:rsid w:val="00665CC3"/>
    <w:rsid w:val="00667DFF"/>
    <w:rsid w:val="006711BB"/>
    <w:rsid w:val="00677DC2"/>
    <w:rsid w:val="00686041"/>
    <w:rsid w:val="00686CE1"/>
    <w:rsid w:val="00692AD6"/>
    <w:rsid w:val="006954F5"/>
    <w:rsid w:val="006957D1"/>
    <w:rsid w:val="00695DDB"/>
    <w:rsid w:val="006A205C"/>
    <w:rsid w:val="006A55DA"/>
    <w:rsid w:val="006A620A"/>
    <w:rsid w:val="006B23E2"/>
    <w:rsid w:val="006B34CF"/>
    <w:rsid w:val="006B53B2"/>
    <w:rsid w:val="006B5E80"/>
    <w:rsid w:val="006C1BD0"/>
    <w:rsid w:val="006C7448"/>
    <w:rsid w:val="006D00F2"/>
    <w:rsid w:val="006D43DB"/>
    <w:rsid w:val="006E19BB"/>
    <w:rsid w:val="006E357F"/>
    <w:rsid w:val="006E52DC"/>
    <w:rsid w:val="006F5AC3"/>
    <w:rsid w:val="00701B1A"/>
    <w:rsid w:val="00702927"/>
    <w:rsid w:val="00703FFE"/>
    <w:rsid w:val="00706434"/>
    <w:rsid w:val="0070775E"/>
    <w:rsid w:val="00715FA8"/>
    <w:rsid w:val="00721161"/>
    <w:rsid w:val="00722E12"/>
    <w:rsid w:val="0072391E"/>
    <w:rsid w:val="0072520F"/>
    <w:rsid w:val="0072769C"/>
    <w:rsid w:val="007332D8"/>
    <w:rsid w:val="0073486B"/>
    <w:rsid w:val="00734ABA"/>
    <w:rsid w:val="00735AC9"/>
    <w:rsid w:val="00737785"/>
    <w:rsid w:val="00743BF9"/>
    <w:rsid w:val="007625D6"/>
    <w:rsid w:val="007654B2"/>
    <w:rsid w:val="007702AA"/>
    <w:rsid w:val="007732D8"/>
    <w:rsid w:val="0077530B"/>
    <w:rsid w:val="00786B42"/>
    <w:rsid w:val="00787D4E"/>
    <w:rsid w:val="00796079"/>
    <w:rsid w:val="007A203E"/>
    <w:rsid w:val="007A4678"/>
    <w:rsid w:val="007A794E"/>
    <w:rsid w:val="007B3890"/>
    <w:rsid w:val="007B744C"/>
    <w:rsid w:val="007B761A"/>
    <w:rsid w:val="007C2965"/>
    <w:rsid w:val="007C4BB7"/>
    <w:rsid w:val="007D3B7D"/>
    <w:rsid w:val="007D5E3C"/>
    <w:rsid w:val="007E04D8"/>
    <w:rsid w:val="007E0889"/>
    <w:rsid w:val="007F4F26"/>
    <w:rsid w:val="007F783F"/>
    <w:rsid w:val="00804A50"/>
    <w:rsid w:val="00804C0C"/>
    <w:rsid w:val="00805210"/>
    <w:rsid w:val="00806EE1"/>
    <w:rsid w:val="00807E93"/>
    <w:rsid w:val="00807F5E"/>
    <w:rsid w:val="00812EAA"/>
    <w:rsid w:val="00813C96"/>
    <w:rsid w:val="008144FD"/>
    <w:rsid w:val="00814666"/>
    <w:rsid w:val="00816892"/>
    <w:rsid w:val="00817729"/>
    <w:rsid w:val="00820BA3"/>
    <w:rsid w:val="0082741F"/>
    <w:rsid w:val="0083078D"/>
    <w:rsid w:val="008325C3"/>
    <w:rsid w:val="00834D6E"/>
    <w:rsid w:val="008401E0"/>
    <w:rsid w:val="008407A7"/>
    <w:rsid w:val="00851250"/>
    <w:rsid w:val="008547EF"/>
    <w:rsid w:val="008573E6"/>
    <w:rsid w:val="0086749B"/>
    <w:rsid w:val="008727AB"/>
    <w:rsid w:val="008739A9"/>
    <w:rsid w:val="008870B7"/>
    <w:rsid w:val="0089035F"/>
    <w:rsid w:val="008909C4"/>
    <w:rsid w:val="00894384"/>
    <w:rsid w:val="008956C6"/>
    <w:rsid w:val="008A3234"/>
    <w:rsid w:val="008A387B"/>
    <w:rsid w:val="008A3C02"/>
    <w:rsid w:val="008A6127"/>
    <w:rsid w:val="008B62E7"/>
    <w:rsid w:val="008D2564"/>
    <w:rsid w:val="008D3150"/>
    <w:rsid w:val="008D408C"/>
    <w:rsid w:val="008D4E49"/>
    <w:rsid w:val="008D6582"/>
    <w:rsid w:val="008D758D"/>
    <w:rsid w:val="008F05CA"/>
    <w:rsid w:val="008F41FB"/>
    <w:rsid w:val="00907F4F"/>
    <w:rsid w:val="00911BC5"/>
    <w:rsid w:val="00925ABC"/>
    <w:rsid w:val="0092623B"/>
    <w:rsid w:val="00926BAB"/>
    <w:rsid w:val="00926DF3"/>
    <w:rsid w:val="00927AFF"/>
    <w:rsid w:val="00933109"/>
    <w:rsid w:val="00936F69"/>
    <w:rsid w:val="0094113D"/>
    <w:rsid w:val="00942671"/>
    <w:rsid w:val="00945E8C"/>
    <w:rsid w:val="00947528"/>
    <w:rsid w:val="00947EEB"/>
    <w:rsid w:val="00951519"/>
    <w:rsid w:val="00961F4E"/>
    <w:rsid w:val="0096309F"/>
    <w:rsid w:val="009647F2"/>
    <w:rsid w:val="009673DA"/>
    <w:rsid w:val="00973AB2"/>
    <w:rsid w:val="00973C34"/>
    <w:rsid w:val="00976B39"/>
    <w:rsid w:val="009815B4"/>
    <w:rsid w:val="009917EB"/>
    <w:rsid w:val="009948D8"/>
    <w:rsid w:val="009A0C3B"/>
    <w:rsid w:val="009A1EFC"/>
    <w:rsid w:val="009A6545"/>
    <w:rsid w:val="009B12C4"/>
    <w:rsid w:val="009B2C3E"/>
    <w:rsid w:val="009B2F50"/>
    <w:rsid w:val="009B7DF3"/>
    <w:rsid w:val="009D71AA"/>
    <w:rsid w:val="009E49F5"/>
    <w:rsid w:val="009F13D6"/>
    <w:rsid w:val="009F4315"/>
    <w:rsid w:val="00A06A12"/>
    <w:rsid w:val="00A07CB9"/>
    <w:rsid w:val="00A100E5"/>
    <w:rsid w:val="00A1087A"/>
    <w:rsid w:val="00A134A9"/>
    <w:rsid w:val="00A1529C"/>
    <w:rsid w:val="00A15C89"/>
    <w:rsid w:val="00A300E0"/>
    <w:rsid w:val="00A41ABE"/>
    <w:rsid w:val="00A43223"/>
    <w:rsid w:val="00A466EC"/>
    <w:rsid w:val="00A505E4"/>
    <w:rsid w:val="00A5082F"/>
    <w:rsid w:val="00A50968"/>
    <w:rsid w:val="00A52980"/>
    <w:rsid w:val="00A53EF7"/>
    <w:rsid w:val="00A63B80"/>
    <w:rsid w:val="00A649BB"/>
    <w:rsid w:val="00A71A30"/>
    <w:rsid w:val="00A74270"/>
    <w:rsid w:val="00A7491E"/>
    <w:rsid w:val="00A7544D"/>
    <w:rsid w:val="00A82D9F"/>
    <w:rsid w:val="00A84092"/>
    <w:rsid w:val="00A870EC"/>
    <w:rsid w:val="00A954BB"/>
    <w:rsid w:val="00AA02CF"/>
    <w:rsid w:val="00AA309E"/>
    <w:rsid w:val="00AA6014"/>
    <w:rsid w:val="00AB03CA"/>
    <w:rsid w:val="00AB0A71"/>
    <w:rsid w:val="00AB51C1"/>
    <w:rsid w:val="00AB56E0"/>
    <w:rsid w:val="00AB5853"/>
    <w:rsid w:val="00AB5C8F"/>
    <w:rsid w:val="00AC2456"/>
    <w:rsid w:val="00AC4B4E"/>
    <w:rsid w:val="00AC7FCA"/>
    <w:rsid w:val="00AD36A5"/>
    <w:rsid w:val="00AD59DD"/>
    <w:rsid w:val="00AE02AD"/>
    <w:rsid w:val="00AE293C"/>
    <w:rsid w:val="00AF25A7"/>
    <w:rsid w:val="00AF4683"/>
    <w:rsid w:val="00AF4E49"/>
    <w:rsid w:val="00AF6898"/>
    <w:rsid w:val="00AF7874"/>
    <w:rsid w:val="00AF7C4B"/>
    <w:rsid w:val="00B0018F"/>
    <w:rsid w:val="00B05E76"/>
    <w:rsid w:val="00B10337"/>
    <w:rsid w:val="00B13783"/>
    <w:rsid w:val="00B148D5"/>
    <w:rsid w:val="00B151ED"/>
    <w:rsid w:val="00B24658"/>
    <w:rsid w:val="00B24D05"/>
    <w:rsid w:val="00B4255F"/>
    <w:rsid w:val="00B506B9"/>
    <w:rsid w:val="00B53E8C"/>
    <w:rsid w:val="00B55328"/>
    <w:rsid w:val="00B575BF"/>
    <w:rsid w:val="00B57DFE"/>
    <w:rsid w:val="00B62B86"/>
    <w:rsid w:val="00B63FF8"/>
    <w:rsid w:val="00B66F0E"/>
    <w:rsid w:val="00B71115"/>
    <w:rsid w:val="00B74C08"/>
    <w:rsid w:val="00B75056"/>
    <w:rsid w:val="00B75301"/>
    <w:rsid w:val="00B814F2"/>
    <w:rsid w:val="00B84AD3"/>
    <w:rsid w:val="00B86006"/>
    <w:rsid w:val="00B91E93"/>
    <w:rsid w:val="00B92C85"/>
    <w:rsid w:val="00B93999"/>
    <w:rsid w:val="00BA229C"/>
    <w:rsid w:val="00BB110D"/>
    <w:rsid w:val="00BB4BA5"/>
    <w:rsid w:val="00BB4BB8"/>
    <w:rsid w:val="00BB6B34"/>
    <w:rsid w:val="00BC3E18"/>
    <w:rsid w:val="00BC7D00"/>
    <w:rsid w:val="00BD0B2E"/>
    <w:rsid w:val="00BD1EA8"/>
    <w:rsid w:val="00BE60A4"/>
    <w:rsid w:val="00BE6A09"/>
    <w:rsid w:val="00BE7A4E"/>
    <w:rsid w:val="00BF1465"/>
    <w:rsid w:val="00BF6A58"/>
    <w:rsid w:val="00BF7DCF"/>
    <w:rsid w:val="00C02B55"/>
    <w:rsid w:val="00C17AEC"/>
    <w:rsid w:val="00C23405"/>
    <w:rsid w:val="00C26D68"/>
    <w:rsid w:val="00C31648"/>
    <w:rsid w:val="00C338CD"/>
    <w:rsid w:val="00C34FDC"/>
    <w:rsid w:val="00C35325"/>
    <w:rsid w:val="00C36142"/>
    <w:rsid w:val="00C418EF"/>
    <w:rsid w:val="00C54211"/>
    <w:rsid w:val="00C61B2A"/>
    <w:rsid w:val="00C6254F"/>
    <w:rsid w:val="00C63C57"/>
    <w:rsid w:val="00C661B3"/>
    <w:rsid w:val="00C666A5"/>
    <w:rsid w:val="00C674B3"/>
    <w:rsid w:val="00C73684"/>
    <w:rsid w:val="00C74803"/>
    <w:rsid w:val="00C83EA3"/>
    <w:rsid w:val="00C85B1E"/>
    <w:rsid w:val="00C90DFE"/>
    <w:rsid w:val="00C927E3"/>
    <w:rsid w:val="00C97818"/>
    <w:rsid w:val="00C978A6"/>
    <w:rsid w:val="00CA283B"/>
    <w:rsid w:val="00CA7196"/>
    <w:rsid w:val="00CB0EEB"/>
    <w:rsid w:val="00CB1A05"/>
    <w:rsid w:val="00CB761B"/>
    <w:rsid w:val="00CC6A1F"/>
    <w:rsid w:val="00CD41B8"/>
    <w:rsid w:val="00CD7DED"/>
    <w:rsid w:val="00CE3BB7"/>
    <w:rsid w:val="00CF4063"/>
    <w:rsid w:val="00CF4B42"/>
    <w:rsid w:val="00CF544C"/>
    <w:rsid w:val="00D05146"/>
    <w:rsid w:val="00D111BD"/>
    <w:rsid w:val="00D12177"/>
    <w:rsid w:val="00D1552C"/>
    <w:rsid w:val="00D24DA3"/>
    <w:rsid w:val="00D32D25"/>
    <w:rsid w:val="00D353B3"/>
    <w:rsid w:val="00D4438F"/>
    <w:rsid w:val="00D505D2"/>
    <w:rsid w:val="00D5267D"/>
    <w:rsid w:val="00D641AC"/>
    <w:rsid w:val="00D64923"/>
    <w:rsid w:val="00D73964"/>
    <w:rsid w:val="00D73FF4"/>
    <w:rsid w:val="00D803D8"/>
    <w:rsid w:val="00D82A47"/>
    <w:rsid w:val="00D85377"/>
    <w:rsid w:val="00D95D0C"/>
    <w:rsid w:val="00D95E23"/>
    <w:rsid w:val="00DA262A"/>
    <w:rsid w:val="00DA2C0C"/>
    <w:rsid w:val="00DB0E6A"/>
    <w:rsid w:val="00DB255D"/>
    <w:rsid w:val="00DB28A3"/>
    <w:rsid w:val="00DC0158"/>
    <w:rsid w:val="00DC0766"/>
    <w:rsid w:val="00DC699D"/>
    <w:rsid w:val="00DD009B"/>
    <w:rsid w:val="00DD1792"/>
    <w:rsid w:val="00DD296A"/>
    <w:rsid w:val="00DD32E0"/>
    <w:rsid w:val="00DD5B38"/>
    <w:rsid w:val="00DE3F0C"/>
    <w:rsid w:val="00DE41DD"/>
    <w:rsid w:val="00DE57A6"/>
    <w:rsid w:val="00DF095D"/>
    <w:rsid w:val="00DF16EF"/>
    <w:rsid w:val="00DF4DBD"/>
    <w:rsid w:val="00DF7E7A"/>
    <w:rsid w:val="00E0230F"/>
    <w:rsid w:val="00E051F8"/>
    <w:rsid w:val="00E07120"/>
    <w:rsid w:val="00E134A4"/>
    <w:rsid w:val="00E2304C"/>
    <w:rsid w:val="00E30E80"/>
    <w:rsid w:val="00E31582"/>
    <w:rsid w:val="00E34190"/>
    <w:rsid w:val="00E34B0E"/>
    <w:rsid w:val="00E35FB7"/>
    <w:rsid w:val="00E37A47"/>
    <w:rsid w:val="00E46245"/>
    <w:rsid w:val="00E51C21"/>
    <w:rsid w:val="00E5233D"/>
    <w:rsid w:val="00E547C1"/>
    <w:rsid w:val="00E548B8"/>
    <w:rsid w:val="00E63E7D"/>
    <w:rsid w:val="00E643AB"/>
    <w:rsid w:val="00E67157"/>
    <w:rsid w:val="00E6778E"/>
    <w:rsid w:val="00E73C35"/>
    <w:rsid w:val="00E747A4"/>
    <w:rsid w:val="00E85A71"/>
    <w:rsid w:val="00E85A8E"/>
    <w:rsid w:val="00E86578"/>
    <w:rsid w:val="00E87E61"/>
    <w:rsid w:val="00E92EB2"/>
    <w:rsid w:val="00E9352A"/>
    <w:rsid w:val="00E9402E"/>
    <w:rsid w:val="00E95636"/>
    <w:rsid w:val="00E95EA4"/>
    <w:rsid w:val="00EA0BDD"/>
    <w:rsid w:val="00EA3641"/>
    <w:rsid w:val="00EA55B0"/>
    <w:rsid w:val="00EA62D1"/>
    <w:rsid w:val="00EA7C89"/>
    <w:rsid w:val="00EB1910"/>
    <w:rsid w:val="00EB29E4"/>
    <w:rsid w:val="00EB46BC"/>
    <w:rsid w:val="00EB56D2"/>
    <w:rsid w:val="00EC0866"/>
    <w:rsid w:val="00EC1802"/>
    <w:rsid w:val="00EC3203"/>
    <w:rsid w:val="00EC4C70"/>
    <w:rsid w:val="00EC50BF"/>
    <w:rsid w:val="00EC5755"/>
    <w:rsid w:val="00ED15EE"/>
    <w:rsid w:val="00ED41B4"/>
    <w:rsid w:val="00ED59B3"/>
    <w:rsid w:val="00ED5DDD"/>
    <w:rsid w:val="00EE1E38"/>
    <w:rsid w:val="00EE4D3C"/>
    <w:rsid w:val="00EE5DF7"/>
    <w:rsid w:val="00EF1733"/>
    <w:rsid w:val="00EF210C"/>
    <w:rsid w:val="00EF575B"/>
    <w:rsid w:val="00F02C24"/>
    <w:rsid w:val="00F068DE"/>
    <w:rsid w:val="00F1530F"/>
    <w:rsid w:val="00F17A35"/>
    <w:rsid w:val="00F23DDE"/>
    <w:rsid w:val="00F27149"/>
    <w:rsid w:val="00F43253"/>
    <w:rsid w:val="00F51E9A"/>
    <w:rsid w:val="00F53F67"/>
    <w:rsid w:val="00F741B1"/>
    <w:rsid w:val="00F7502F"/>
    <w:rsid w:val="00F776EB"/>
    <w:rsid w:val="00F94A77"/>
    <w:rsid w:val="00FA26CF"/>
    <w:rsid w:val="00FA27F4"/>
    <w:rsid w:val="00FA32D3"/>
    <w:rsid w:val="00FA7247"/>
    <w:rsid w:val="00FB3403"/>
    <w:rsid w:val="00FB6845"/>
    <w:rsid w:val="00FC565E"/>
    <w:rsid w:val="00FC5B4F"/>
    <w:rsid w:val="00FC6C38"/>
    <w:rsid w:val="00FD1AA3"/>
    <w:rsid w:val="00FE1998"/>
    <w:rsid w:val="00FF2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5D13"/>
  <w15:docId w15:val="{CFC26CFB-E6FA-4A44-B035-E8C1E941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C5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1F4E"/>
    <w:pPr>
      <w:spacing w:after="0" w:line="240" w:lineRule="auto"/>
    </w:pPr>
  </w:style>
  <w:style w:type="paragraph" w:customStyle="1" w:styleId="Verdana">
    <w:name w:val="Verdana"/>
    <w:qFormat/>
    <w:rsid w:val="004F4C55"/>
    <w:pPr>
      <w:spacing w:after="0" w:line="240" w:lineRule="auto"/>
    </w:pPr>
    <w:rPr>
      <w:rFonts w:ascii="Verdana" w:eastAsia="Calibri" w:hAnsi="Verdana" w:cs="Times New Roman"/>
      <w:szCs w:val="24"/>
      <w:lang w:val="en-US"/>
    </w:rPr>
  </w:style>
  <w:style w:type="table" w:styleId="TableGrid">
    <w:name w:val="Table Grid"/>
    <w:basedOn w:val="TableNormal"/>
    <w:uiPriority w:val="59"/>
    <w:rsid w:val="004F4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ADB"/>
    <w:pPr>
      <w:ind w:left="720"/>
    </w:pPr>
    <w:rPr>
      <w:rFonts w:eastAsiaTheme="minorHAnsi" w:cs="Calibri"/>
      <w:lang w:eastAsia="en-GB"/>
    </w:rPr>
  </w:style>
  <w:style w:type="character" w:customStyle="1" w:styleId="st1">
    <w:name w:val="st1"/>
    <w:basedOn w:val="DefaultParagraphFont"/>
    <w:rsid w:val="002D189E"/>
  </w:style>
  <w:style w:type="paragraph" w:styleId="BalloonText">
    <w:name w:val="Balloon Text"/>
    <w:basedOn w:val="Normal"/>
    <w:link w:val="BalloonTextChar"/>
    <w:uiPriority w:val="99"/>
    <w:semiHidden/>
    <w:unhideWhenUsed/>
    <w:rsid w:val="00FD1A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AA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01334">
      <w:bodyDiv w:val="1"/>
      <w:marLeft w:val="0"/>
      <w:marRight w:val="0"/>
      <w:marTop w:val="0"/>
      <w:marBottom w:val="0"/>
      <w:divBdr>
        <w:top w:val="none" w:sz="0" w:space="0" w:color="auto"/>
        <w:left w:val="none" w:sz="0" w:space="0" w:color="auto"/>
        <w:bottom w:val="none" w:sz="0" w:space="0" w:color="auto"/>
        <w:right w:val="none" w:sz="0" w:space="0" w:color="auto"/>
      </w:divBdr>
    </w:div>
    <w:div w:id="208500001">
      <w:bodyDiv w:val="1"/>
      <w:marLeft w:val="0"/>
      <w:marRight w:val="0"/>
      <w:marTop w:val="0"/>
      <w:marBottom w:val="0"/>
      <w:divBdr>
        <w:top w:val="none" w:sz="0" w:space="0" w:color="auto"/>
        <w:left w:val="none" w:sz="0" w:space="0" w:color="auto"/>
        <w:bottom w:val="none" w:sz="0" w:space="0" w:color="auto"/>
        <w:right w:val="none" w:sz="0" w:space="0" w:color="auto"/>
      </w:divBdr>
    </w:div>
    <w:div w:id="845049791">
      <w:bodyDiv w:val="1"/>
      <w:marLeft w:val="0"/>
      <w:marRight w:val="0"/>
      <w:marTop w:val="0"/>
      <w:marBottom w:val="0"/>
      <w:divBdr>
        <w:top w:val="none" w:sz="0" w:space="0" w:color="auto"/>
        <w:left w:val="none" w:sz="0" w:space="0" w:color="auto"/>
        <w:bottom w:val="none" w:sz="0" w:space="0" w:color="auto"/>
        <w:right w:val="none" w:sz="0" w:space="0" w:color="auto"/>
      </w:divBdr>
    </w:div>
    <w:div w:id="199205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B0464-AC2E-44A9-B980-4A2AE107B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1639</TotalTime>
  <Pages>10</Pages>
  <Words>2971</Words>
  <Characters>16939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533</cp:revision>
  <cp:lastPrinted>2019-11-26T15:40:00Z</cp:lastPrinted>
  <dcterms:created xsi:type="dcterms:W3CDTF">2016-11-24T14:30:00Z</dcterms:created>
  <dcterms:modified xsi:type="dcterms:W3CDTF">2020-11-30T15:52:00Z</dcterms:modified>
</cp:coreProperties>
</file>