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02495" w14:textId="77777777" w:rsidR="00D1116E" w:rsidRDefault="00D1116E" w:rsidP="00D1116E">
      <w:pPr>
        <w:ind w:firstLine="720"/>
        <w:jc w:val="center"/>
        <w:rPr>
          <w:rFonts w:ascii="Verdana" w:hAnsi="Verdana"/>
          <w:b/>
        </w:rPr>
      </w:pPr>
      <w:r>
        <w:rPr>
          <w:rFonts w:ascii="Verdana" w:hAnsi="Verdana"/>
          <w:b/>
        </w:rPr>
        <w:t>SIR GEORGE MONOUX COLLEGE</w:t>
      </w:r>
    </w:p>
    <w:p w14:paraId="13502496" w14:textId="77777777" w:rsidR="00D1116E" w:rsidRDefault="00D1116E" w:rsidP="00D1116E">
      <w:pPr>
        <w:jc w:val="center"/>
        <w:rPr>
          <w:rFonts w:ascii="Verdana" w:hAnsi="Verdana"/>
          <w:b/>
        </w:rPr>
      </w:pPr>
    </w:p>
    <w:p w14:paraId="13502498" w14:textId="2B8B64B3" w:rsidR="00D1116E" w:rsidRDefault="00D1116E" w:rsidP="00DF08D7">
      <w:pPr>
        <w:jc w:val="center"/>
        <w:rPr>
          <w:rFonts w:ascii="Verdana" w:hAnsi="Verdana"/>
          <w:b/>
        </w:rPr>
      </w:pPr>
      <w:r>
        <w:rPr>
          <w:rFonts w:ascii="Verdana" w:hAnsi="Verdana"/>
          <w:b/>
        </w:rPr>
        <w:t xml:space="preserve">Minutes </w:t>
      </w:r>
      <w:r w:rsidR="008733F5">
        <w:rPr>
          <w:rFonts w:ascii="Verdana" w:hAnsi="Verdana"/>
          <w:b/>
        </w:rPr>
        <w:t xml:space="preserve">of </w:t>
      </w:r>
      <w:r>
        <w:rPr>
          <w:rFonts w:ascii="Verdana" w:hAnsi="Verdana"/>
          <w:b/>
        </w:rPr>
        <w:t xml:space="preserve">the Corporation Meeting held on </w:t>
      </w:r>
      <w:r w:rsidR="008902C2">
        <w:rPr>
          <w:rFonts w:ascii="Verdana" w:hAnsi="Verdana"/>
          <w:b/>
        </w:rPr>
        <w:t>6 July</w:t>
      </w:r>
      <w:r w:rsidR="00D97238">
        <w:rPr>
          <w:rFonts w:ascii="Verdana" w:hAnsi="Verdana"/>
          <w:b/>
        </w:rPr>
        <w:t xml:space="preserve"> 2021</w:t>
      </w:r>
    </w:p>
    <w:p w14:paraId="13502499" w14:textId="77777777" w:rsidR="00D1116E" w:rsidRDefault="00D1116E" w:rsidP="00D1116E">
      <w:pPr>
        <w:jc w:val="center"/>
        <w:rPr>
          <w:rFonts w:ascii="Verdana" w:hAnsi="Verdana"/>
          <w:b/>
        </w:rPr>
      </w:pPr>
    </w:p>
    <w:tbl>
      <w:tblPr>
        <w:tblW w:w="9464" w:type="dxa"/>
        <w:tblCellMar>
          <w:left w:w="10" w:type="dxa"/>
          <w:right w:w="10" w:type="dxa"/>
        </w:tblCellMar>
        <w:tblLook w:val="0000" w:firstRow="0" w:lastRow="0" w:firstColumn="0" w:lastColumn="0" w:noHBand="0" w:noVBand="0"/>
      </w:tblPr>
      <w:tblGrid>
        <w:gridCol w:w="1668"/>
        <w:gridCol w:w="7796"/>
      </w:tblGrid>
      <w:tr w:rsidR="00D1116E" w14:paraId="1350249E" w14:textId="77777777" w:rsidTr="00B263E0">
        <w:tc>
          <w:tcPr>
            <w:tcW w:w="1668" w:type="dxa"/>
            <w:shd w:val="clear" w:color="auto" w:fill="auto"/>
            <w:tcMar>
              <w:top w:w="0" w:type="dxa"/>
              <w:left w:w="108" w:type="dxa"/>
              <w:bottom w:w="0" w:type="dxa"/>
              <w:right w:w="108" w:type="dxa"/>
            </w:tcMar>
          </w:tcPr>
          <w:p w14:paraId="1350249A" w14:textId="77777777" w:rsidR="00D1116E" w:rsidRDefault="00D1116E" w:rsidP="00B217BB">
            <w:pPr>
              <w:rPr>
                <w:rFonts w:ascii="Verdana" w:hAnsi="Verdana"/>
                <w:b/>
              </w:rPr>
            </w:pPr>
            <w:r>
              <w:rPr>
                <w:rFonts w:ascii="Verdana" w:hAnsi="Verdana"/>
                <w:b/>
              </w:rPr>
              <w:t>Present</w:t>
            </w:r>
          </w:p>
          <w:p w14:paraId="1350249B" w14:textId="77777777" w:rsidR="00D1116E" w:rsidRDefault="00D1116E" w:rsidP="00B217BB">
            <w:pPr>
              <w:rPr>
                <w:rFonts w:ascii="Verdana" w:hAnsi="Verdana"/>
                <w:b/>
              </w:rPr>
            </w:pPr>
          </w:p>
        </w:tc>
        <w:tc>
          <w:tcPr>
            <w:tcW w:w="7796" w:type="dxa"/>
            <w:shd w:val="clear" w:color="auto" w:fill="auto"/>
            <w:tcMar>
              <w:top w:w="0" w:type="dxa"/>
              <w:left w:w="108" w:type="dxa"/>
              <w:bottom w:w="0" w:type="dxa"/>
              <w:right w:w="108" w:type="dxa"/>
            </w:tcMar>
          </w:tcPr>
          <w:p w14:paraId="168AC84F" w14:textId="5571891B" w:rsidR="00D1116E" w:rsidRDefault="004905EB" w:rsidP="00CE49FA">
            <w:pPr>
              <w:rPr>
                <w:rFonts w:ascii="Verdana" w:hAnsi="Verdana"/>
              </w:rPr>
            </w:pPr>
            <w:r>
              <w:rPr>
                <w:rFonts w:ascii="Verdana" w:hAnsi="Verdana"/>
              </w:rPr>
              <w:t>Alan Wells</w:t>
            </w:r>
            <w:r w:rsidR="00B046C1">
              <w:rPr>
                <w:rFonts w:ascii="Verdana" w:hAnsi="Verdana"/>
              </w:rPr>
              <w:t xml:space="preserve"> </w:t>
            </w:r>
            <w:r>
              <w:rPr>
                <w:rFonts w:ascii="Verdana" w:hAnsi="Verdana"/>
              </w:rPr>
              <w:t>(</w:t>
            </w:r>
            <w:r w:rsidR="00B046C1">
              <w:rPr>
                <w:rFonts w:ascii="Verdana" w:hAnsi="Verdana"/>
              </w:rPr>
              <w:t>Chair of the Corporation</w:t>
            </w:r>
            <w:r w:rsidR="00491066">
              <w:rPr>
                <w:rFonts w:ascii="Verdana" w:hAnsi="Verdana"/>
              </w:rPr>
              <w:t xml:space="preserve"> – except for Agendum 6</w:t>
            </w:r>
            <w:r w:rsidR="00B046C1">
              <w:rPr>
                <w:rFonts w:ascii="Verdana" w:hAnsi="Verdana"/>
              </w:rPr>
              <w:t xml:space="preserve">), </w:t>
            </w:r>
            <w:r w:rsidR="002F226A">
              <w:rPr>
                <w:rFonts w:ascii="Verdana" w:hAnsi="Verdana"/>
              </w:rPr>
              <w:t xml:space="preserve">Alastair Owens (Senior Vice-Chair of the </w:t>
            </w:r>
            <w:r w:rsidR="006B5ED8">
              <w:rPr>
                <w:rFonts w:ascii="Verdana" w:hAnsi="Verdana"/>
              </w:rPr>
              <w:t>Corporation</w:t>
            </w:r>
            <w:r w:rsidR="00665567">
              <w:rPr>
                <w:rFonts w:ascii="Verdana" w:hAnsi="Verdana"/>
              </w:rPr>
              <w:t xml:space="preserve"> and Chair of the Quality &amp; Performance Committee</w:t>
            </w:r>
            <w:r w:rsidR="006B5ED8">
              <w:rPr>
                <w:rFonts w:ascii="Verdana" w:hAnsi="Verdana"/>
              </w:rPr>
              <w:t xml:space="preserve">), </w:t>
            </w:r>
            <w:r w:rsidR="00470CC5">
              <w:rPr>
                <w:rFonts w:ascii="Verdana" w:hAnsi="Verdana"/>
              </w:rPr>
              <w:t>Riddhi Bhalla (Vice-Chair of the Corporation</w:t>
            </w:r>
            <w:r w:rsidR="00665567">
              <w:rPr>
                <w:rFonts w:ascii="Verdana" w:hAnsi="Verdana"/>
              </w:rPr>
              <w:t xml:space="preserve"> and Chair of the Audit Committee</w:t>
            </w:r>
            <w:r w:rsidR="00470CC5">
              <w:rPr>
                <w:rFonts w:ascii="Verdana" w:hAnsi="Verdana"/>
              </w:rPr>
              <w:t xml:space="preserve">), </w:t>
            </w:r>
            <w:r w:rsidR="00B7723E">
              <w:rPr>
                <w:rFonts w:ascii="Verdana" w:hAnsi="Verdana"/>
              </w:rPr>
              <w:t xml:space="preserve">Kwame Atta, </w:t>
            </w:r>
            <w:r w:rsidR="00921F35">
              <w:rPr>
                <w:rFonts w:ascii="Verdana" w:hAnsi="Verdana"/>
              </w:rPr>
              <w:t>Talia Chirouf,</w:t>
            </w:r>
            <w:r w:rsidR="008902C2">
              <w:rPr>
                <w:rFonts w:ascii="Verdana" w:hAnsi="Verdana"/>
              </w:rPr>
              <w:t xml:space="preserve"> </w:t>
            </w:r>
            <w:r w:rsidR="00FC2A98">
              <w:rPr>
                <w:rFonts w:ascii="Verdana" w:hAnsi="Verdana"/>
              </w:rPr>
              <w:t xml:space="preserve">Tom </w:t>
            </w:r>
            <w:proofErr w:type="spellStart"/>
            <w:r w:rsidR="00FC2A98">
              <w:rPr>
                <w:rFonts w:ascii="Verdana" w:hAnsi="Verdana"/>
              </w:rPr>
              <w:t>Foakes</w:t>
            </w:r>
            <w:proofErr w:type="spellEnd"/>
            <w:r w:rsidR="00FC2A98">
              <w:rPr>
                <w:rFonts w:ascii="Verdana" w:hAnsi="Verdana"/>
              </w:rPr>
              <w:t xml:space="preserve"> (Chair of the Governance and Nominations Committee)</w:t>
            </w:r>
            <w:r>
              <w:rPr>
                <w:rFonts w:ascii="Verdana" w:hAnsi="Verdana"/>
              </w:rPr>
              <w:t xml:space="preserve">, </w:t>
            </w:r>
            <w:proofErr w:type="spellStart"/>
            <w:r w:rsidR="006970D3">
              <w:rPr>
                <w:rFonts w:ascii="Verdana" w:hAnsi="Verdana"/>
              </w:rPr>
              <w:t>Nehendra</w:t>
            </w:r>
            <w:proofErr w:type="spellEnd"/>
            <w:r w:rsidR="006970D3">
              <w:rPr>
                <w:rFonts w:ascii="Verdana" w:hAnsi="Verdana"/>
              </w:rPr>
              <w:t xml:space="preserve"> Jonas (Student Member), </w:t>
            </w:r>
            <w:r w:rsidR="00921F35">
              <w:rPr>
                <w:rFonts w:ascii="Verdana" w:hAnsi="Verdana"/>
              </w:rPr>
              <w:t>Stephen Jones,</w:t>
            </w:r>
            <w:r w:rsidR="003B593D">
              <w:rPr>
                <w:rFonts w:ascii="Verdana" w:hAnsi="Verdana"/>
              </w:rPr>
              <w:t xml:space="preserve"> </w:t>
            </w:r>
            <w:r w:rsidR="00E71694">
              <w:rPr>
                <w:rFonts w:ascii="Verdana" w:hAnsi="Verdana"/>
              </w:rPr>
              <w:t xml:space="preserve">Farhana Juhera (Support Staff Member), </w:t>
            </w:r>
            <w:r w:rsidR="001E2BF2">
              <w:rPr>
                <w:rFonts w:ascii="Verdana" w:hAnsi="Verdana"/>
              </w:rPr>
              <w:t xml:space="preserve">Jagdev Kenth, </w:t>
            </w:r>
            <w:r w:rsidR="006970D3">
              <w:rPr>
                <w:rFonts w:ascii="Verdana" w:hAnsi="Verdana"/>
              </w:rPr>
              <w:t>Anisa Khadija (</w:t>
            </w:r>
            <w:r w:rsidR="00315091">
              <w:rPr>
                <w:rFonts w:ascii="Verdana" w:hAnsi="Verdana"/>
              </w:rPr>
              <w:t>S</w:t>
            </w:r>
            <w:r w:rsidR="006970D3">
              <w:rPr>
                <w:rFonts w:ascii="Verdana" w:hAnsi="Verdana"/>
              </w:rPr>
              <w:t xml:space="preserve">tudent </w:t>
            </w:r>
            <w:r w:rsidR="00315091">
              <w:rPr>
                <w:rFonts w:ascii="Verdana" w:hAnsi="Verdana"/>
              </w:rPr>
              <w:t>M</w:t>
            </w:r>
            <w:r w:rsidR="006970D3">
              <w:rPr>
                <w:rFonts w:ascii="Verdana" w:hAnsi="Verdana"/>
              </w:rPr>
              <w:t xml:space="preserve">ember), </w:t>
            </w:r>
            <w:r>
              <w:rPr>
                <w:rFonts w:ascii="Verdana" w:hAnsi="Verdana"/>
              </w:rPr>
              <w:t>Maurine Lewin,</w:t>
            </w:r>
            <w:r w:rsidR="008902C2">
              <w:rPr>
                <w:rFonts w:ascii="Verdana" w:hAnsi="Verdana"/>
              </w:rPr>
              <w:t xml:space="preserve"> Stewart Maclean</w:t>
            </w:r>
            <w:r w:rsidR="00315091">
              <w:rPr>
                <w:rFonts w:ascii="Verdana" w:hAnsi="Verdana"/>
              </w:rPr>
              <w:t xml:space="preserve"> (Chair of the External Relations Committee)</w:t>
            </w:r>
            <w:r w:rsidR="008902C2">
              <w:rPr>
                <w:rFonts w:ascii="Verdana" w:hAnsi="Verdana"/>
              </w:rPr>
              <w:t>,</w:t>
            </w:r>
            <w:r w:rsidR="00921F35">
              <w:rPr>
                <w:rFonts w:ascii="Verdana" w:hAnsi="Verdana"/>
              </w:rPr>
              <w:t xml:space="preserve"> </w:t>
            </w:r>
            <w:r w:rsidR="00795987">
              <w:rPr>
                <w:rFonts w:ascii="Verdana" w:hAnsi="Verdana"/>
              </w:rPr>
              <w:t>Nazia Shah (Teaching Staff Member)</w:t>
            </w:r>
            <w:r w:rsidR="00470CC5">
              <w:rPr>
                <w:rFonts w:ascii="Verdana" w:hAnsi="Verdana"/>
              </w:rPr>
              <w:t>,</w:t>
            </w:r>
            <w:r w:rsidR="008460A2">
              <w:rPr>
                <w:rFonts w:ascii="Verdana" w:hAnsi="Verdana"/>
              </w:rPr>
              <w:t xml:space="preserve"> </w:t>
            </w:r>
            <w:r w:rsidR="00470CC5">
              <w:rPr>
                <w:rFonts w:ascii="Verdana" w:hAnsi="Verdana"/>
              </w:rPr>
              <w:t xml:space="preserve">David </w:t>
            </w:r>
            <w:proofErr w:type="spellStart"/>
            <w:r w:rsidR="00470CC5">
              <w:rPr>
                <w:rFonts w:ascii="Verdana" w:hAnsi="Verdana"/>
              </w:rPr>
              <w:t>Vasse</w:t>
            </w:r>
            <w:proofErr w:type="spellEnd"/>
            <w:r w:rsidR="00470CC5">
              <w:rPr>
                <w:rFonts w:ascii="Verdana" w:hAnsi="Verdana"/>
              </w:rPr>
              <w:t xml:space="preserve"> (Principal)</w:t>
            </w:r>
            <w:r w:rsidR="00871A54">
              <w:rPr>
                <w:rFonts w:ascii="Verdana" w:hAnsi="Verdana"/>
              </w:rPr>
              <w:t xml:space="preserve">, </w:t>
            </w:r>
            <w:r w:rsidR="00921F35">
              <w:rPr>
                <w:rFonts w:ascii="Verdana" w:hAnsi="Verdana"/>
              </w:rPr>
              <w:t xml:space="preserve">Jay </w:t>
            </w:r>
            <w:proofErr w:type="spellStart"/>
            <w:r w:rsidR="00921F35">
              <w:rPr>
                <w:rFonts w:ascii="Verdana" w:hAnsi="Verdana"/>
              </w:rPr>
              <w:t>Wint</w:t>
            </w:r>
            <w:proofErr w:type="spellEnd"/>
            <w:r w:rsidR="00D97238">
              <w:rPr>
                <w:rFonts w:ascii="Verdana" w:hAnsi="Verdana"/>
              </w:rPr>
              <w:t xml:space="preserve"> (Parent Member)</w:t>
            </w:r>
            <w:r w:rsidR="00921F35">
              <w:rPr>
                <w:rFonts w:ascii="Verdana" w:hAnsi="Verdana"/>
              </w:rPr>
              <w:t>.</w:t>
            </w:r>
            <w:r w:rsidR="00B7723E">
              <w:rPr>
                <w:rFonts w:ascii="Verdana" w:hAnsi="Verdana"/>
              </w:rPr>
              <w:t xml:space="preserve"> </w:t>
            </w:r>
          </w:p>
          <w:p w14:paraId="1350249D" w14:textId="65333B17" w:rsidR="00CE49FA" w:rsidRDefault="00CE49FA" w:rsidP="00CE49FA">
            <w:pPr>
              <w:rPr>
                <w:rFonts w:ascii="Verdana" w:hAnsi="Verdana"/>
              </w:rPr>
            </w:pPr>
          </w:p>
        </w:tc>
      </w:tr>
      <w:tr w:rsidR="00C177F5" w14:paraId="6D0440AA" w14:textId="77777777" w:rsidTr="00B263E0">
        <w:tc>
          <w:tcPr>
            <w:tcW w:w="1668" w:type="dxa"/>
            <w:shd w:val="clear" w:color="auto" w:fill="auto"/>
            <w:tcMar>
              <w:top w:w="0" w:type="dxa"/>
              <w:left w:w="108" w:type="dxa"/>
              <w:bottom w:w="0" w:type="dxa"/>
              <w:right w:w="108" w:type="dxa"/>
            </w:tcMar>
          </w:tcPr>
          <w:p w14:paraId="61A18FB0" w14:textId="663C67DD" w:rsidR="00C177F5" w:rsidRDefault="007E0B70" w:rsidP="00B217BB">
            <w:pPr>
              <w:rPr>
                <w:rFonts w:ascii="Verdana" w:hAnsi="Verdana"/>
                <w:b/>
              </w:rPr>
            </w:pPr>
            <w:r>
              <w:rPr>
                <w:rFonts w:ascii="Verdana" w:hAnsi="Verdana"/>
                <w:b/>
              </w:rPr>
              <w:t>In Attendance</w:t>
            </w:r>
          </w:p>
        </w:tc>
        <w:tc>
          <w:tcPr>
            <w:tcW w:w="7796" w:type="dxa"/>
            <w:shd w:val="clear" w:color="auto" w:fill="auto"/>
            <w:tcMar>
              <w:top w:w="0" w:type="dxa"/>
              <w:left w:w="108" w:type="dxa"/>
              <w:bottom w:w="0" w:type="dxa"/>
              <w:right w:w="108" w:type="dxa"/>
            </w:tcMar>
          </w:tcPr>
          <w:p w14:paraId="0E123EEA" w14:textId="0611E407" w:rsidR="005B2D41" w:rsidRDefault="00C177F5" w:rsidP="00EA398D">
            <w:pPr>
              <w:rPr>
                <w:rFonts w:ascii="Verdana" w:hAnsi="Verdana"/>
              </w:rPr>
            </w:pPr>
            <w:r>
              <w:rPr>
                <w:rFonts w:ascii="Verdana" w:hAnsi="Verdana"/>
              </w:rPr>
              <w:t xml:space="preserve">Holly </w:t>
            </w:r>
            <w:r w:rsidR="00470CC5">
              <w:rPr>
                <w:rFonts w:ascii="Verdana" w:hAnsi="Verdana"/>
              </w:rPr>
              <w:t>Bembridge (Vice-</w:t>
            </w:r>
            <w:r w:rsidR="002C6EDC">
              <w:rPr>
                <w:rFonts w:ascii="Verdana" w:hAnsi="Verdana"/>
              </w:rPr>
              <w:t>Principal: Curriculum</w:t>
            </w:r>
            <w:r w:rsidR="001B7CA4">
              <w:rPr>
                <w:rFonts w:ascii="Verdana" w:hAnsi="Verdana"/>
              </w:rPr>
              <w:t xml:space="preserve"> </w:t>
            </w:r>
            <w:r w:rsidR="00B02709">
              <w:rPr>
                <w:rFonts w:ascii="Verdana" w:hAnsi="Verdana"/>
              </w:rPr>
              <w:t>and</w:t>
            </w:r>
            <w:r w:rsidR="001B7CA4">
              <w:rPr>
                <w:rFonts w:ascii="Verdana" w:hAnsi="Verdana"/>
              </w:rPr>
              <w:t xml:space="preserve"> Quality</w:t>
            </w:r>
            <w:r w:rsidR="002C6EDC">
              <w:rPr>
                <w:rFonts w:ascii="Verdana" w:hAnsi="Verdana"/>
              </w:rPr>
              <w:t>)</w:t>
            </w:r>
            <w:r w:rsidR="0025633D">
              <w:rPr>
                <w:rFonts w:ascii="Verdana" w:hAnsi="Verdana"/>
              </w:rPr>
              <w:t xml:space="preserve">, James Gould (Vice-Principal: </w:t>
            </w:r>
            <w:r w:rsidR="00200ED4" w:rsidRPr="00FE7EDC">
              <w:rPr>
                <w:rFonts w:ascii="Verdana" w:hAnsi="Verdana"/>
              </w:rPr>
              <w:t>Student S</w:t>
            </w:r>
            <w:r w:rsidR="00200ED4">
              <w:rPr>
                <w:rFonts w:ascii="Verdana" w:hAnsi="Verdana"/>
              </w:rPr>
              <w:t>ervices and Recruitment</w:t>
            </w:r>
            <w:r w:rsidR="00261FA3">
              <w:rPr>
                <w:rFonts w:ascii="Verdana" w:hAnsi="Verdana"/>
              </w:rPr>
              <w:t>)</w:t>
            </w:r>
            <w:r w:rsidR="007821BE">
              <w:rPr>
                <w:rFonts w:ascii="Verdana" w:hAnsi="Verdana"/>
              </w:rPr>
              <w:t>, Robert Smith (Clerk to the Corporation)</w:t>
            </w:r>
            <w:r w:rsidR="00261FA3">
              <w:rPr>
                <w:rFonts w:ascii="Verdana" w:hAnsi="Verdana"/>
              </w:rPr>
              <w:t>.</w:t>
            </w:r>
          </w:p>
        </w:tc>
      </w:tr>
    </w:tbl>
    <w:p w14:paraId="135024A2" w14:textId="77777777" w:rsidR="00D1116E" w:rsidRDefault="00D1116E" w:rsidP="00D1116E"/>
    <w:tbl>
      <w:tblPr>
        <w:tblW w:w="9464" w:type="dxa"/>
        <w:tblCellMar>
          <w:left w:w="10" w:type="dxa"/>
          <w:right w:w="10" w:type="dxa"/>
        </w:tblCellMar>
        <w:tblLook w:val="0000" w:firstRow="0" w:lastRow="0" w:firstColumn="0" w:lastColumn="0" w:noHBand="0" w:noVBand="0"/>
      </w:tblPr>
      <w:tblGrid>
        <w:gridCol w:w="675"/>
        <w:gridCol w:w="8789"/>
      </w:tblGrid>
      <w:tr w:rsidR="00815C1E" w14:paraId="7D51BB91" w14:textId="77777777" w:rsidTr="00B263E0">
        <w:tc>
          <w:tcPr>
            <w:tcW w:w="675" w:type="dxa"/>
            <w:shd w:val="clear" w:color="auto" w:fill="auto"/>
            <w:tcMar>
              <w:top w:w="0" w:type="dxa"/>
              <w:left w:w="108" w:type="dxa"/>
              <w:bottom w:w="0" w:type="dxa"/>
              <w:right w:w="108" w:type="dxa"/>
            </w:tcMar>
          </w:tcPr>
          <w:p w14:paraId="20AEE0A8" w14:textId="6A1AD9EA" w:rsidR="00815C1E" w:rsidRDefault="00815C1E" w:rsidP="00815C1E">
            <w:pPr>
              <w:rPr>
                <w:rFonts w:ascii="Verdana" w:hAnsi="Verdana"/>
                <w:b/>
              </w:rPr>
            </w:pPr>
            <w:r>
              <w:rPr>
                <w:rFonts w:ascii="Verdana" w:hAnsi="Verdana"/>
                <w:b/>
              </w:rPr>
              <w:t>1</w:t>
            </w:r>
          </w:p>
        </w:tc>
        <w:tc>
          <w:tcPr>
            <w:tcW w:w="8789" w:type="dxa"/>
            <w:shd w:val="clear" w:color="auto" w:fill="auto"/>
            <w:tcMar>
              <w:top w:w="0" w:type="dxa"/>
              <w:left w:w="108" w:type="dxa"/>
              <w:bottom w:w="0" w:type="dxa"/>
              <w:right w:w="108" w:type="dxa"/>
            </w:tcMar>
          </w:tcPr>
          <w:p w14:paraId="0AEF4147" w14:textId="76F5C067" w:rsidR="00815C1E" w:rsidRDefault="00815C1E" w:rsidP="00815C1E">
            <w:pPr>
              <w:rPr>
                <w:rFonts w:ascii="Verdana" w:hAnsi="Verdana"/>
                <w:b/>
              </w:rPr>
            </w:pPr>
            <w:r>
              <w:rPr>
                <w:rFonts w:ascii="Verdana" w:hAnsi="Verdana"/>
                <w:b/>
              </w:rPr>
              <w:t>Apologies for Absence and Quoracy</w:t>
            </w:r>
          </w:p>
          <w:p w14:paraId="17A7E55C" w14:textId="77777777" w:rsidR="00815C1E" w:rsidRDefault="00815C1E" w:rsidP="00815C1E">
            <w:pPr>
              <w:rPr>
                <w:rFonts w:ascii="Verdana" w:hAnsi="Verdana"/>
                <w:b/>
              </w:rPr>
            </w:pPr>
          </w:p>
          <w:p w14:paraId="49FAE804" w14:textId="1061653A" w:rsidR="00815C1E" w:rsidRDefault="00815C1E" w:rsidP="00815C1E">
            <w:pPr>
              <w:rPr>
                <w:rFonts w:ascii="Verdana" w:hAnsi="Verdana"/>
              </w:rPr>
            </w:pPr>
            <w:r>
              <w:rPr>
                <w:rFonts w:ascii="Verdana" w:hAnsi="Verdana"/>
              </w:rPr>
              <w:t xml:space="preserve">Apologies for absence had been received from the following </w:t>
            </w:r>
            <w:r w:rsidRPr="00240C3E">
              <w:rPr>
                <w:rFonts w:ascii="Verdana" w:hAnsi="Verdana"/>
              </w:rPr>
              <w:t>member</w:t>
            </w:r>
            <w:r w:rsidR="00847BFE">
              <w:rPr>
                <w:rFonts w:ascii="Verdana" w:hAnsi="Verdana"/>
              </w:rPr>
              <w:t>s</w:t>
            </w:r>
            <w:r w:rsidR="00240C3E">
              <w:rPr>
                <w:rFonts w:ascii="Verdana" w:hAnsi="Verdana"/>
              </w:rPr>
              <w:t xml:space="preserve"> </w:t>
            </w:r>
            <w:r>
              <w:rPr>
                <w:rFonts w:ascii="Verdana" w:hAnsi="Verdana"/>
              </w:rPr>
              <w:t>of the Corporation:</w:t>
            </w:r>
            <w:r w:rsidR="009E1B18">
              <w:rPr>
                <w:rFonts w:ascii="Verdana" w:hAnsi="Verdana"/>
              </w:rPr>
              <w:t xml:space="preserve"> </w:t>
            </w:r>
            <w:r w:rsidR="00973536">
              <w:rPr>
                <w:rFonts w:ascii="Verdana" w:hAnsi="Verdana"/>
              </w:rPr>
              <w:t xml:space="preserve">Adenike Betiku, </w:t>
            </w:r>
            <w:r w:rsidR="007821BE">
              <w:rPr>
                <w:rFonts w:ascii="Verdana" w:hAnsi="Verdana"/>
              </w:rPr>
              <w:t xml:space="preserve">Jonathan Bush, </w:t>
            </w:r>
            <w:r w:rsidR="0053726C">
              <w:rPr>
                <w:rFonts w:ascii="Verdana" w:hAnsi="Verdana"/>
              </w:rPr>
              <w:t xml:space="preserve">Caroline Evans, </w:t>
            </w:r>
            <w:r w:rsidR="009E1B18">
              <w:rPr>
                <w:rFonts w:ascii="Verdana" w:hAnsi="Verdana"/>
              </w:rPr>
              <w:t>Sara Whittaker.</w:t>
            </w:r>
            <w:r w:rsidR="00240C3E">
              <w:rPr>
                <w:rFonts w:ascii="Verdana" w:hAnsi="Verdana"/>
              </w:rPr>
              <w:t xml:space="preserve"> </w:t>
            </w:r>
          </w:p>
          <w:p w14:paraId="22D91727" w14:textId="7D59EF1B" w:rsidR="0015759B" w:rsidRDefault="0015759B" w:rsidP="00815C1E">
            <w:pPr>
              <w:rPr>
                <w:rFonts w:ascii="Verdana" w:hAnsi="Verdana"/>
              </w:rPr>
            </w:pPr>
          </w:p>
          <w:p w14:paraId="108A565A" w14:textId="5F5842B6" w:rsidR="00815C1E" w:rsidRDefault="00815C1E" w:rsidP="00815C1E">
            <w:pPr>
              <w:rPr>
                <w:rFonts w:ascii="Verdana" w:hAnsi="Verdana"/>
              </w:rPr>
            </w:pPr>
            <w:r>
              <w:rPr>
                <w:rFonts w:ascii="Verdana" w:hAnsi="Verdana"/>
              </w:rPr>
              <w:t>The meeting was quorate.</w:t>
            </w:r>
          </w:p>
          <w:p w14:paraId="6FED4A8B" w14:textId="6B2F3740" w:rsidR="00261FA3" w:rsidRPr="00815C1E" w:rsidRDefault="00261FA3" w:rsidP="006970D3">
            <w:pPr>
              <w:rPr>
                <w:rFonts w:ascii="Verdana" w:hAnsi="Verdana"/>
              </w:rPr>
            </w:pPr>
          </w:p>
        </w:tc>
      </w:tr>
      <w:tr w:rsidR="00815C1E" w14:paraId="135024A8" w14:textId="77777777" w:rsidTr="00B263E0">
        <w:tc>
          <w:tcPr>
            <w:tcW w:w="675" w:type="dxa"/>
            <w:shd w:val="clear" w:color="auto" w:fill="auto"/>
            <w:tcMar>
              <w:top w:w="0" w:type="dxa"/>
              <w:left w:w="108" w:type="dxa"/>
              <w:bottom w:w="0" w:type="dxa"/>
              <w:right w:w="108" w:type="dxa"/>
            </w:tcMar>
          </w:tcPr>
          <w:p w14:paraId="135024A3" w14:textId="5D4D0962" w:rsidR="00815C1E" w:rsidRDefault="00815C1E" w:rsidP="00815C1E">
            <w:pPr>
              <w:rPr>
                <w:rFonts w:ascii="Verdana" w:hAnsi="Verdana"/>
                <w:b/>
              </w:rPr>
            </w:pPr>
            <w:r>
              <w:rPr>
                <w:rFonts w:ascii="Verdana" w:hAnsi="Verdana"/>
                <w:b/>
              </w:rPr>
              <w:t>2</w:t>
            </w:r>
          </w:p>
        </w:tc>
        <w:tc>
          <w:tcPr>
            <w:tcW w:w="8789" w:type="dxa"/>
            <w:shd w:val="clear" w:color="auto" w:fill="auto"/>
            <w:tcMar>
              <w:top w:w="0" w:type="dxa"/>
              <w:left w:w="108" w:type="dxa"/>
              <w:bottom w:w="0" w:type="dxa"/>
              <w:right w:w="108" w:type="dxa"/>
            </w:tcMar>
          </w:tcPr>
          <w:p w14:paraId="135024A4" w14:textId="77777777" w:rsidR="00815C1E" w:rsidRDefault="00815C1E" w:rsidP="00815C1E">
            <w:pPr>
              <w:rPr>
                <w:rFonts w:ascii="Verdana" w:hAnsi="Verdana"/>
                <w:b/>
              </w:rPr>
            </w:pPr>
            <w:r>
              <w:rPr>
                <w:rFonts w:ascii="Verdana" w:hAnsi="Verdana"/>
                <w:b/>
              </w:rPr>
              <w:t>Declarations of Interest</w:t>
            </w:r>
          </w:p>
          <w:p w14:paraId="135024A5" w14:textId="77777777" w:rsidR="00815C1E" w:rsidRDefault="00815C1E" w:rsidP="00815C1E">
            <w:pPr>
              <w:rPr>
                <w:rFonts w:ascii="Verdana" w:hAnsi="Verdana"/>
              </w:rPr>
            </w:pPr>
          </w:p>
          <w:p w14:paraId="3A5A011F" w14:textId="578B5E33" w:rsidR="00C86CAD" w:rsidRDefault="005D70A6" w:rsidP="0091274C">
            <w:pPr>
              <w:rPr>
                <w:rFonts w:ascii="Verdana" w:hAnsi="Verdana"/>
              </w:rPr>
            </w:pPr>
            <w:r>
              <w:rPr>
                <w:rFonts w:ascii="Verdana" w:hAnsi="Verdana"/>
              </w:rPr>
              <w:t>None.</w:t>
            </w:r>
          </w:p>
          <w:p w14:paraId="135024A7" w14:textId="0785FD7B" w:rsidR="00C86CAD" w:rsidRDefault="00C86CAD" w:rsidP="0091274C">
            <w:pPr>
              <w:rPr>
                <w:rFonts w:ascii="Verdana" w:hAnsi="Verdana"/>
              </w:rPr>
            </w:pPr>
          </w:p>
        </w:tc>
      </w:tr>
      <w:tr w:rsidR="00BC601B" w14:paraId="46C816E8" w14:textId="77777777" w:rsidTr="00B263E0">
        <w:tc>
          <w:tcPr>
            <w:tcW w:w="675" w:type="dxa"/>
            <w:shd w:val="clear" w:color="auto" w:fill="auto"/>
            <w:tcMar>
              <w:top w:w="0" w:type="dxa"/>
              <w:left w:w="108" w:type="dxa"/>
              <w:bottom w:w="0" w:type="dxa"/>
              <w:right w:w="108" w:type="dxa"/>
            </w:tcMar>
          </w:tcPr>
          <w:p w14:paraId="13555D80" w14:textId="226C5485" w:rsidR="00BC601B" w:rsidRDefault="00D97238" w:rsidP="00815C1E">
            <w:pPr>
              <w:rPr>
                <w:rFonts w:ascii="Verdana" w:hAnsi="Verdana"/>
                <w:b/>
              </w:rPr>
            </w:pPr>
            <w:r>
              <w:rPr>
                <w:rFonts w:ascii="Verdana" w:hAnsi="Verdana"/>
                <w:b/>
              </w:rPr>
              <w:t>3</w:t>
            </w:r>
          </w:p>
        </w:tc>
        <w:tc>
          <w:tcPr>
            <w:tcW w:w="8789" w:type="dxa"/>
            <w:shd w:val="clear" w:color="auto" w:fill="auto"/>
            <w:tcMar>
              <w:top w:w="0" w:type="dxa"/>
              <w:left w:w="108" w:type="dxa"/>
              <w:bottom w:w="0" w:type="dxa"/>
              <w:right w:w="108" w:type="dxa"/>
            </w:tcMar>
          </w:tcPr>
          <w:p w14:paraId="7BF47AE3" w14:textId="3B9EA6BE" w:rsidR="003E7098" w:rsidRDefault="00BC601B" w:rsidP="00BC601B">
            <w:pPr>
              <w:rPr>
                <w:rFonts w:ascii="Verdana" w:hAnsi="Verdana"/>
                <w:b/>
              </w:rPr>
            </w:pPr>
            <w:r w:rsidRPr="003E7098">
              <w:rPr>
                <w:rFonts w:ascii="Verdana" w:hAnsi="Verdana"/>
                <w:b/>
              </w:rPr>
              <w:t xml:space="preserve">Draft Minutes of the Previous Meeting (Ordinary Business): </w:t>
            </w:r>
            <w:r w:rsidR="008902C2">
              <w:rPr>
                <w:rFonts w:ascii="Verdana" w:hAnsi="Verdana"/>
                <w:b/>
              </w:rPr>
              <w:t>11 May</w:t>
            </w:r>
            <w:r w:rsidR="006970D3">
              <w:rPr>
                <w:rFonts w:ascii="Verdana" w:hAnsi="Verdana"/>
                <w:b/>
              </w:rPr>
              <w:t xml:space="preserve"> 2021</w:t>
            </w:r>
          </w:p>
          <w:p w14:paraId="393D7B0A" w14:textId="77777777" w:rsidR="006970D3" w:rsidRDefault="006970D3" w:rsidP="00BC601B">
            <w:pPr>
              <w:rPr>
                <w:rFonts w:ascii="Verdana" w:hAnsi="Verdana"/>
                <w:i/>
              </w:rPr>
            </w:pPr>
          </w:p>
          <w:p w14:paraId="6BFEE3B9" w14:textId="0C1DEA37" w:rsidR="00BC601B" w:rsidRPr="00CA1B35" w:rsidRDefault="00BC601B" w:rsidP="00BC601B">
            <w:pPr>
              <w:rPr>
                <w:rFonts w:ascii="Verdana" w:hAnsi="Verdana"/>
              </w:rPr>
            </w:pPr>
            <w:r>
              <w:rPr>
                <w:rFonts w:ascii="Verdana" w:hAnsi="Verdana"/>
              </w:rPr>
              <w:t>It was</w:t>
            </w:r>
            <w:r w:rsidRPr="00CA1B35">
              <w:rPr>
                <w:rFonts w:ascii="Verdana" w:hAnsi="Verdana"/>
              </w:rPr>
              <w:t xml:space="preserve"> note</w:t>
            </w:r>
            <w:r>
              <w:rPr>
                <w:rFonts w:ascii="Verdana" w:hAnsi="Verdana"/>
              </w:rPr>
              <w:t xml:space="preserve">d that the draft minutes had </w:t>
            </w:r>
            <w:r w:rsidR="003C3E5A">
              <w:rPr>
                <w:rFonts w:ascii="Verdana" w:hAnsi="Verdana"/>
              </w:rPr>
              <w:t>been</w:t>
            </w:r>
            <w:r w:rsidR="007821BE">
              <w:rPr>
                <w:rFonts w:ascii="Verdana" w:hAnsi="Verdana"/>
              </w:rPr>
              <w:t xml:space="preserve"> approved for</w:t>
            </w:r>
            <w:r w:rsidR="003C3E5A">
              <w:rPr>
                <w:rFonts w:ascii="Verdana" w:hAnsi="Verdana"/>
              </w:rPr>
              <w:t xml:space="preserve"> circulat</w:t>
            </w:r>
            <w:r w:rsidR="007821BE">
              <w:rPr>
                <w:rFonts w:ascii="Verdana" w:hAnsi="Verdana"/>
              </w:rPr>
              <w:t>ion</w:t>
            </w:r>
            <w:r w:rsidRPr="00CA1B35">
              <w:rPr>
                <w:rFonts w:ascii="Verdana" w:hAnsi="Verdana"/>
              </w:rPr>
              <w:t xml:space="preserve"> by the Chair of the Corporation.</w:t>
            </w:r>
          </w:p>
          <w:p w14:paraId="2C7325D9" w14:textId="77777777" w:rsidR="00BC601B" w:rsidRPr="00CA1B35" w:rsidRDefault="00BC601B" w:rsidP="00BC601B">
            <w:pPr>
              <w:rPr>
                <w:rFonts w:ascii="Verdana" w:hAnsi="Verdana"/>
              </w:rPr>
            </w:pPr>
          </w:p>
          <w:p w14:paraId="587FB033" w14:textId="0BF3602D" w:rsidR="00BC601B" w:rsidRDefault="003309A6" w:rsidP="00BC601B">
            <w:pPr>
              <w:rPr>
                <w:rFonts w:ascii="Verdana" w:hAnsi="Verdana"/>
              </w:rPr>
            </w:pPr>
            <w:r>
              <w:rPr>
                <w:rFonts w:ascii="Verdana" w:hAnsi="Verdana"/>
              </w:rPr>
              <w:t>T</w:t>
            </w:r>
            <w:r w:rsidR="00BC601B">
              <w:rPr>
                <w:rFonts w:ascii="Verdana" w:hAnsi="Verdana"/>
              </w:rPr>
              <w:t>hey were approved</w:t>
            </w:r>
            <w:r w:rsidR="00BC601B" w:rsidRPr="00CA1B35">
              <w:rPr>
                <w:rFonts w:ascii="Verdana" w:hAnsi="Verdana"/>
              </w:rPr>
              <w:t xml:space="preserve"> as a correct record of the business transacted and </w:t>
            </w:r>
            <w:r w:rsidR="00BC601B" w:rsidRPr="00CA1B35">
              <w:rPr>
                <w:rFonts w:ascii="Verdana" w:hAnsi="Verdana"/>
                <w:i/>
              </w:rPr>
              <w:t>prima facie</w:t>
            </w:r>
            <w:r w:rsidR="00BC601B" w:rsidRPr="00CA1B35">
              <w:rPr>
                <w:rFonts w:ascii="Verdana" w:hAnsi="Verdana"/>
              </w:rPr>
              <w:t xml:space="preserve"> evidence of the proceedings to which they relate.</w:t>
            </w:r>
          </w:p>
          <w:p w14:paraId="4CF0A3C8" w14:textId="4396D475" w:rsidR="00FF3864" w:rsidRDefault="00FF3864" w:rsidP="00815C1E">
            <w:pPr>
              <w:pStyle w:val="NoSpacing"/>
              <w:rPr>
                <w:b/>
              </w:rPr>
            </w:pPr>
          </w:p>
        </w:tc>
      </w:tr>
      <w:tr w:rsidR="00815C1E" w14:paraId="135024B0" w14:textId="77777777" w:rsidTr="00B263E0">
        <w:tc>
          <w:tcPr>
            <w:tcW w:w="675" w:type="dxa"/>
            <w:shd w:val="clear" w:color="auto" w:fill="auto"/>
            <w:tcMar>
              <w:top w:w="0" w:type="dxa"/>
              <w:left w:w="108" w:type="dxa"/>
              <w:bottom w:w="0" w:type="dxa"/>
              <w:right w:w="108" w:type="dxa"/>
            </w:tcMar>
          </w:tcPr>
          <w:p w14:paraId="135024A9" w14:textId="7EFA2081" w:rsidR="00815C1E" w:rsidRDefault="00D97238" w:rsidP="00815C1E">
            <w:pPr>
              <w:rPr>
                <w:rFonts w:ascii="Verdana" w:hAnsi="Verdana"/>
                <w:b/>
              </w:rPr>
            </w:pPr>
            <w:r>
              <w:rPr>
                <w:rFonts w:ascii="Verdana" w:hAnsi="Verdana"/>
                <w:b/>
              </w:rPr>
              <w:t>4</w:t>
            </w:r>
          </w:p>
        </w:tc>
        <w:tc>
          <w:tcPr>
            <w:tcW w:w="8789" w:type="dxa"/>
            <w:shd w:val="clear" w:color="auto" w:fill="auto"/>
            <w:tcMar>
              <w:top w:w="0" w:type="dxa"/>
              <w:left w:w="108" w:type="dxa"/>
              <w:bottom w:w="0" w:type="dxa"/>
              <w:right w:w="108" w:type="dxa"/>
            </w:tcMar>
          </w:tcPr>
          <w:p w14:paraId="58E11E22" w14:textId="780FEC3E" w:rsidR="00BC601B" w:rsidRDefault="00BC601B" w:rsidP="00BC601B">
            <w:pPr>
              <w:rPr>
                <w:rFonts w:ascii="Verdana" w:hAnsi="Verdana"/>
                <w:b/>
              </w:rPr>
            </w:pPr>
            <w:r w:rsidRPr="003E7098">
              <w:rPr>
                <w:rFonts w:ascii="Verdana" w:hAnsi="Verdana"/>
                <w:b/>
              </w:rPr>
              <w:t xml:space="preserve">Matters Arising from the Draft Minutes (Ordinary Business): </w:t>
            </w:r>
            <w:r w:rsidR="008902C2">
              <w:rPr>
                <w:rFonts w:ascii="Verdana" w:hAnsi="Verdana"/>
                <w:b/>
              </w:rPr>
              <w:t>11 May 2021</w:t>
            </w:r>
          </w:p>
          <w:p w14:paraId="11D765A8" w14:textId="23BC6B90" w:rsidR="003E7098" w:rsidRDefault="003E7098" w:rsidP="00BC601B">
            <w:pPr>
              <w:rPr>
                <w:rFonts w:ascii="Verdana" w:hAnsi="Verdana"/>
                <w:b/>
              </w:rPr>
            </w:pPr>
          </w:p>
          <w:p w14:paraId="0E77351A" w14:textId="4EB8A091" w:rsidR="00C17DF8" w:rsidRDefault="00C17DF8" w:rsidP="00BC601B">
            <w:pPr>
              <w:rPr>
                <w:rFonts w:ascii="Verdana" w:hAnsi="Verdana"/>
                <w:bCs/>
              </w:rPr>
            </w:pPr>
            <w:r w:rsidRPr="00C17DF8">
              <w:rPr>
                <w:rFonts w:ascii="Verdana" w:hAnsi="Verdana"/>
                <w:bCs/>
                <w:i/>
                <w:iCs/>
              </w:rPr>
              <w:t xml:space="preserve">Minute </w:t>
            </w:r>
            <w:r w:rsidR="00A865B6">
              <w:rPr>
                <w:rFonts w:ascii="Verdana" w:hAnsi="Verdana"/>
                <w:bCs/>
                <w:i/>
                <w:iCs/>
              </w:rPr>
              <w:t>3</w:t>
            </w:r>
            <w:r w:rsidRPr="00C17DF8">
              <w:rPr>
                <w:rFonts w:ascii="Verdana" w:hAnsi="Verdana"/>
                <w:bCs/>
                <w:i/>
                <w:iCs/>
              </w:rPr>
              <w:t xml:space="preserve">: </w:t>
            </w:r>
            <w:r w:rsidR="00A865B6">
              <w:rPr>
                <w:rFonts w:ascii="Verdana" w:hAnsi="Verdana"/>
                <w:bCs/>
              </w:rPr>
              <w:t xml:space="preserve">it was reported that the minutes of the 30 March 2021 meeting had been amended as </w:t>
            </w:r>
            <w:r w:rsidR="003309A6">
              <w:rPr>
                <w:rFonts w:ascii="Verdana" w:hAnsi="Verdana"/>
                <w:bCs/>
              </w:rPr>
              <w:t>agre</w:t>
            </w:r>
            <w:r w:rsidR="00A865B6">
              <w:rPr>
                <w:rFonts w:ascii="Verdana" w:hAnsi="Verdana"/>
                <w:bCs/>
              </w:rPr>
              <w:t>ed.</w:t>
            </w:r>
          </w:p>
          <w:p w14:paraId="7D13E65F" w14:textId="7F79BE0C" w:rsidR="00A865B6" w:rsidRDefault="00A865B6" w:rsidP="00BC601B">
            <w:pPr>
              <w:rPr>
                <w:rFonts w:ascii="Verdana" w:hAnsi="Verdana"/>
                <w:bCs/>
              </w:rPr>
            </w:pPr>
          </w:p>
          <w:p w14:paraId="7C7CD628" w14:textId="1DE70F2A" w:rsidR="00A865B6" w:rsidRDefault="00A865B6" w:rsidP="00BC601B">
            <w:pPr>
              <w:rPr>
                <w:rFonts w:ascii="Verdana" w:hAnsi="Verdana"/>
                <w:bCs/>
              </w:rPr>
            </w:pPr>
            <w:r w:rsidRPr="00A865B6">
              <w:rPr>
                <w:rFonts w:ascii="Verdana" w:hAnsi="Verdana"/>
                <w:bCs/>
                <w:i/>
                <w:iCs/>
              </w:rPr>
              <w:t>Minute 5:</w:t>
            </w:r>
            <w:r>
              <w:rPr>
                <w:rFonts w:ascii="Verdana" w:hAnsi="Verdana"/>
                <w:bCs/>
              </w:rPr>
              <w:t xml:space="preserve"> it was confirmed, following a consultation with members, that a Development Session for all members has been arranged for Saturday </w:t>
            </w:r>
            <w:r w:rsidR="003B7B22">
              <w:rPr>
                <w:rFonts w:ascii="Verdana" w:hAnsi="Verdana"/>
                <w:bCs/>
              </w:rPr>
              <w:t>4</w:t>
            </w:r>
            <w:r>
              <w:rPr>
                <w:rFonts w:ascii="Verdana" w:hAnsi="Verdana"/>
                <w:bCs/>
              </w:rPr>
              <w:t xml:space="preserve"> September (9.30 -13.00).</w:t>
            </w:r>
            <w:r w:rsidR="003309A6">
              <w:rPr>
                <w:rFonts w:ascii="Verdana" w:hAnsi="Verdana"/>
                <w:bCs/>
              </w:rPr>
              <w:t xml:space="preserve">  It will be held face-to-face at the College, subject to any </w:t>
            </w:r>
            <w:r w:rsidR="007821BE">
              <w:rPr>
                <w:rFonts w:ascii="Verdana" w:hAnsi="Verdana"/>
                <w:bCs/>
              </w:rPr>
              <w:t xml:space="preserve">safety </w:t>
            </w:r>
            <w:r w:rsidR="003309A6">
              <w:rPr>
                <w:rFonts w:ascii="Verdana" w:hAnsi="Verdana"/>
                <w:bCs/>
              </w:rPr>
              <w:t xml:space="preserve">restrictions </w:t>
            </w:r>
            <w:r w:rsidR="008A2908">
              <w:rPr>
                <w:rFonts w:ascii="Verdana" w:hAnsi="Verdana"/>
                <w:bCs/>
              </w:rPr>
              <w:t>that</w:t>
            </w:r>
            <w:r w:rsidR="003309A6">
              <w:rPr>
                <w:rFonts w:ascii="Verdana" w:hAnsi="Verdana"/>
                <w:bCs/>
              </w:rPr>
              <w:t xml:space="preserve"> may be</w:t>
            </w:r>
            <w:r w:rsidR="002725AF">
              <w:rPr>
                <w:rFonts w:ascii="Verdana" w:hAnsi="Verdana"/>
                <w:bCs/>
              </w:rPr>
              <w:t xml:space="preserve"> advised or</w:t>
            </w:r>
            <w:r w:rsidR="003309A6">
              <w:rPr>
                <w:rFonts w:ascii="Verdana" w:hAnsi="Verdana"/>
                <w:bCs/>
              </w:rPr>
              <w:t xml:space="preserve"> imposed.</w:t>
            </w:r>
          </w:p>
          <w:p w14:paraId="08FD0597" w14:textId="77777777" w:rsidR="00A865B6" w:rsidRPr="00A865B6" w:rsidRDefault="00A865B6" w:rsidP="00BC601B">
            <w:pPr>
              <w:rPr>
                <w:rFonts w:ascii="Verdana" w:hAnsi="Verdana"/>
                <w:bCs/>
              </w:rPr>
            </w:pPr>
          </w:p>
          <w:p w14:paraId="6565BD6D" w14:textId="7D9F04B5" w:rsidR="00C17DF8" w:rsidRDefault="00A865B6" w:rsidP="00BC601B">
            <w:pPr>
              <w:rPr>
                <w:rFonts w:ascii="Verdana" w:hAnsi="Verdana"/>
                <w:bCs/>
              </w:rPr>
            </w:pPr>
            <w:r w:rsidRPr="00A865B6">
              <w:rPr>
                <w:rFonts w:ascii="Verdana" w:hAnsi="Verdana"/>
                <w:bCs/>
                <w:i/>
                <w:iCs/>
              </w:rPr>
              <w:lastRenderedPageBreak/>
              <w:t>Minute</w:t>
            </w:r>
            <w:r>
              <w:rPr>
                <w:rFonts w:ascii="Verdana" w:hAnsi="Verdana"/>
                <w:bCs/>
                <w:i/>
                <w:iCs/>
              </w:rPr>
              <w:t>s</w:t>
            </w:r>
            <w:r w:rsidRPr="00A865B6">
              <w:rPr>
                <w:rFonts w:ascii="Verdana" w:hAnsi="Verdana"/>
                <w:bCs/>
                <w:i/>
                <w:iCs/>
              </w:rPr>
              <w:t xml:space="preserve"> 6</w:t>
            </w:r>
            <w:r>
              <w:rPr>
                <w:rFonts w:ascii="Verdana" w:hAnsi="Verdana"/>
                <w:bCs/>
                <w:i/>
                <w:iCs/>
              </w:rPr>
              <w:t xml:space="preserve"> &amp; 13</w:t>
            </w:r>
            <w:r w:rsidRPr="00A865B6">
              <w:rPr>
                <w:rFonts w:ascii="Verdana" w:hAnsi="Verdana"/>
                <w:bCs/>
                <w:i/>
                <w:iCs/>
              </w:rPr>
              <w:t>:</w:t>
            </w:r>
            <w:r>
              <w:rPr>
                <w:rFonts w:ascii="Verdana" w:hAnsi="Verdana"/>
                <w:bCs/>
              </w:rPr>
              <w:t xml:space="preserve">  appraisals of </w:t>
            </w:r>
            <w:r w:rsidR="007821BE">
              <w:rPr>
                <w:rFonts w:ascii="Verdana" w:hAnsi="Verdana"/>
                <w:bCs/>
              </w:rPr>
              <w:t xml:space="preserve">most </w:t>
            </w:r>
            <w:r>
              <w:rPr>
                <w:rFonts w:ascii="Verdana" w:hAnsi="Verdana"/>
                <w:bCs/>
              </w:rPr>
              <w:t xml:space="preserve">members </w:t>
            </w:r>
            <w:r w:rsidR="002725AF">
              <w:rPr>
                <w:rFonts w:ascii="Verdana" w:hAnsi="Verdana"/>
                <w:bCs/>
              </w:rPr>
              <w:t xml:space="preserve">of the Corporation </w:t>
            </w:r>
            <w:r>
              <w:rPr>
                <w:rFonts w:ascii="Verdana" w:hAnsi="Verdana"/>
                <w:bCs/>
              </w:rPr>
              <w:t>had been conducted by the Chair of the Corporation during May and June.</w:t>
            </w:r>
          </w:p>
          <w:p w14:paraId="5D8148F7" w14:textId="43D92530" w:rsidR="00A865B6" w:rsidRDefault="00A865B6" w:rsidP="00BC601B">
            <w:pPr>
              <w:rPr>
                <w:rFonts w:ascii="Verdana" w:hAnsi="Verdana"/>
                <w:bCs/>
              </w:rPr>
            </w:pPr>
          </w:p>
          <w:p w14:paraId="4F4DE7ED" w14:textId="3BAF454E" w:rsidR="00BC601B" w:rsidRDefault="00C17DF8" w:rsidP="00BC601B">
            <w:pPr>
              <w:rPr>
                <w:rFonts w:ascii="Verdana" w:hAnsi="Verdana"/>
              </w:rPr>
            </w:pPr>
            <w:r>
              <w:rPr>
                <w:rFonts w:ascii="Verdana" w:hAnsi="Verdana"/>
              </w:rPr>
              <w:t>There were no other matters arising except those</w:t>
            </w:r>
            <w:r w:rsidR="00BC601B">
              <w:rPr>
                <w:rFonts w:ascii="Verdana" w:hAnsi="Verdana"/>
              </w:rPr>
              <w:t xml:space="preserve"> already provided for </w:t>
            </w:r>
            <w:r>
              <w:rPr>
                <w:rFonts w:ascii="Verdana" w:hAnsi="Verdana"/>
              </w:rPr>
              <w:t>elsewhere on the</w:t>
            </w:r>
            <w:r w:rsidR="00BC601B">
              <w:rPr>
                <w:rFonts w:ascii="Verdana" w:hAnsi="Verdana"/>
              </w:rPr>
              <w:t xml:space="preserve"> meeting agenda.</w:t>
            </w:r>
            <w:r w:rsidR="00847BFE">
              <w:rPr>
                <w:rFonts w:ascii="Verdana" w:hAnsi="Verdana"/>
              </w:rPr>
              <w:t xml:space="preserve"> </w:t>
            </w:r>
          </w:p>
          <w:p w14:paraId="135024AF" w14:textId="17BE6744" w:rsidR="00446680" w:rsidRPr="00FE19AA" w:rsidRDefault="00446680" w:rsidP="00BC601B">
            <w:pPr>
              <w:rPr>
                <w:rFonts w:ascii="Verdana" w:hAnsi="Verdana"/>
              </w:rPr>
            </w:pPr>
          </w:p>
        </w:tc>
      </w:tr>
      <w:tr w:rsidR="00EC244A" w14:paraId="29B891E9" w14:textId="77777777" w:rsidTr="00B263E0">
        <w:tc>
          <w:tcPr>
            <w:tcW w:w="675" w:type="dxa"/>
            <w:shd w:val="clear" w:color="auto" w:fill="auto"/>
            <w:tcMar>
              <w:top w:w="0" w:type="dxa"/>
              <w:left w:w="108" w:type="dxa"/>
              <w:bottom w:w="0" w:type="dxa"/>
              <w:right w:w="108" w:type="dxa"/>
            </w:tcMar>
          </w:tcPr>
          <w:p w14:paraId="3F8D4DE6" w14:textId="737BBAA7" w:rsidR="00EC244A" w:rsidRDefault="00D97238" w:rsidP="00EC244A">
            <w:pPr>
              <w:rPr>
                <w:rFonts w:ascii="Verdana" w:hAnsi="Verdana"/>
                <w:b/>
              </w:rPr>
            </w:pPr>
            <w:r>
              <w:rPr>
                <w:rFonts w:ascii="Verdana" w:hAnsi="Verdana"/>
                <w:b/>
              </w:rPr>
              <w:lastRenderedPageBreak/>
              <w:t>5</w:t>
            </w:r>
          </w:p>
        </w:tc>
        <w:tc>
          <w:tcPr>
            <w:tcW w:w="8789" w:type="dxa"/>
            <w:shd w:val="clear" w:color="auto" w:fill="auto"/>
            <w:tcMar>
              <w:top w:w="0" w:type="dxa"/>
              <w:left w:w="108" w:type="dxa"/>
              <w:bottom w:w="0" w:type="dxa"/>
              <w:right w:w="108" w:type="dxa"/>
            </w:tcMar>
          </w:tcPr>
          <w:p w14:paraId="04559FC7" w14:textId="77777777" w:rsidR="003B7B22" w:rsidRDefault="003B7B22" w:rsidP="003B7B22">
            <w:pPr>
              <w:pStyle w:val="NoSpacing"/>
              <w:rPr>
                <w:b/>
              </w:rPr>
            </w:pPr>
            <w:r>
              <w:rPr>
                <w:b/>
              </w:rPr>
              <w:t>Election of Chair of the Corporation</w:t>
            </w:r>
          </w:p>
          <w:p w14:paraId="09928CC0" w14:textId="77777777" w:rsidR="00871849" w:rsidRDefault="00871849" w:rsidP="006970D3">
            <w:pPr>
              <w:rPr>
                <w:rFonts w:ascii="Verdana" w:hAnsi="Verdana"/>
              </w:rPr>
            </w:pPr>
          </w:p>
          <w:p w14:paraId="2B5BC4C2" w14:textId="77777777" w:rsidR="003B7B22" w:rsidRDefault="003B7B22" w:rsidP="006970D3">
            <w:pPr>
              <w:rPr>
                <w:rFonts w:ascii="Verdana" w:hAnsi="Verdana"/>
              </w:rPr>
            </w:pPr>
            <w:r>
              <w:rPr>
                <w:rFonts w:ascii="Verdana" w:hAnsi="Verdana"/>
              </w:rPr>
              <w:t>Notice was given by the Clerk to the Corporation that the votes cast in the election for the office of Chair of the Corporation were as follows:</w:t>
            </w:r>
          </w:p>
          <w:p w14:paraId="38591DE5" w14:textId="77777777" w:rsidR="003B7B22" w:rsidRDefault="003B7B22" w:rsidP="006970D3">
            <w:pPr>
              <w:rPr>
                <w:rFonts w:ascii="Verdana" w:hAnsi="Verdana"/>
              </w:rPr>
            </w:pPr>
          </w:p>
          <w:p w14:paraId="7F93BC0E" w14:textId="7F96B360" w:rsidR="003B7B22" w:rsidRPr="00E31D90" w:rsidRDefault="007821BE" w:rsidP="006970D3">
            <w:pPr>
              <w:rPr>
                <w:rFonts w:ascii="Verdana" w:hAnsi="Verdana"/>
                <w:b/>
                <w:bCs/>
                <w:i/>
                <w:iCs/>
              </w:rPr>
            </w:pPr>
            <w:r>
              <w:rPr>
                <w:rFonts w:ascii="Verdana" w:hAnsi="Verdana"/>
                <w:b/>
                <w:bCs/>
                <w:i/>
                <w:iCs/>
              </w:rPr>
              <w:t>To</w:t>
            </w:r>
            <w:r w:rsidR="003B7B22" w:rsidRPr="00E31D90">
              <w:rPr>
                <w:rFonts w:ascii="Verdana" w:hAnsi="Verdana"/>
                <w:b/>
                <w:bCs/>
                <w:i/>
                <w:iCs/>
              </w:rPr>
              <w:t xml:space="preserve"> Elect Jagdev Kenth as Chair of the Corporation              </w:t>
            </w:r>
            <w:r w:rsidR="00E31D90">
              <w:rPr>
                <w:rFonts w:ascii="Verdana" w:hAnsi="Verdana"/>
                <w:b/>
                <w:bCs/>
                <w:i/>
                <w:iCs/>
              </w:rPr>
              <w:t xml:space="preserve"> </w:t>
            </w:r>
            <w:r w:rsidR="003B7B22" w:rsidRPr="00E31D90">
              <w:rPr>
                <w:rFonts w:ascii="Verdana" w:hAnsi="Verdana"/>
                <w:b/>
                <w:bCs/>
                <w:i/>
                <w:iCs/>
              </w:rPr>
              <w:t xml:space="preserve"> 6</w:t>
            </w:r>
          </w:p>
          <w:p w14:paraId="08AB57F1" w14:textId="2308DD30" w:rsidR="003B7B22" w:rsidRPr="00E31D90" w:rsidRDefault="002725AF" w:rsidP="006970D3">
            <w:pPr>
              <w:rPr>
                <w:rFonts w:ascii="Verdana" w:hAnsi="Verdana"/>
                <w:b/>
                <w:bCs/>
                <w:i/>
                <w:iCs/>
              </w:rPr>
            </w:pPr>
            <w:r>
              <w:rPr>
                <w:rFonts w:ascii="Verdana" w:hAnsi="Verdana"/>
                <w:b/>
                <w:bCs/>
                <w:i/>
                <w:iCs/>
              </w:rPr>
              <w:t>Not to</w:t>
            </w:r>
            <w:r w:rsidR="003B7B22" w:rsidRPr="00E31D90">
              <w:rPr>
                <w:rFonts w:ascii="Verdana" w:hAnsi="Verdana"/>
                <w:b/>
                <w:bCs/>
                <w:i/>
                <w:iCs/>
              </w:rPr>
              <w:t xml:space="preserve"> Elect Jagdev Kenth as Chair of the Corporation    </w:t>
            </w:r>
            <w:r w:rsidR="007821BE">
              <w:rPr>
                <w:rFonts w:ascii="Verdana" w:hAnsi="Verdana"/>
                <w:b/>
                <w:bCs/>
                <w:i/>
                <w:iCs/>
              </w:rPr>
              <w:t xml:space="preserve">     </w:t>
            </w:r>
            <w:r>
              <w:rPr>
                <w:rFonts w:ascii="Verdana" w:hAnsi="Verdana"/>
                <w:b/>
                <w:bCs/>
                <w:i/>
                <w:iCs/>
              </w:rPr>
              <w:t xml:space="preserve"> </w:t>
            </w:r>
            <w:r w:rsidR="003B7B22" w:rsidRPr="00E31D90">
              <w:rPr>
                <w:rFonts w:ascii="Verdana" w:hAnsi="Verdana"/>
                <w:b/>
                <w:bCs/>
                <w:i/>
                <w:iCs/>
              </w:rPr>
              <w:t>7</w:t>
            </w:r>
          </w:p>
          <w:p w14:paraId="70F12174" w14:textId="25A9F1AE" w:rsidR="003B7B22" w:rsidRDefault="003B7B22" w:rsidP="006970D3">
            <w:pPr>
              <w:rPr>
                <w:rFonts w:ascii="Verdana" w:hAnsi="Verdana"/>
              </w:rPr>
            </w:pPr>
          </w:p>
          <w:p w14:paraId="03A95A96" w14:textId="114B1FBE" w:rsidR="003B7B22" w:rsidRDefault="003B7B22" w:rsidP="006970D3">
            <w:pPr>
              <w:rPr>
                <w:rFonts w:ascii="Verdana" w:hAnsi="Verdana"/>
              </w:rPr>
            </w:pPr>
            <w:r>
              <w:rPr>
                <w:rFonts w:ascii="Verdana" w:hAnsi="Verdana"/>
              </w:rPr>
              <w:t>No member</w:t>
            </w:r>
            <w:r w:rsidR="003309A6">
              <w:rPr>
                <w:rFonts w:ascii="Verdana" w:hAnsi="Verdana"/>
              </w:rPr>
              <w:t xml:space="preserve"> had</w:t>
            </w:r>
            <w:r>
              <w:rPr>
                <w:rFonts w:ascii="Verdana" w:hAnsi="Verdana"/>
              </w:rPr>
              <w:t xml:space="preserve"> asked for their abstention to be recorded.</w:t>
            </w:r>
          </w:p>
          <w:p w14:paraId="6790812D" w14:textId="77777777" w:rsidR="003B7B22" w:rsidRDefault="003B7B22" w:rsidP="006970D3">
            <w:pPr>
              <w:rPr>
                <w:rFonts w:ascii="Verdana" w:hAnsi="Verdana"/>
              </w:rPr>
            </w:pPr>
          </w:p>
          <w:p w14:paraId="18A561EA" w14:textId="0A0D835C" w:rsidR="003B7B22" w:rsidRDefault="003B7B22" w:rsidP="006970D3">
            <w:pPr>
              <w:rPr>
                <w:rFonts w:ascii="Verdana" w:hAnsi="Verdana"/>
              </w:rPr>
            </w:pPr>
            <w:r>
              <w:rPr>
                <w:rFonts w:ascii="Verdana" w:hAnsi="Verdana"/>
              </w:rPr>
              <w:t>The candidate did not obtain the support of two thirds of the members of the Corporation</w:t>
            </w:r>
            <w:r w:rsidR="003309A6">
              <w:rPr>
                <w:rFonts w:ascii="Verdana" w:hAnsi="Verdana"/>
              </w:rPr>
              <w:t>,</w:t>
            </w:r>
            <w:r>
              <w:rPr>
                <w:rFonts w:ascii="Verdana" w:hAnsi="Verdana"/>
              </w:rPr>
              <w:t xml:space="preserve"> and was not elected.</w:t>
            </w:r>
          </w:p>
          <w:p w14:paraId="2AF23A70" w14:textId="2DB87676" w:rsidR="003B7B22" w:rsidRPr="00C17DF8" w:rsidRDefault="003B7B22" w:rsidP="006970D3">
            <w:pPr>
              <w:rPr>
                <w:rFonts w:ascii="Verdana" w:hAnsi="Verdana"/>
              </w:rPr>
            </w:pPr>
            <w:r>
              <w:rPr>
                <w:rFonts w:ascii="Verdana" w:hAnsi="Verdana"/>
              </w:rPr>
              <w:t xml:space="preserve"> </w:t>
            </w:r>
          </w:p>
        </w:tc>
      </w:tr>
      <w:tr w:rsidR="00847669" w14:paraId="1679D29D" w14:textId="77777777" w:rsidTr="00B263E0">
        <w:tc>
          <w:tcPr>
            <w:tcW w:w="675" w:type="dxa"/>
            <w:shd w:val="clear" w:color="auto" w:fill="auto"/>
            <w:tcMar>
              <w:top w:w="0" w:type="dxa"/>
              <w:left w:w="108" w:type="dxa"/>
              <w:bottom w:w="0" w:type="dxa"/>
              <w:right w:w="108" w:type="dxa"/>
            </w:tcMar>
          </w:tcPr>
          <w:p w14:paraId="277DC6A3" w14:textId="258D80ED" w:rsidR="00847669" w:rsidRDefault="00847669" w:rsidP="009C21D7">
            <w:pPr>
              <w:rPr>
                <w:rFonts w:ascii="Verdana" w:hAnsi="Verdana"/>
                <w:b/>
              </w:rPr>
            </w:pPr>
            <w:r>
              <w:rPr>
                <w:rFonts w:ascii="Verdana" w:hAnsi="Verdana"/>
                <w:b/>
              </w:rPr>
              <w:t>6</w:t>
            </w:r>
          </w:p>
        </w:tc>
        <w:tc>
          <w:tcPr>
            <w:tcW w:w="8789" w:type="dxa"/>
            <w:shd w:val="clear" w:color="auto" w:fill="auto"/>
            <w:tcMar>
              <w:top w:w="0" w:type="dxa"/>
              <w:left w:w="108" w:type="dxa"/>
              <w:bottom w:w="0" w:type="dxa"/>
              <w:right w:w="108" w:type="dxa"/>
            </w:tcMar>
          </w:tcPr>
          <w:p w14:paraId="289C5605" w14:textId="77777777" w:rsidR="003B7B22" w:rsidRDefault="003B7B22" w:rsidP="003B7B22">
            <w:pPr>
              <w:pStyle w:val="NoSpacing"/>
              <w:rPr>
                <w:b/>
              </w:rPr>
            </w:pPr>
            <w:r>
              <w:rPr>
                <w:b/>
              </w:rPr>
              <w:t>Succession: Chair of the Corporation</w:t>
            </w:r>
          </w:p>
          <w:p w14:paraId="7285269B" w14:textId="77777777" w:rsidR="00847669" w:rsidRDefault="00847669" w:rsidP="009C21D7">
            <w:pPr>
              <w:rPr>
                <w:rFonts w:ascii="Verdana" w:hAnsi="Verdana"/>
                <w:b/>
              </w:rPr>
            </w:pPr>
          </w:p>
          <w:p w14:paraId="15844675" w14:textId="7395EFDF" w:rsidR="00491066" w:rsidRDefault="00491066" w:rsidP="003B7B22">
            <w:pPr>
              <w:rPr>
                <w:rFonts w:ascii="Verdana" w:hAnsi="Verdana"/>
                <w:bCs/>
              </w:rPr>
            </w:pPr>
            <w:r>
              <w:rPr>
                <w:rFonts w:ascii="Verdana" w:hAnsi="Verdana"/>
                <w:bCs/>
              </w:rPr>
              <w:t>The Chair of the Corporation withdrew for consideration of this agendum.  The Senior Vice-Chair of the Corporation presided.</w:t>
            </w:r>
          </w:p>
          <w:p w14:paraId="398147F5" w14:textId="77777777" w:rsidR="00491066" w:rsidRDefault="00491066" w:rsidP="003B7B22">
            <w:pPr>
              <w:rPr>
                <w:rFonts w:ascii="Verdana" w:hAnsi="Verdana"/>
                <w:bCs/>
              </w:rPr>
            </w:pPr>
          </w:p>
          <w:p w14:paraId="1DAFB1CA" w14:textId="0E8FB0E0" w:rsidR="00821099" w:rsidRDefault="003B7B22" w:rsidP="003B7B22">
            <w:pPr>
              <w:rPr>
                <w:rFonts w:ascii="Verdana" w:hAnsi="Verdana"/>
                <w:bCs/>
              </w:rPr>
            </w:pPr>
            <w:r>
              <w:rPr>
                <w:rFonts w:ascii="Verdana" w:hAnsi="Verdana"/>
                <w:bCs/>
              </w:rPr>
              <w:t xml:space="preserve">A paper prepared by the Clerk to the Corporation was received </w:t>
            </w:r>
            <w:r w:rsidR="007821BE">
              <w:rPr>
                <w:rFonts w:ascii="Verdana" w:hAnsi="Verdana"/>
                <w:bCs/>
              </w:rPr>
              <w:t>as a basis for discussion</w:t>
            </w:r>
            <w:r>
              <w:rPr>
                <w:rFonts w:ascii="Verdana" w:hAnsi="Verdana"/>
                <w:bCs/>
              </w:rPr>
              <w:t>.</w:t>
            </w:r>
          </w:p>
          <w:p w14:paraId="71A59326" w14:textId="77777777" w:rsidR="003B7B22" w:rsidRDefault="003B7B22" w:rsidP="003B7B22">
            <w:pPr>
              <w:rPr>
                <w:rFonts w:ascii="Verdana" w:hAnsi="Verdana"/>
                <w:bCs/>
              </w:rPr>
            </w:pPr>
          </w:p>
          <w:p w14:paraId="7D1623F0" w14:textId="2CBB2DC0" w:rsidR="003B7B22" w:rsidRPr="003309A6" w:rsidRDefault="003B7B22" w:rsidP="003309A6">
            <w:pPr>
              <w:rPr>
                <w:rFonts w:ascii="Verdana" w:hAnsi="Verdana"/>
                <w:bCs/>
              </w:rPr>
            </w:pPr>
            <w:r w:rsidRPr="003309A6">
              <w:rPr>
                <w:rFonts w:ascii="Verdana" w:hAnsi="Verdana"/>
                <w:bCs/>
              </w:rPr>
              <w:t>It was noted that</w:t>
            </w:r>
            <w:r w:rsidR="003309A6" w:rsidRPr="003309A6">
              <w:rPr>
                <w:rFonts w:ascii="Verdana" w:hAnsi="Verdana"/>
                <w:bCs/>
              </w:rPr>
              <w:t xml:space="preserve"> </w:t>
            </w:r>
            <w:r w:rsidRPr="003309A6">
              <w:rPr>
                <w:rFonts w:ascii="Verdana" w:hAnsi="Verdana"/>
              </w:rPr>
              <w:t xml:space="preserve">at the Corporation meeting held on 30 March 2021, </w:t>
            </w:r>
            <w:r w:rsidR="003309A6" w:rsidRPr="003309A6">
              <w:rPr>
                <w:rFonts w:ascii="Verdana" w:hAnsi="Verdana"/>
              </w:rPr>
              <w:t>it</w:t>
            </w:r>
            <w:r w:rsidRPr="003309A6">
              <w:rPr>
                <w:rFonts w:ascii="Verdana" w:hAnsi="Verdana"/>
              </w:rPr>
              <w:t xml:space="preserve"> </w:t>
            </w:r>
            <w:r w:rsidR="003309A6" w:rsidRPr="003309A6">
              <w:rPr>
                <w:rFonts w:ascii="Verdana" w:hAnsi="Verdana"/>
              </w:rPr>
              <w:t>had been</w:t>
            </w:r>
            <w:r w:rsidRPr="003309A6">
              <w:rPr>
                <w:rFonts w:ascii="Verdana" w:hAnsi="Verdana"/>
              </w:rPr>
              <w:t xml:space="preserve"> agreed</w:t>
            </w:r>
            <w:r w:rsidR="003309A6" w:rsidRPr="003309A6">
              <w:rPr>
                <w:rFonts w:ascii="Verdana" w:hAnsi="Verdana"/>
              </w:rPr>
              <w:t xml:space="preserve"> that</w:t>
            </w:r>
            <w:r w:rsidRPr="003309A6">
              <w:rPr>
                <w:rFonts w:ascii="Verdana" w:hAnsi="Verdana"/>
              </w:rPr>
              <w:t xml:space="preserve"> i</w:t>
            </w:r>
            <w:r w:rsidR="003309A6" w:rsidRPr="003309A6">
              <w:rPr>
                <w:rFonts w:ascii="Verdana" w:hAnsi="Verdana"/>
              </w:rPr>
              <w:t xml:space="preserve">f </w:t>
            </w:r>
            <w:r w:rsidRPr="003309A6">
              <w:rPr>
                <w:rFonts w:ascii="Verdana" w:hAnsi="Verdana"/>
              </w:rPr>
              <w:t xml:space="preserve">no internal candidate had been elected, </w:t>
            </w:r>
            <w:r w:rsidR="003309A6" w:rsidRPr="003309A6">
              <w:rPr>
                <w:rFonts w:ascii="Verdana" w:hAnsi="Verdana"/>
              </w:rPr>
              <w:t>the Corporation will decide between two options</w:t>
            </w:r>
            <w:r w:rsidR="003309A6">
              <w:rPr>
                <w:rFonts w:ascii="Verdana" w:hAnsi="Verdana"/>
              </w:rPr>
              <w:t>, namely</w:t>
            </w:r>
            <w:r w:rsidRPr="003309A6">
              <w:rPr>
                <w:rFonts w:ascii="Verdana" w:hAnsi="Verdana"/>
              </w:rPr>
              <w:t>:</w:t>
            </w:r>
          </w:p>
          <w:p w14:paraId="556DAF70" w14:textId="77777777" w:rsidR="003B7B22" w:rsidRPr="003309A6" w:rsidRDefault="003B7B22" w:rsidP="003B7B22">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8160"/>
            </w:tblGrid>
            <w:tr w:rsidR="003B7B22" w:rsidRPr="003309A6" w14:paraId="3EA201C8" w14:textId="77777777" w:rsidTr="00F04281">
              <w:tc>
                <w:tcPr>
                  <w:tcW w:w="421" w:type="dxa"/>
                </w:tcPr>
                <w:p w14:paraId="6BF04243" w14:textId="77777777" w:rsidR="003B7B22" w:rsidRPr="00E31D90" w:rsidRDefault="003B7B22" w:rsidP="003B7B22">
                  <w:pPr>
                    <w:pStyle w:val="NoSpacing"/>
                    <w:rPr>
                      <w:b/>
                      <w:bCs/>
                      <w:i/>
                      <w:iCs/>
                    </w:rPr>
                  </w:pPr>
                  <w:r w:rsidRPr="00E31D90">
                    <w:rPr>
                      <w:b/>
                      <w:bCs/>
                      <w:i/>
                      <w:iCs/>
                    </w:rPr>
                    <w:t>.</w:t>
                  </w:r>
                </w:p>
              </w:tc>
              <w:tc>
                <w:tcPr>
                  <w:tcW w:w="8595" w:type="dxa"/>
                </w:tcPr>
                <w:p w14:paraId="7B2AF7BA" w14:textId="61D3ABFA" w:rsidR="003B7B22" w:rsidRPr="00E31D90" w:rsidRDefault="003309A6" w:rsidP="003B7B22">
                  <w:pPr>
                    <w:pStyle w:val="NoSpacing"/>
                    <w:rPr>
                      <w:b/>
                      <w:bCs/>
                      <w:i/>
                      <w:iCs/>
                    </w:rPr>
                  </w:pPr>
                  <w:r w:rsidRPr="00E31D90">
                    <w:rPr>
                      <w:b/>
                      <w:bCs/>
                      <w:i/>
                      <w:iCs/>
                    </w:rPr>
                    <w:t xml:space="preserve">to </w:t>
                  </w:r>
                  <w:r w:rsidR="003B7B22" w:rsidRPr="00E31D90">
                    <w:rPr>
                      <w:b/>
                      <w:bCs/>
                      <w:i/>
                      <w:iCs/>
                    </w:rPr>
                    <w:t xml:space="preserve">seek an external candidate for the office of Chair of the Corporation, and their subsequent election by the Corporation; </w:t>
                  </w:r>
                  <w:r w:rsidR="003B7B22" w:rsidRPr="00E31D90">
                    <w:rPr>
                      <w:i/>
                      <w:iCs/>
                    </w:rPr>
                    <w:t>OR</w:t>
                  </w:r>
                </w:p>
                <w:p w14:paraId="3A6E9049" w14:textId="77777777" w:rsidR="003B7B22" w:rsidRPr="00E31D90" w:rsidRDefault="003B7B22" w:rsidP="003B7B22">
                  <w:pPr>
                    <w:pStyle w:val="NoSpacing"/>
                    <w:rPr>
                      <w:b/>
                      <w:bCs/>
                      <w:i/>
                      <w:iCs/>
                    </w:rPr>
                  </w:pPr>
                </w:p>
              </w:tc>
            </w:tr>
            <w:tr w:rsidR="003B7B22" w:rsidRPr="003309A6" w14:paraId="03FCDCE5" w14:textId="77777777" w:rsidTr="00F04281">
              <w:tc>
                <w:tcPr>
                  <w:tcW w:w="421" w:type="dxa"/>
                </w:tcPr>
                <w:p w14:paraId="682B3783" w14:textId="77777777" w:rsidR="003B7B22" w:rsidRPr="00E31D90" w:rsidRDefault="003B7B22" w:rsidP="003B7B22">
                  <w:pPr>
                    <w:pStyle w:val="NoSpacing"/>
                    <w:rPr>
                      <w:b/>
                      <w:bCs/>
                      <w:i/>
                      <w:iCs/>
                    </w:rPr>
                  </w:pPr>
                  <w:r w:rsidRPr="00E31D90">
                    <w:rPr>
                      <w:b/>
                      <w:bCs/>
                      <w:i/>
                      <w:iCs/>
                    </w:rPr>
                    <w:t>.</w:t>
                  </w:r>
                </w:p>
              </w:tc>
              <w:tc>
                <w:tcPr>
                  <w:tcW w:w="8595" w:type="dxa"/>
                </w:tcPr>
                <w:p w14:paraId="5CFD7EF8" w14:textId="3400F441" w:rsidR="003B7B22" w:rsidRPr="00E31D90" w:rsidRDefault="003309A6" w:rsidP="003B7B22">
                  <w:pPr>
                    <w:pStyle w:val="NoSpacing"/>
                    <w:rPr>
                      <w:b/>
                      <w:bCs/>
                      <w:i/>
                      <w:iCs/>
                    </w:rPr>
                  </w:pPr>
                  <w:r w:rsidRPr="00E31D90">
                    <w:rPr>
                      <w:b/>
                      <w:bCs/>
                      <w:i/>
                      <w:iCs/>
                    </w:rPr>
                    <w:t xml:space="preserve">to </w:t>
                  </w:r>
                  <w:r w:rsidR="003B7B22" w:rsidRPr="00E31D90">
                    <w:rPr>
                      <w:b/>
                      <w:bCs/>
                      <w:i/>
                      <w:iCs/>
                    </w:rPr>
                    <w:t>hold a further election in which the existing Chair of the Corporation is eligible to stand for the office, having been reappointed as a member.</w:t>
                  </w:r>
                </w:p>
              </w:tc>
            </w:tr>
          </w:tbl>
          <w:p w14:paraId="16B2E6C8" w14:textId="77777777" w:rsidR="003B7B22" w:rsidRPr="007C69AC" w:rsidRDefault="003B7B22" w:rsidP="003B7B22">
            <w:pPr>
              <w:pStyle w:val="NoSpacing"/>
            </w:pPr>
          </w:p>
          <w:p w14:paraId="1118E9BF" w14:textId="6C49A2F9" w:rsidR="003B7B22" w:rsidRDefault="00F85B93" w:rsidP="003B7B22">
            <w:pPr>
              <w:pStyle w:val="NoSpacing"/>
            </w:pPr>
            <w:r>
              <w:t>I</w:t>
            </w:r>
            <w:r w:rsidR="00707843">
              <w:t xml:space="preserve">n relation to the </w:t>
            </w:r>
            <w:r w:rsidR="00333DE9">
              <w:t>first</w:t>
            </w:r>
            <w:r w:rsidR="00707843">
              <w:t xml:space="preserve"> option, i</w:t>
            </w:r>
            <w:r>
              <w:t>t was additionally noted that:</w:t>
            </w:r>
          </w:p>
          <w:p w14:paraId="41558869" w14:textId="095EF90B" w:rsidR="00F85B93" w:rsidRDefault="00F85B93" w:rsidP="003B7B22">
            <w:pPr>
              <w:pStyle w:val="NoSpacing"/>
            </w:pPr>
          </w:p>
          <w:p w14:paraId="75F32829" w14:textId="6EBBA53B" w:rsidR="00F85B93" w:rsidRPr="00707843" w:rsidRDefault="00707843" w:rsidP="00F85B93">
            <w:pPr>
              <w:pStyle w:val="NoSpacing"/>
            </w:pPr>
            <w:r>
              <w:rPr>
                <w:i/>
                <w:iCs/>
              </w:rPr>
              <w:t>it might</w:t>
            </w:r>
            <w:r w:rsidR="00F85B93" w:rsidRPr="00F85B93">
              <w:rPr>
                <w:i/>
                <w:iCs/>
              </w:rPr>
              <w:t xml:space="preserve"> entail contracting a search agency for a shortlist of candidates, with a best estimate that this would take 3-4 months, and involve expenditure out of College resources of about £10,000;</w:t>
            </w:r>
            <w:r>
              <w:rPr>
                <w:i/>
                <w:iCs/>
              </w:rPr>
              <w:t xml:space="preserve"> </w:t>
            </w:r>
            <w:r>
              <w:t>and</w:t>
            </w:r>
          </w:p>
          <w:p w14:paraId="40267324" w14:textId="77777777" w:rsidR="00F85B93" w:rsidRPr="00F85B93" w:rsidRDefault="00F85B93" w:rsidP="00F85B93">
            <w:pPr>
              <w:pStyle w:val="NoSpacing"/>
              <w:rPr>
                <w:i/>
                <w:iCs/>
              </w:rPr>
            </w:pPr>
          </w:p>
          <w:p w14:paraId="297CC4B4" w14:textId="00376162" w:rsidR="00F85B93" w:rsidRDefault="00F85B93" w:rsidP="00F85B93">
            <w:pPr>
              <w:pStyle w:val="NoSpacing"/>
              <w:rPr>
                <w:i/>
                <w:iCs/>
              </w:rPr>
            </w:pPr>
            <w:r w:rsidRPr="00F85B93">
              <w:rPr>
                <w:i/>
                <w:iCs/>
              </w:rPr>
              <w:t>the existing Role Description and Person Specification would need to include background information about the College and the Corporation, and arrangements for approving these changes would need to be made</w:t>
            </w:r>
            <w:r w:rsidR="000E16AF">
              <w:rPr>
                <w:i/>
                <w:iCs/>
              </w:rPr>
              <w:t>.</w:t>
            </w:r>
          </w:p>
          <w:p w14:paraId="679F9CA1" w14:textId="7148B6E3" w:rsidR="000E16AF" w:rsidRDefault="000E16AF" w:rsidP="00F85B93">
            <w:pPr>
              <w:pStyle w:val="NoSpacing"/>
              <w:rPr>
                <w:i/>
                <w:iCs/>
              </w:rPr>
            </w:pPr>
          </w:p>
          <w:p w14:paraId="0D9D07FF" w14:textId="5507372A" w:rsidR="000E16AF" w:rsidRPr="000E16AF" w:rsidRDefault="000E16AF" w:rsidP="00F85B93">
            <w:pPr>
              <w:pStyle w:val="NoSpacing"/>
            </w:pPr>
            <w:r>
              <w:t xml:space="preserve">In relation to the </w:t>
            </w:r>
            <w:r w:rsidR="00333DE9">
              <w:t>second</w:t>
            </w:r>
            <w:r>
              <w:t xml:space="preserve"> option, it was noted that a further election for the office of Chair of the Corporation would be held in June 2022, in which the present Chair will be eligible to stand as a candidate, having been </w:t>
            </w:r>
            <w:r>
              <w:lastRenderedPageBreak/>
              <w:t>reappointed for a further term as a member of the Corporation during or before May 2022.</w:t>
            </w:r>
          </w:p>
          <w:p w14:paraId="10B1F87C" w14:textId="77777777" w:rsidR="005B667A" w:rsidRPr="00F85B93" w:rsidRDefault="005B667A" w:rsidP="00F85B93">
            <w:pPr>
              <w:pStyle w:val="NoSpacing"/>
              <w:rPr>
                <w:i/>
                <w:iCs/>
              </w:rPr>
            </w:pPr>
          </w:p>
          <w:p w14:paraId="087C6425" w14:textId="5FEBC1A2" w:rsidR="00F85B93" w:rsidRPr="00707843" w:rsidRDefault="00707843" w:rsidP="00F85B93">
            <w:pPr>
              <w:pStyle w:val="NoSpacing"/>
            </w:pPr>
            <w:r w:rsidRPr="00707843">
              <w:t xml:space="preserve">It was additionally noted, in relation to either option, that, </w:t>
            </w:r>
            <w:r w:rsidR="00F85B93" w:rsidRPr="00707843">
              <w:t xml:space="preserve">although it is entirely a matter for the Corporation, members may wish to apply weightings to some of the experience and skills in the Role Description and Person Specification (e.g. senior experience and well-developed skills in post-16 education and/or the public sector, and the ability to meet the irregular time commitment of the role, might be weighted more highly than some other elements).  </w:t>
            </w:r>
          </w:p>
          <w:p w14:paraId="1B84C6C2" w14:textId="77777777" w:rsidR="00F85B93" w:rsidRPr="007C69AC" w:rsidRDefault="00F85B93" w:rsidP="003B7B22">
            <w:pPr>
              <w:pStyle w:val="NoSpacing"/>
            </w:pPr>
          </w:p>
          <w:p w14:paraId="3A19E896" w14:textId="0F1FCAA7" w:rsidR="00707843" w:rsidRDefault="00707843" w:rsidP="003B7B22">
            <w:pPr>
              <w:rPr>
                <w:rFonts w:ascii="Verdana" w:hAnsi="Verdana"/>
                <w:bCs/>
              </w:rPr>
            </w:pPr>
            <w:r>
              <w:rPr>
                <w:rFonts w:ascii="Verdana" w:hAnsi="Verdana"/>
                <w:bCs/>
              </w:rPr>
              <w:t>The following points were made in the course of the discussion:</w:t>
            </w:r>
          </w:p>
          <w:p w14:paraId="51AE1ACB" w14:textId="1F46CB72" w:rsidR="00707843" w:rsidRDefault="00707843" w:rsidP="003B7B22">
            <w:pPr>
              <w:rPr>
                <w:rFonts w:ascii="Verdana" w:hAnsi="Verdana"/>
                <w:bCs/>
              </w:rPr>
            </w:pPr>
          </w:p>
          <w:p w14:paraId="79F784E4" w14:textId="480342B1" w:rsidR="00707843" w:rsidRDefault="00707843" w:rsidP="003B7B22">
            <w:pPr>
              <w:rPr>
                <w:rFonts w:ascii="Verdana" w:hAnsi="Verdana"/>
                <w:bCs/>
                <w:i/>
                <w:iCs/>
              </w:rPr>
            </w:pPr>
            <w:r w:rsidRPr="00C835D2">
              <w:rPr>
                <w:rFonts w:ascii="Verdana" w:hAnsi="Verdana"/>
                <w:bCs/>
                <w:i/>
                <w:iCs/>
              </w:rPr>
              <w:t xml:space="preserve">it is important, in the context of a substantial number of vacancies arising in the outlook period, for the Corporation to maintain continuity at this time, which would be </w:t>
            </w:r>
            <w:r w:rsidR="00C835D2" w:rsidRPr="00C835D2">
              <w:rPr>
                <w:rFonts w:ascii="Verdana" w:hAnsi="Verdana"/>
                <w:bCs/>
                <w:i/>
                <w:iCs/>
              </w:rPr>
              <w:t>best achieved</w:t>
            </w:r>
            <w:r w:rsidRPr="00C835D2">
              <w:rPr>
                <w:rFonts w:ascii="Verdana" w:hAnsi="Verdana"/>
                <w:bCs/>
                <w:i/>
                <w:iCs/>
              </w:rPr>
              <w:t xml:space="preserve"> by inviting the present Chair to </w:t>
            </w:r>
            <w:r w:rsidR="000E16AF">
              <w:rPr>
                <w:rFonts w:ascii="Verdana" w:hAnsi="Verdana"/>
                <w:bCs/>
                <w:i/>
                <w:iCs/>
              </w:rPr>
              <w:t>stand for</w:t>
            </w:r>
            <w:r w:rsidR="00333DE9">
              <w:rPr>
                <w:rFonts w:ascii="Verdana" w:hAnsi="Verdana"/>
                <w:bCs/>
                <w:i/>
                <w:iCs/>
              </w:rPr>
              <w:t xml:space="preserve"> election to</w:t>
            </w:r>
            <w:r w:rsidR="000E16AF">
              <w:rPr>
                <w:rFonts w:ascii="Verdana" w:hAnsi="Verdana"/>
                <w:bCs/>
                <w:i/>
                <w:iCs/>
              </w:rPr>
              <w:t xml:space="preserve"> the office for</w:t>
            </w:r>
            <w:r w:rsidRPr="00C835D2">
              <w:rPr>
                <w:rFonts w:ascii="Verdana" w:hAnsi="Verdana"/>
                <w:bCs/>
                <w:i/>
                <w:iCs/>
              </w:rPr>
              <w:t xml:space="preserve"> a further term;</w:t>
            </w:r>
          </w:p>
          <w:p w14:paraId="33DAD813" w14:textId="6DA01D40" w:rsidR="000E16AF" w:rsidRDefault="000E16AF" w:rsidP="003B7B22">
            <w:pPr>
              <w:rPr>
                <w:rFonts w:ascii="Verdana" w:hAnsi="Verdana"/>
                <w:bCs/>
                <w:i/>
                <w:iCs/>
              </w:rPr>
            </w:pPr>
          </w:p>
          <w:p w14:paraId="3863EDE3" w14:textId="6CA9DC8D" w:rsidR="000E16AF" w:rsidRPr="00C835D2" w:rsidRDefault="000E16AF" w:rsidP="000E16AF">
            <w:pPr>
              <w:rPr>
                <w:rFonts w:ascii="Verdana" w:hAnsi="Verdana"/>
                <w:bCs/>
              </w:rPr>
            </w:pPr>
            <w:r w:rsidRPr="00C835D2">
              <w:rPr>
                <w:rFonts w:ascii="Verdana" w:hAnsi="Verdana"/>
                <w:bCs/>
                <w:i/>
                <w:iCs/>
              </w:rPr>
              <w:t>the Corporation has a broad range of skills within its existing membership, but these must be supplemented to secure the long-term interests of the Corporation;</w:t>
            </w:r>
            <w:r>
              <w:rPr>
                <w:rFonts w:ascii="Verdana" w:hAnsi="Verdana"/>
                <w:bCs/>
                <w:i/>
                <w:iCs/>
              </w:rPr>
              <w:t xml:space="preserve"> </w:t>
            </w:r>
          </w:p>
          <w:p w14:paraId="11CC068B" w14:textId="5B23AEC7" w:rsidR="00707843" w:rsidRPr="00C835D2" w:rsidRDefault="00707843" w:rsidP="003B7B22">
            <w:pPr>
              <w:rPr>
                <w:rFonts w:ascii="Verdana" w:hAnsi="Verdana"/>
                <w:bCs/>
                <w:i/>
                <w:iCs/>
              </w:rPr>
            </w:pPr>
          </w:p>
          <w:p w14:paraId="02F4EF8C" w14:textId="702E9C8C" w:rsidR="00707843" w:rsidRPr="00C835D2" w:rsidRDefault="00537251" w:rsidP="003B7B22">
            <w:pPr>
              <w:rPr>
                <w:rFonts w:ascii="Verdana" w:hAnsi="Verdana"/>
                <w:bCs/>
                <w:i/>
                <w:iCs/>
              </w:rPr>
            </w:pPr>
            <w:r>
              <w:rPr>
                <w:rFonts w:ascii="Verdana" w:hAnsi="Verdana"/>
                <w:bCs/>
                <w:i/>
                <w:iCs/>
              </w:rPr>
              <w:t>were</w:t>
            </w:r>
            <w:r w:rsidR="000E16AF">
              <w:rPr>
                <w:rFonts w:ascii="Verdana" w:hAnsi="Verdana"/>
                <w:bCs/>
                <w:i/>
                <w:iCs/>
              </w:rPr>
              <w:t xml:space="preserve"> </w:t>
            </w:r>
            <w:r w:rsidR="00707843" w:rsidRPr="00C835D2">
              <w:rPr>
                <w:rFonts w:ascii="Verdana" w:hAnsi="Verdana"/>
                <w:bCs/>
                <w:i/>
                <w:iCs/>
              </w:rPr>
              <w:t xml:space="preserve">the present Chair </w:t>
            </w:r>
            <w:r>
              <w:rPr>
                <w:rFonts w:ascii="Verdana" w:hAnsi="Verdana"/>
                <w:bCs/>
                <w:i/>
                <w:iCs/>
              </w:rPr>
              <w:t xml:space="preserve">to </w:t>
            </w:r>
            <w:r w:rsidR="00707843" w:rsidRPr="00C835D2">
              <w:rPr>
                <w:rFonts w:ascii="Verdana" w:hAnsi="Verdana"/>
                <w:bCs/>
                <w:i/>
                <w:iCs/>
              </w:rPr>
              <w:t>serv</w:t>
            </w:r>
            <w:r>
              <w:rPr>
                <w:rFonts w:ascii="Verdana" w:hAnsi="Verdana"/>
                <w:bCs/>
                <w:i/>
                <w:iCs/>
              </w:rPr>
              <w:t>e</w:t>
            </w:r>
            <w:r w:rsidR="00707843" w:rsidRPr="00C835D2">
              <w:rPr>
                <w:rFonts w:ascii="Verdana" w:hAnsi="Verdana"/>
                <w:bCs/>
                <w:i/>
                <w:iCs/>
              </w:rPr>
              <w:t xml:space="preserve"> a further term</w:t>
            </w:r>
            <w:r>
              <w:rPr>
                <w:rFonts w:ascii="Verdana" w:hAnsi="Verdana"/>
                <w:bCs/>
                <w:i/>
                <w:iCs/>
              </w:rPr>
              <w:t>, it would</w:t>
            </w:r>
            <w:r w:rsidR="00707843" w:rsidRPr="00C835D2">
              <w:rPr>
                <w:rFonts w:ascii="Verdana" w:hAnsi="Verdana"/>
                <w:bCs/>
                <w:i/>
                <w:iCs/>
              </w:rPr>
              <w:t xml:space="preserve"> afford the Corporation time to </w:t>
            </w:r>
            <w:r w:rsidR="000E16AF">
              <w:rPr>
                <w:rFonts w:ascii="Verdana" w:hAnsi="Verdana"/>
                <w:bCs/>
                <w:i/>
                <w:iCs/>
              </w:rPr>
              <w:t>focus on the recruitment of</w:t>
            </w:r>
            <w:r w:rsidR="00707843" w:rsidRPr="00C835D2">
              <w:rPr>
                <w:rFonts w:ascii="Verdana" w:hAnsi="Verdana"/>
                <w:bCs/>
                <w:i/>
                <w:iCs/>
              </w:rPr>
              <w:t xml:space="preserve"> new members with a broad range of well-developed skills to replace retiring members;</w:t>
            </w:r>
          </w:p>
          <w:p w14:paraId="0D9DA4F1" w14:textId="73CD5D88" w:rsidR="00707843" w:rsidRPr="00C835D2" w:rsidRDefault="00707843" w:rsidP="003B7B22">
            <w:pPr>
              <w:rPr>
                <w:rFonts w:ascii="Verdana" w:hAnsi="Verdana"/>
                <w:bCs/>
                <w:i/>
                <w:iCs/>
              </w:rPr>
            </w:pPr>
          </w:p>
          <w:p w14:paraId="288A1C26" w14:textId="67926F17" w:rsidR="00707843" w:rsidRPr="00537251" w:rsidRDefault="00707843" w:rsidP="003B7B22">
            <w:pPr>
              <w:rPr>
                <w:rFonts w:ascii="Verdana" w:hAnsi="Verdana"/>
                <w:bCs/>
              </w:rPr>
            </w:pPr>
            <w:r w:rsidRPr="00C835D2">
              <w:rPr>
                <w:rFonts w:ascii="Verdana" w:hAnsi="Verdana"/>
                <w:bCs/>
                <w:i/>
                <w:iCs/>
              </w:rPr>
              <w:t>if necessary, members might retire before the expiry of their term of office to accommodate new persons recruited into membership of the Corporation;</w:t>
            </w:r>
            <w:r w:rsidR="000E16AF">
              <w:rPr>
                <w:rFonts w:ascii="Verdana" w:hAnsi="Verdana"/>
                <w:bCs/>
                <w:i/>
                <w:iCs/>
              </w:rPr>
              <w:t xml:space="preserve"> </w:t>
            </w:r>
            <w:r w:rsidR="000E16AF" w:rsidRPr="00537251">
              <w:rPr>
                <w:rFonts w:ascii="Verdana" w:hAnsi="Verdana"/>
                <w:bCs/>
              </w:rPr>
              <w:t>and</w:t>
            </w:r>
          </w:p>
          <w:p w14:paraId="61D3FBF6" w14:textId="1C75F1E6" w:rsidR="00C835D2" w:rsidRPr="00C835D2" w:rsidRDefault="00C835D2" w:rsidP="003B7B22">
            <w:pPr>
              <w:rPr>
                <w:rFonts w:ascii="Verdana" w:hAnsi="Verdana"/>
                <w:bCs/>
                <w:i/>
                <w:iCs/>
              </w:rPr>
            </w:pPr>
          </w:p>
          <w:p w14:paraId="4910484B" w14:textId="402252F2" w:rsidR="00C835D2" w:rsidRPr="00C835D2" w:rsidRDefault="00707843" w:rsidP="003B7B22">
            <w:pPr>
              <w:rPr>
                <w:rFonts w:ascii="Verdana" w:hAnsi="Verdana"/>
                <w:bCs/>
                <w:i/>
                <w:iCs/>
              </w:rPr>
            </w:pPr>
            <w:r w:rsidRPr="00C835D2">
              <w:rPr>
                <w:rFonts w:ascii="Verdana" w:hAnsi="Verdana"/>
                <w:bCs/>
                <w:i/>
                <w:iCs/>
              </w:rPr>
              <w:t>the Governance &amp; Nominations Committee</w:t>
            </w:r>
            <w:r w:rsidR="00C835D2" w:rsidRPr="00C835D2">
              <w:rPr>
                <w:rFonts w:ascii="Verdana" w:hAnsi="Verdana"/>
                <w:bCs/>
                <w:i/>
                <w:iCs/>
              </w:rPr>
              <w:t xml:space="preserve"> should</w:t>
            </w:r>
            <w:r w:rsidR="00537251">
              <w:rPr>
                <w:rFonts w:ascii="Verdana" w:hAnsi="Verdana"/>
                <w:bCs/>
                <w:i/>
                <w:iCs/>
              </w:rPr>
              <w:t xml:space="preserve">, </w:t>
            </w:r>
            <w:r w:rsidR="00C835D2" w:rsidRPr="00C835D2">
              <w:rPr>
                <w:rFonts w:ascii="Verdana" w:hAnsi="Verdana"/>
                <w:bCs/>
                <w:i/>
                <w:iCs/>
              </w:rPr>
              <w:t>as an absolute priority</w:t>
            </w:r>
            <w:r w:rsidR="00537251">
              <w:rPr>
                <w:rFonts w:ascii="Verdana" w:hAnsi="Verdana"/>
                <w:bCs/>
                <w:i/>
                <w:iCs/>
              </w:rPr>
              <w:t>, be charged with leading on</w:t>
            </w:r>
            <w:r w:rsidR="00C835D2" w:rsidRPr="00C835D2">
              <w:rPr>
                <w:rFonts w:ascii="Verdana" w:hAnsi="Verdana"/>
                <w:bCs/>
                <w:i/>
                <w:iCs/>
              </w:rPr>
              <w:t xml:space="preserve"> the search for new members </w:t>
            </w:r>
            <w:r w:rsidR="00537251">
              <w:rPr>
                <w:rFonts w:ascii="Verdana" w:hAnsi="Verdana"/>
                <w:bCs/>
                <w:i/>
                <w:iCs/>
              </w:rPr>
              <w:t>having</w:t>
            </w:r>
            <w:r w:rsidR="00C835D2" w:rsidRPr="00C835D2">
              <w:rPr>
                <w:rFonts w:ascii="Verdana" w:hAnsi="Verdana"/>
                <w:bCs/>
                <w:i/>
                <w:iCs/>
              </w:rPr>
              <w:t xml:space="preserve"> the capacity to fill Corporation roles</w:t>
            </w:r>
            <w:r w:rsidR="00537251">
              <w:rPr>
                <w:rFonts w:ascii="Verdana" w:hAnsi="Verdana"/>
                <w:bCs/>
                <w:i/>
                <w:iCs/>
              </w:rPr>
              <w:t>, including that of Chair,</w:t>
            </w:r>
            <w:r w:rsidR="00C835D2" w:rsidRPr="00C835D2">
              <w:rPr>
                <w:rFonts w:ascii="Verdana" w:hAnsi="Verdana"/>
                <w:bCs/>
                <w:i/>
                <w:iCs/>
              </w:rPr>
              <w:t xml:space="preserve"> in the longer term.</w:t>
            </w:r>
          </w:p>
          <w:p w14:paraId="1F67B4F8" w14:textId="77777777" w:rsidR="00C835D2" w:rsidRDefault="00C835D2" w:rsidP="003B7B22">
            <w:pPr>
              <w:rPr>
                <w:rFonts w:ascii="Verdana" w:hAnsi="Verdana"/>
                <w:bCs/>
              </w:rPr>
            </w:pPr>
          </w:p>
          <w:p w14:paraId="346399E6" w14:textId="48753A82" w:rsidR="00707843" w:rsidRDefault="00537251" w:rsidP="003B7B22">
            <w:pPr>
              <w:rPr>
                <w:rFonts w:ascii="Verdana" w:hAnsi="Verdana"/>
                <w:bCs/>
              </w:rPr>
            </w:pPr>
            <w:r>
              <w:rPr>
                <w:rFonts w:ascii="Verdana" w:hAnsi="Verdana"/>
                <w:bCs/>
              </w:rPr>
              <w:t>I</w:t>
            </w:r>
            <w:r w:rsidR="00C835D2">
              <w:rPr>
                <w:rFonts w:ascii="Verdana" w:hAnsi="Verdana"/>
                <w:bCs/>
              </w:rPr>
              <w:t>t was decided that the present Chair be asked to serve a further term as a member of the Corporation affording him the opportunity to stand for election as Chair after the expiry of his present term</w:t>
            </w:r>
            <w:r>
              <w:rPr>
                <w:rFonts w:ascii="Verdana" w:hAnsi="Verdana"/>
                <w:bCs/>
              </w:rPr>
              <w:t xml:space="preserve"> of office</w:t>
            </w:r>
            <w:r w:rsidR="00C835D2">
              <w:rPr>
                <w:rFonts w:ascii="Verdana" w:hAnsi="Verdana"/>
                <w:bCs/>
              </w:rPr>
              <w:t xml:space="preserve"> on 31 July 2022, but that</w:t>
            </w:r>
            <w:r>
              <w:rPr>
                <w:rFonts w:ascii="Verdana" w:hAnsi="Verdana"/>
                <w:bCs/>
              </w:rPr>
              <w:t>, to serve the longer-term interests of the Corporation,</w:t>
            </w:r>
            <w:r w:rsidR="00C835D2">
              <w:rPr>
                <w:rFonts w:ascii="Verdana" w:hAnsi="Verdana"/>
                <w:bCs/>
              </w:rPr>
              <w:t xml:space="preserve"> the Governance &amp; Nominations Committee should </w:t>
            </w:r>
            <w:r>
              <w:rPr>
                <w:rFonts w:ascii="Verdana" w:hAnsi="Verdana"/>
                <w:bCs/>
              </w:rPr>
              <w:t xml:space="preserve">also </w:t>
            </w:r>
            <w:r w:rsidR="00C835D2">
              <w:rPr>
                <w:rFonts w:ascii="Verdana" w:hAnsi="Verdana"/>
                <w:bCs/>
              </w:rPr>
              <w:t xml:space="preserve">be energetic in pro-actively seeking to </w:t>
            </w:r>
            <w:r>
              <w:rPr>
                <w:rFonts w:ascii="Verdana" w:hAnsi="Verdana"/>
                <w:bCs/>
              </w:rPr>
              <w:t>recruit</w:t>
            </w:r>
            <w:r w:rsidR="00C835D2">
              <w:rPr>
                <w:rFonts w:ascii="Verdana" w:hAnsi="Verdana"/>
                <w:bCs/>
              </w:rPr>
              <w:t xml:space="preserve"> persons able to replace retiring members including, if necessary, recourse to a search agency </w:t>
            </w:r>
            <w:r w:rsidR="00333DE9">
              <w:rPr>
                <w:rFonts w:ascii="Verdana" w:hAnsi="Verdana"/>
                <w:bCs/>
              </w:rPr>
              <w:t>in</w:t>
            </w:r>
            <w:r w:rsidR="00C835D2">
              <w:rPr>
                <w:rFonts w:ascii="Verdana" w:hAnsi="Verdana"/>
                <w:bCs/>
              </w:rPr>
              <w:t xml:space="preserve"> appropriate </w:t>
            </w:r>
            <w:r w:rsidR="00333DE9">
              <w:rPr>
                <w:rFonts w:ascii="Verdana" w:hAnsi="Verdana"/>
                <w:bCs/>
              </w:rPr>
              <w:t>circumstances</w:t>
            </w:r>
            <w:r w:rsidR="00C835D2">
              <w:rPr>
                <w:rFonts w:ascii="Verdana" w:hAnsi="Verdana"/>
                <w:bCs/>
              </w:rPr>
              <w:t xml:space="preserve">. </w:t>
            </w:r>
          </w:p>
          <w:p w14:paraId="6C0D880F" w14:textId="5E298854" w:rsidR="00707843" w:rsidRDefault="00707843" w:rsidP="003B7B22">
            <w:pPr>
              <w:rPr>
                <w:rFonts w:ascii="Verdana" w:hAnsi="Verdana"/>
                <w:bCs/>
              </w:rPr>
            </w:pPr>
          </w:p>
          <w:p w14:paraId="153AEEEA" w14:textId="496DA977" w:rsidR="00F85B93" w:rsidRDefault="00707843" w:rsidP="003B7B22">
            <w:pPr>
              <w:rPr>
                <w:rFonts w:ascii="Verdana" w:hAnsi="Verdana"/>
                <w:bCs/>
              </w:rPr>
            </w:pPr>
            <w:r>
              <w:rPr>
                <w:rFonts w:ascii="Verdana" w:hAnsi="Verdana"/>
                <w:bCs/>
              </w:rPr>
              <w:t>The decision does not deprive</w:t>
            </w:r>
            <w:r w:rsidR="00F85B93">
              <w:rPr>
                <w:rFonts w:ascii="Verdana" w:hAnsi="Verdana"/>
                <w:bCs/>
              </w:rPr>
              <w:t xml:space="preserve"> </w:t>
            </w:r>
            <w:r w:rsidR="00F85B93" w:rsidRPr="007C69AC">
              <w:rPr>
                <w:rFonts w:ascii="Verdana" w:hAnsi="Verdana"/>
              </w:rPr>
              <w:t>eligible independent members of the</w:t>
            </w:r>
            <w:r>
              <w:rPr>
                <w:rFonts w:ascii="Verdana" w:hAnsi="Verdana"/>
              </w:rPr>
              <w:t xml:space="preserve"> right</w:t>
            </w:r>
            <w:r w:rsidR="00F85B93" w:rsidRPr="007C69AC">
              <w:rPr>
                <w:rFonts w:ascii="Verdana" w:hAnsi="Verdana"/>
              </w:rPr>
              <w:t xml:space="preserve"> to seek nomination to the office</w:t>
            </w:r>
            <w:r w:rsidR="00C835D2">
              <w:rPr>
                <w:rFonts w:ascii="Verdana" w:hAnsi="Verdana"/>
              </w:rPr>
              <w:t xml:space="preserve"> of Chair </w:t>
            </w:r>
            <w:r w:rsidR="00F85B93">
              <w:rPr>
                <w:rFonts w:ascii="Verdana" w:hAnsi="Verdana"/>
              </w:rPr>
              <w:t>when</w:t>
            </w:r>
            <w:r w:rsidR="00537251">
              <w:rPr>
                <w:rFonts w:ascii="Verdana" w:hAnsi="Verdana"/>
              </w:rPr>
              <w:t>ever</w:t>
            </w:r>
            <w:r w:rsidR="00F85B93">
              <w:rPr>
                <w:rFonts w:ascii="Verdana" w:hAnsi="Verdana"/>
              </w:rPr>
              <w:t xml:space="preserve"> </w:t>
            </w:r>
            <w:r w:rsidR="00537251">
              <w:rPr>
                <w:rFonts w:ascii="Verdana" w:hAnsi="Verdana"/>
              </w:rPr>
              <w:t>it</w:t>
            </w:r>
            <w:r w:rsidR="00F85B93">
              <w:rPr>
                <w:rFonts w:ascii="Verdana" w:hAnsi="Verdana"/>
              </w:rPr>
              <w:t xml:space="preserve"> become</w:t>
            </w:r>
            <w:r w:rsidR="00537251">
              <w:rPr>
                <w:rFonts w:ascii="Verdana" w:hAnsi="Verdana"/>
              </w:rPr>
              <w:t>s</w:t>
            </w:r>
            <w:r w:rsidR="00F85B93">
              <w:rPr>
                <w:rFonts w:ascii="Verdana" w:hAnsi="Verdana"/>
              </w:rPr>
              <w:t xml:space="preserve"> vacant.</w:t>
            </w:r>
          </w:p>
          <w:p w14:paraId="3C3002CD" w14:textId="77777777" w:rsidR="00333DE9" w:rsidRDefault="00333DE9" w:rsidP="00C835D2">
            <w:pPr>
              <w:rPr>
                <w:rFonts w:ascii="Verdana" w:hAnsi="Verdana"/>
                <w:bCs/>
              </w:rPr>
            </w:pPr>
          </w:p>
          <w:p w14:paraId="20E46055" w14:textId="77777777" w:rsidR="00B263E0" w:rsidRDefault="00B263E0" w:rsidP="00C835D2">
            <w:pPr>
              <w:rPr>
                <w:rFonts w:ascii="Verdana" w:hAnsi="Verdana"/>
                <w:bCs/>
              </w:rPr>
            </w:pPr>
          </w:p>
          <w:p w14:paraId="4D7CE74D" w14:textId="77777777" w:rsidR="00B263E0" w:rsidRDefault="00B263E0" w:rsidP="00C835D2">
            <w:pPr>
              <w:rPr>
                <w:rFonts w:ascii="Verdana" w:hAnsi="Verdana"/>
                <w:bCs/>
              </w:rPr>
            </w:pPr>
          </w:p>
          <w:p w14:paraId="7822958F" w14:textId="77777777" w:rsidR="00B263E0" w:rsidRDefault="00B263E0" w:rsidP="00C835D2">
            <w:pPr>
              <w:rPr>
                <w:rFonts w:ascii="Verdana" w:hAnsi="Verdana"/>
                <w:bCs/>
              </w:rPr>
            </w:pPr>
          </w:p>
          <w:p w14:paraId="189DA217" w14:textId="77777777" w:rsidR="00B263E0" w:rsidRDefault="00B263E0" w:rsidP="00C835D2">
            <w:pPr>
              <w:rPr>
                <w:rFonts w:ascii="Verdana" w:hAnsi="Verdana"/>
                <w:bCs/>
              </w:rPr>
            </w:pPr>
          </w:p>
          <w:p w14:paraId="6A956124" w14:textId="77777777" w:rsidR="00B263E0" w:rsidRDefault="00B263E0" w:rsidP="00C835D2">
            <w:pPr>
              <w:rPr>
                <w:rFonts w:ascii="Verdana" w:hAnsi="Verdana"/>
                <w:bCs/>
              </w:rPr>
            </w:pPr>
          </w:p>
          <w:p w14:paraId="1F3A3116" w14:textId="726011BC" w:rsidR="00B263E0" w:rsidRPr="00320DA6" w:rsidRDefault="00B263E0" w:rsidP="00C835D2">
            <w:pPr>
              <w:rPr>
                <w:rFonts w:ascii="Verdana" w:hAnsi="Verdana"/>
                <w:bCs/>
              </w:rPr>
            </w:pPr>
          </w:p>
        </w:tc>
      </w:tr>
      <w:tr w:rsidR="00847669" w14:paraId="23A5AA93" w14:textId="77777777" w:rsidTr="00B263E0">
        <w:tc>
          <w:tcPr>
            <w:tcW w:w="675" w:type="dxa"/>
            <w:shd w:val="clear" w:color="auto" w:fill="auto"/>
            <w:tcMar>
              <w:top w:w="0" w:type="dxa"/>
              <w:left w:w="108" w:type="dxa"/>
              <w:bottom w:w="0" w:type="dxa"/>
              <w:right w:w="108" w:type="dxa"/>
            </w:tcMar>
          </w:tcPr>
          <w:p w14:paraId="5A919EA9" w14:textId="702B69D8" w:rsidR="00847669" w:rsidRDefault="00821099" w:rsidP="009C21D7">
            <w:pPr>
              <w:rPr>
                <w:rFonts w:ascii="Verdana" w:hAnsi="Verdana"/>
                <w:b/>
              </w:rPr>
            </w:pPr>
            <w:r>
              <w:rPr>
                <w:rFonts w:ascii="Verdana" w:hAnsi="Verdana"/>
                <w:b/>
              </w:rPr>
              <w:lastRenderedPageBreak/>
              <w:t>7</w:t>
            </w:r>
          </w:p>
        </w:tc>
        <w:tc>
          <w:tcPr>
            <w:tcW w:w="8789" w:type="dxa"/>
            <w:shd w:val="clear" w:color="auto" w:fill="auto"/>
            <w:tcMar>
              <w:top w:w="0" w:type="dxa"/>
              <w:left w:w="108" w:type="dxa"/>
              <w:bottom w:w="0" w:type="dxa"/>
              <w:right w:w="108" w:type="dxa"/>
            </w:tcMar>
          </w:tcPr>
          <w:p w14:paraId="1F068959" w14:textId="77777777" w:rsidR="00F85B93" w:rsidRDefault="00F85B93" w:rsidP="00F85B93">
            <w:pPr>
              <w:pStyle w:val="NoSpacing"/>
              <w:rPr>
                <w:b/>
              </w:rPr>
            </w:pPr>
            <w:r>
              <w:rPr>
                <w:b/>
              </w:rPr>
              <w:t>Principal’s Report</w:t>
            </w:r>
          </w:p>
          <w:p w14:paraId="38713F09" w14:textId="77777777" w:rsidR="00AF6BD0" w:rsidRDefault="00AF6BD0" w:rsidP="009C21D7">
            <w:pPr>
              <w:rPr>
                <w:rFonts w:ascii="Verdana" w:hAnsi="Verdana"/>
                <w:bCs/>
              </w:rPr>
            </w:pPr>
          </w:p>
          <w:p w14:paraId="7B2BE27F" w14:textId="6A117E52" w:rsidR="00F85B93" w:rsidRDefault="00CB1411" w:rsidP="009C21D7">
            <w:pPr>
              <w:rPr>
                <w:rFonts w:ascii="Verdana" w:hAnsi="Verdana"/>
                <w:bCs/>
              </w:rPr>
            </w:pPr>
            <w:r>
              <w:rPr>
                <w:rFonts w:ascii="Verdana" w:hAnsi="Verdana"/>
                <w:bCs/>
              </w:rPr>
              <w:t>A verbal report was given by the Principal, noting</w:t>
            </w:r>
            <w:r w:rsidR="00333DE9">
              <w:rPr>
                <w:rFonts w:ascii="Verdana" w:hAnsi="Verdana"/>
                <w:bCs/>
              </w:rPr>
              <w:t xml:space="preserve"> </w:t>
            </w:r>
            <w:r w:rsidR="00333DE9" w:rsidRPr="00333DE9">
              <w:rPr>
                <w:rFonts w:ascii="Verdana" w:hAnsi="Verdana"/>
                <w:bCs/>
                <w:i/>
                <w:iCs/>
              </w:rPr>
              <w:t>inter alia</w:t>
            </w:r>
            <w:r>
              <w:rPr>
                <w:rFonts w:ascii="Verdana" w:hAnsi="Verdana"/>
                <w:bCs/>
              </w:rPr>
              <w:t xml:space="preserve"> that:</w:t>
            </w:r>
          </w:p>
          <w:p w14:paraId="71C7E381" w14:textId="77777777" w:rsidR="00CB1411" w:rsidRDefault="00CB1411" w:rsidP="009C21D7">
            <w:pPr>
              <w:rPr>
                <w:rFonts w:ascii="Verdana" w:hAnsi="Verdana"/>
                <w:bCs/>
              </w:rPr>
            </w:pPr>
          </w:p>
          <w:p w14:paraId="70BC092C" w14:textId="04955137" w:rsidR="00CB1411" w:rsidRPr="00333DE9" w:rsidRDefault="009E2F8F" w:rsidP="005B667A">
            <w:pPr>
              <w:rPr>
                <w:rFonts w:ascii="Verdana" w:hAnsi="Verdana"/>
                <w:bCs/>
                <w:i/>
                <w:iCs/>
              </w:rPr>
            </w:pPr>
            <w:r w:rsidRPr="00333DE9">
              <w:rPr>
                <w:rFonts w:ascii="Verdana" w:hAnsi="Verdana"/>
                <w:bCs/>
                <w:i/>
                <w:iCs/>
              </w:rPr>
              <w:t>there had been one positive case of Covid-19 infection</w:t>
            </w:r>
            <w:r w:rsidR="00333DE9">
              <w:rPr>
                <w:rFonts w:ascii="Verdana" w:hAnsi="Verdana"/>
                <w:bCs/>
                <w:i/>
                <w:iCs/>
              </w:rPr>
              <w:t xml:space="preserve"> which had been appropriately managed in accordance with the regulations</w:t>
            </w:r>
            <w:r w:rsidRPr="00333DE9">
              <w:rPr>
                <w:rFonts w:ascii="Verdana" w:hAnsi="Verdana"/>
                <w:bCs/>
                <w:i/>
                <w:iCs/>
              </w:rPr>
              <w:t xml:space="preserve"> but that</w:t>
            </w:r>
            <w:r w:rsidR="00333DE9">
              <w:rPr>
                <w:rFonts w:ascii="Verdana" w:hAnsi="Verdana"/>
                <w:bCs/>
                <w:i/>
                <w:iCs/>
              </w:rPr>
              <w:t>,</w:t>
            </w:r>
            <w:r w:rsidRPr="00333DE9">
              <w:rPr>
                <w:rFonts w:ascii="Verdana" w:hAnsi="Verdana"/>
                <w:bCs/>
                <w:i/>
                <w:iCs/>
              </w:rPr>
              <w:t xml:space="preserve"> the term ha</w:t>
            </w:r>
            <w:r w:rsidR="00333DE9">
              <w:rPr>
                <w:rFonts w:ascii="Verdana" w:hAnsi="Verdana"/>
                <w:bCs/>
                <w:i/>
                <w:iCs/>
              </w:rPr>
              <w:t>ving</w:t>
            </w:r>
            <w:r w:rsidRPr="00333DE9">
              <w:rPr>
                <w:rFonts w:ascii="Verdana" w:hAnsi="Verdana"/>
                <w:bCs/>
                <w:i/>
                <w:iCs/>
              </w:rPr>
              <w:t xml:space="preserve"> now ended for a majority of students</w:t>
            </w:r>
            <w:r w:rsidR="00333DE9">
              <w:rPr>
                <w:rFonts w:ascii="Verdana" w:hAnsi="Verdana"/>
                <w:bCs/>
                <w:i/>
                <w:iCs/>
              </w:rPr>
              <w:t>, the potential for College disruption is now much reduced</w:t>
            </w:r>
            <w:r w:rsidRPr="00333DE9">
              <w:rPr>
                <w:rFonts w:ascii="Verdana" w:hAnsi="Verdana"/>
                <w:bCs/>
                <w:i/>
                <w:iCs/>
              </w:rPr>
              <w:t>;</w:t>
            </w:r>
          </w:p>
          <w:p w14:paraId="6641153C" w14:textId="77777777" w:rsidR="009E2F8F" w:rsidRPr="00333DE9" w:rsidRDefault="009E2F8F" w:rsidP="005B667A">
            <w:pPr>
              <w:rPr>
                <w:rFonts w:ascii="Verdana" w:hAnsi="Verdana"/>
                <w:bCs/>
                <w:i/>
                <w:iCs/>
              </w:rPr>
            </w:pPr>
          </w:p>
          <w:p w14:paraId="621E7E24" w14:textId="77777777" w:rsidR="009E2F8F" w:rsidRPr="00333DE9" w:rsidRDefault="009E2F8F" w:rsidP="005B667A">
            <w:pPr>
              <w:rPr>
                <w:rFonts w:ascii="Verdana" w:hAnsi="Verdana"/>
                <w:bCs/>
                <w:i/>
                <w:iCs/>
              </w:rPr>
            </w:pPr>
            <w:r w:rsidRPr="00333DE9">
              <w:rPr>
                <w:rFonts w:ascii="Verdana" w:hAnsi="Verdana"/>
                <w:bCs/>
                <w:i/>
                <w:iCs/>
              </w:rPr>
              <w:t>open days had been well-attended despite the public health emergency;</w:t>
            </w:r>
          </w:p>
          <w:p w14:paraId="364BCDEA" w14:textId="77777777" w:rsidR="009E2F8F" w:rsidRPr="00333DE9" w:rsidRDefault="009E2F8F" w:rsidP="005B667A">
            <w:pPr>
              <w:rPr>
                <w:rFonts w:ascii="Verdana" w:hAnsi="Verdana"/>
                <w:bCs/>
                <w:i/>
                <w:iCs/>
              </w:rPr>
            </w:pPr>
          </w:p>
          <w:p w14:paraId="235121BC" w14:textId="576A3ADE" w:rsidR="009E2F8F" w:rsidRPr="00333DE9" w:rsidRDefault="00052347" w:rsidP="005B667A">
            <w:pPr>
              <w:rPr>
                <w:rFonts w:ascii="Verdana" w:hAnsi="Verdana"/>
                <w:bCs/>
                <w:i/>
                <w:iCs/>
              </w:rPr>
            </w:pPr>
            <w:r w:rsidRPr="00333DE9">
              <w:rPr>
                <w:rFonts w:ascii="Verdana" w:hAnsi="Verdana"/>
                <w:bCs/>
                <w:i/>
                <w:iCs/>
              </w:rPr>
              <w:t xml:space="preserve">the most recent </w:t>
            </w:r>
            <w:r w:rsidR="009E2F8F" w:rsidRPr="00333DE9">
              <w:rPr>
                <w:rFonts w:ascii="Verdana" w:hAnsi="Verdana"/>
                <w:bCs/>
                <w:i/>
                <w:iCs/>
              </w:rPr>
              <w:t>data on applications, offers and early enrolments indicate that the College may be confident of reaching the enrolment target of 1,820 students in September;</w:t>
            </w:r>
          </w:p>
          <w:p w14:paraId="483BF67A" w14:textId="3F6B6FE6" w:rsidR="009E2F8F" w:rsidRPr="00333DE9" w:rsidRDefault="009E2F8F" w:rsidP="005B667A">
            <w:pPr>
              <w:rPr>
                <w:rFonts w:ascii="Verdana" w:hAnsi="Verdana"/>
                <w:bCs/>
                <w:i/>
                <w:iCs/>
              </w:rPr>
            </w:pPr>
          </w:p>
          <w:p w14:paraId="17B0B2A2" w14:textId="1C766E84" w:rsidR="009E2F8F" w:rsidRPr="00333DE9" w:rsidRDefault="009E2F8F" w:rsidP="005B667A">
            <w:pPr>
              <w:rPr>
                <w:rFonts w:ascii="Verdana" w:hAnsi="Verdana"/>
                <w:bCs/>
              </w:rPr>
            </w:pPr>
            <w:r w:rsidRPr="00333DE9">
              <w:rPr>
                <w:rFonts w:ascii="Verdana" w:hAnsi="Verdana"/>
                <w:bCs/>
                <w:i/>
                <w:iCs/>
              </w:rPr>
              <w:t>students are showing a high degree of engagement with study and broader College activities (both during and out of term), but attendance remains an issue to be more fully addressed</w:t>
            </w:r>
            <w:r w:rsidR="00333DE9">
              <w:rPr>
                <w:rFonts w:ascii="Verdana" w:hAnsi="Verdana"/>
                <w:bCs/>
                <w:i/>
                <w:iCs/>
              </w:rPr>
              <w:t xml:space="preserve"> in 2021-22</w:t>
            </w:r>
            <w:r w:rsidRPr="00333DE9">
              <w:rPr>
                <w:rFonts w:ascii="Verdana" w:hAnsi="Verdana"/>
                <w:bCs/>
                <w:i/>
                <w:iCs/>
              </w:rPr>
              <w:t>;</w:t>
            </w:r>
            <w:r w:rsidR="00052347" w:rsidRPr="00333DE9">
              <w:rPr>
                <w:rFonts w:ascii="Verdana" w:hAnsi="Verdana"/>
                <w:bCs/>
                <w:i/>
                <w:iCs/>
              </w:rPr>
              <w:t xml:space="preserve"> </w:t>
            </w:r>
            <w:r w:rsidR="00052347" w:rsidRPr="00333DE9">
              <w:rPr>
                <w:rFonts w:ascii="Verdana" w:hAnsi="Verdana"/>
                <w:bCs/>
              </w:rPr>
              <w:t>and</w:t>
            </w:r>
          </w:p>
          <w:p w14:paraId="41B790A3" w14:textId="3A349867" w:rsidR="009E2F8F" w:rsidRPr="00333DE9" w:rsidRDefault="009E2F8F" w:rsidP="005B667A">
            <w:pPr>
              <w:rPr>
                <w:rFonts w:ascii="Verdana" w:hAnsi="Verdana"/>
                <w:bCs/>
                <w:i/>
                <w:iCs/>
              </w:rPr>
            </w:pPr>
          </w:p>
          <w:p w14:paraId="0EC7836F" w14:textId="2B7A970C" w:rsidR="009E2F8F" w:rsidRPr="00333DE9" w:rsidRDefault="009E2F8F" w:rsidP="005B667A">
            <w:pPr>
              <w:rPr>
                <w:rFonts w:ascii="Verdana" w:hAnsi="Verdana"/>
                <w:bCs/>
                <w:i/>
                <w:iCs/>
              </w:rPr>
            </w:pPr>
            <w:r w:rsidRPr="00333DE9">
              <w:rPr>
                <w:rFonts w:ascii="Verdana" w:hAnsi="Verdana"/>
                <w:bCs/>
                <w:i/>
                <w:iCs/>
              </w:rPr>
              <w:t>issues concerning curriculum changes driven by the Government, an</w:t>
            </w:r>
            <w:r w:rsidR="00333DE9">
              <w:rPr>
                <w:rFonts w:ascii="Verdana" w:hAnsi="Verdana"/>
                <w:bCs/>
                <w:i/>
                <w:iCs/>
              </w:rPr>
              <w:t>d consideration of</w:t>
            </w:r>
            <w:r w:rsidRPr="00333DE9">
              <w:rPr>
                <w:rFonts w:ascii="Verdana" w:hAnsi="Verdana"/>
                <w:bCs/>
                <w:i/>
                <w:iCs/>
              </w:rPr>
              <w:t xml:space="preserve"> the College property strategy will form topics for </w:t>
            </w:r>
            <w:r w:rsidR="00052347" w:rsidRPr="00333DE9">
              <w:rPr>
                <w:rFonts w:ascii="Verdana" w:hAnsi="Verdana"/>
                <w:bCs/>
                <w:i/>
                <w:iCs/>
              </w:rPr>
              <w:t>explor</w:t>
            </w:r>
            <w:r w:rsidRPr="00333DE9">
              <w:rPr>
                <w:rFonts w:ascii="Verdana" w:hAnsi="Verdana"/>
                <w:bCs/>
                <w:i/>
                <w:iCs/>
              </w:rPr>
              <w:t>ation at Corporation Development Sessions</w:t>
            </w:r>
            <w:r w:rsidR="00052347" w:rsidRPr="00333DE9">
              <w:rPr>
                <w:rFonts w:ascii="Verdana" w:hAnsi="Verdana"/>
                <w:bCs/>
                <w:i/>
                <w:iCs/>
              </w:rPr>
              <w:t>.</w:t>
            </w:r>
          </w:p>
          <w:p w14:paraId="39AC1784" w14:textId="21612DB8" w:rsidR="009E2F8F" w:rsidRDefault="009E2F8F" w:rsidP="005B667A">
            <w:pPr>
              <w:rPr>
                <w:rFonts w:ascii="Verdana" w:hAnsi="Verdana"/>
                <w:bCs/>
              </w:rPr>
            </w:pPr>
          </w:p>
          <w:p w14:paraId="2823A1DE" w14:textId="1DEBEE54" w:rsidR="00052347" w:rsidRDefault="00052347" w:rsidP="005B667A">
            <w:pPr>
              <w:rPr>
                <w:rFonts w:ascii="Verdana" w:hAnsi="Verdana"/>
                <w:bCs/>
              </w:rPr>
            </w:pPr>
            <w:r>
              <w:rPr>
                <w:rFonts w:ascii="Verdana" w:hAnsi="Verdana"/>
                <w:bCs/>
              </w:rPr>
              <w:t xml:space="preserve">In response to a question from Tom </w:t>
            </w:r>
            <w:proofErr w:type="spellStart"/>
            <w:r>
              <w:rPr>
                <w:rFonts w:ascii="Verdana" w:hAnsi="Verdana"/>
                <w:bCs/>
              </w:rPr>
              <w:t>Foakes</w:t>
            </w:r>
            <w:proofErr w:type="spellEnd"/>
            <w:r>
              <w:rPr>
                <w:rFonts w:ascii="Verdana" w:hAnsi="Verdana"/>
                <w:bCs/>
              </w:rPr>
              <w:t>, it was confirmed that budgetary provision had been made to sustain counselling and related support for students in the 2021-22 year.  This will include the 2021 intake, whose experience of the pandemic may have been particularly challenging educationally, psychologically and socially.</w:t>
            </w:r>
          </w:p>
          <w:p w14:paraId="7F22C070" w14:textId="733D842B" w:rsidR="00052347" w:rsidRDefault="00052347" w:rsidP="005B667A">
            <w:pPr>
              <w:rPr>
                <w:rFonts w:ascii="Verdana" w:hAnsi="Verdana"/>
                <w:bCs/>
              </w:rPr>
            </w:pPr>
          </w:p>
          <w:p w14:paraId="1A044CA6" w14:textId="251840E2" w:rsidR="00052347" w:rsidRDefault="00052347" w:rsidP="005B667A">
            <w:pPr>
              <w:rPr>
                <w:rFonts w:ascii="Verdana" w:hAnsi="Verdana"/>
                <w:bCs/>
              </w:rPr>
            </w:pPr>
            <w:r>
              <w:rPr>
                <w:rFonts w:ascii="Verdana" w:hAnsi="Verdana"/>
                <w:bCs/>
              </w:rPr>
              <w:t xml:space="preserve">In response to a question from Riddhi Bhalla, it was confirmed that all teaching will be face-to-face from September 2021, subject to no contrary restrictions being imposed by the competent authorities.  It was noted that, in the event of further restrictions, the College will be able to readily adapt to online provision.  It was recognised that, even </w:t>
            </w:r>
            <w:r w:rsidR="00340AF8">
              <w:rPr>
                <w:rFonts w:ascii="Verdana" w:hAnsi="Verdana"/>
                <w:bCs/>
              </w:rPr>
              <w:t>if no further restrictions</w:t>
            </w:r>
            <w:r>
              <w:rPr>
                <w:rFonts w:ascii="Verdana" w:hAnsi="Verdana"/>
                <w:bCs/>
              </w:rPr>
              <w:t xml:space="preserve"> affecting all students</w:t>
            </w:r>
            <w:r w:rsidR="00340AF8">
              <w:rPr>
                <w:rFonts w:ascii="Verdana" w:hAnsi="Verdana"/>
                <w:bCs/>
              </w:rPr>
              <w:t xml:space="preserve"> are imposed</w:t>
            </w:r>
            <w:r>
              <w:rPr>
                <w:rFonts w:ascii="Verdana" w:hAnsi="Verdana"/>
                <w:bCs/>
              </w:rPr>
              <w:t xml:space="preserve">, particular arrangements may </w:t>
            </w:r>
            <w:r w:rsidR="003E0769">
              <w:rPr>
                <w:rFonts w:ascii="Verdana" w:hAnsi="Verdana"/>
                <w:bCs/>
              </w:rPr>
              <w:t xml:space="preserve">still </w:t>
            </w:r>
            <w:r>
              <w:rPr>
                <w:rFonts w:ascii="Verdana" w:hAnsi="Verdana"/>
                <w:bCs/>
              </w:rPr>
              <w:t>have to be made</w:t>
            </w:r>
            <w:r w:rsidR="003E0769">
              <w:rPr>
                <w:rFonts w:ascii="Verdana" w:hAnsi="Verdana"/>
                <w:bCs/>
              </w:rPr>
              <w:t xml:space="preserve"> on a case-by-case basis</w:t>
            </w:r>
            <w:r>
              <w:rPr>
                <w:rFonts w:ascii="Verdana" w:hAnsi="Verdana"/>
                <w:bCs/>
              </w:rPr>
              <w:t xml:space="preserve"> to accommodate the needs of </w:t>
            </w:r>
            <w:proofErr w:type="gramStart"/>
            <w:r>
              <w:rPr>
                <w:rFonts w:ascii="Verdana" w:hAnsi="Verdana"/>
                <w:bCs/>
              </w:rPr>
              <w:t>students</w:t>
            </w:r>
            <w:proofErr w:type="gramEnd"/>
            <w:r>
              <w:rPr>
                <w:rFonts w:ascii="Verdana" w:hAnsi="Verdana"/>
                <w:bCs/>
              </w:rPr>
              <w:t xml:space="preserve"> </w:t>
            </w:r>
            <w:r w:rsidR="00340AF8">
              <w:rPr>
                <w:rFonts w:ascii="Verdana" w:hAnsi="Verdana"/>
                <w:bCs/>
              </w:rPr>
              <w:t>risk-</w:t>
            </w:r>
            <w:r>
              <w:rPr>
                <w:rFonts w:ascii="Verdana" w:hAnsi="Verdana"/>
                <w:bCs/>
              </w:rPr>
              <w:t>assessed as clinically extremely vulnerable.</w:t>
            </w:r>
          </w:p>
          <w:p w14:paraId="2DB3F132" w14:textId="6B38DDF5" w:rsidR="003E0769" w:rsidRDefault="003E0769" w:rsidP="005B667A">
            <w:pPr>
              <w:rPr>
                <w:rFonts w:ascii="Verdana" w:hAnsi="Verdana"/>
                <w:bCs/>
              </w:rPr>
            </w:pPr>
          </w:p>
          <w:p w14:paraId="7FA7F530" w14:textId="7EB07B33" w:rsidR="003E0769" w:rsidRDefault="003E0769" w:rsidP="005B667A">
            <w:pPr>
              <w:rPr>
                <w:rFonts w:ascii="Verdana" w:hAnsi="Verdana"/>
                <w:bCs/>
              </w:rPr>
            </w:pPr>
            <w:r>
              <w:rPr>
                <w:rFonts w:ascii="Verdana" w:hAnsi="Verdana"/>
                <w:bCs/>
              </w:rPr>
              <w:t>The Chair asked that, for future meetings, a dashboard of key performance indicators (KPIs) be made available to members in the context of the Principal’s Report.</w:t>
            </w:r>
          </w:p>
          <w:p w14:paraId="30223B4C" w14:textId="77777777" w:rsidR="00052347" w:rsidRDefault="00052347" w:rsidP="005B667A">
            <w:pPr>
              <w:rPr>
                <w:rFonts w:ascii="Verdana" w:hAnsi="Verdana"/>
                <w:bCs/>
              </w:rPr>
            </w:pPr>
          </w:p>
          <w:p w14:paraId="1CA1008B" w14:textId="77777777" w:rsidR="00340AF8" w:rsidRDefault="00340AF8" w:rsidP="005B667A">
            <w:pPr>
              <w:rPr>
                <w:rFonts w:ascii="Verdana" w:hAnsi="Verdana"/>
                <w:bCs/>
              </w:rPr>
            </w:pPr>
          </w:p>
          <w:p w14:paraId="4C22FB78" w14:textId="77777777" w:rsidR="00340AF8" w:rsidRDefault="00340AF8" w:rsidP="005B667A">
            <w:pPr>
              <w:rPr>
                <w:rFonts w:ascii="Verdana" w:hAnsi="Verdana"/>
                <w:bCs/>
              </w:rPr>
            </w:pPr>
          </w:p>
          <w:p w14:paraId="6733B953" w14:textId="77777777" w:rsidR="00340AF8" w:rsidRDefault="00340AF8" w:rsidP="005B667A">
            <w:pPr>
              <w:rPr>
                <w:rFonts w:ascii="Verdana" w:hAnsi="Verdana"/>
                <w:bCs/>
              </w:rPr>
            </w:pPr>
          </w:p>
          <w:p w14:paraId="749D0E98" w14:textId="77777777" w:rsidR="00340AF8" w:rsidRDefault="00340AF8" w:rsidP="005B667A">
            <w:pPr>
              <w:rPr>
                <w:rFonts w:ascii="Verdana" w:hAnsi="Verdana"/>
                <w:bCs/>
              </w:rPr>
            </w:pPr>
          </w:p>
          <w:p w14:paraId="3AEA8E61" w14:textId="77777777" w:rsidR="00340AF8" w:rsidRDefault="00340AF8" w:rsidP="005B667A">
            <w:pPr>
              <w:rPr>
                <w:rFonts w:ascii="Verdana" w:hAnsi="Verdana"/>
                <w:bCs/>
              </w:rPr>
            </w:pPr>
          </w:p>
          <w:p w14:paraId="62AEB1B4" w14:textId="77777777" w:rsidR="00340AF8" w:rsidRDefault="00340AF8" w:rsidP="005B667A">
            <w:pPr>
              <w:rPr>
                <w:rFonts w:ascii="Verdana" w:hAnsi="Verdana"/>
                <w:bCs/>
              </w:rPr>
            </w:pPr>
          </w:p>
          <w:p w14:paraId="69193689" w14:textId="77777777" w:rsidR="00340AF8" w:rsidRDefault="00340AF8" w:rsidP="005B667A">
            <w:pPr>
              <w:rPr>
                <w:rFonts w:ascii="Verdana" w:hAnsi="Verdana"/>
                <w:bCs/>
              </w:rPr>
            </w:pPr>
          </w:p>
          <w:p w14:paraId="5BFF7408" w14:textId="77777777" w:rsidR="00340AF8" w:rsidRDefault="00340AF8" w:rsidP="005B667A">
            <w:pPr>
              <w:rPr>
                <w:rFonts w:ascii="Verdana" w:hAnsi="Verdana"/>
                <w:bCs/>
              </w:rPr>
            </w:pPr>
          </w:p>
          <w:p w14:paraId="6983500B" w14:textId="77777777" w:rsidR="00340AF8" w:rsidRDefault="00340AF8" w:rsidP="005B667A">
            <w:pPr>
              <w:rPr>
                <w:rFonts w:ascii="Verdana" w:hAnsi="Verdana"/>
                <w:bCs/>
              </w:rPr>
            </w:pPr>
          </w:p>
          <w:p w14:paraId="1F809A21" w14:textId="72134D24" w:rsidR="00340AF8" w:rsidRPr="00821099" w:rsidRDefault="00340AF8" w:rsidP="005B667A">
            <w:pPr>
              <w:rPr>
                <w:rFonts w:ascii="Verdana" w:hAnsi="Verdana"/>
                <w:bCs/>
              </w:rPr>
            </w:pPr>
          </w:p>
        </w:tc>
      </w:tr>
      <w:tr w:rsidR="00CB1411" w14:paraId="0CDBF97F" w14:textId="77777777" w:rsidTr="00B263E0">
        <w:tc>
          <w:tcPr>
            <w:tcW w:w="675" w:type="dxa"/>
            <w:shd w:val="clear" w:color="auto" w:fill="auto"/>
            <w:tcMar>
              <w:top w:w="0" w:type="dxa"/>
              <w:left w:w="108" w:type="dxa"/>
              <w:bottom w:w="0" w:type="dxa"/>
              <w:right w:w="108" w:type="dxa"/>
            </w:tcMar>
          </w:tcPr>
          <w:p w14:paraId="66A1547E" w14:textId="6DFF3029" w:rsidR="00CB1411" w:rsidRDefault="00CB1411" w:rsidP="009C21D7">
            <w:pPr>
              <w:rPr>
                <w:rFonts w:ascii="Verdana" w:hAnsi="Verdana"/>
                <w:b/>
              </w:rPr>
            </w:pPr>
            <w:r>
              <w:rPr>
                <w:rFonts w:ascii="Verdana" w:hAnsi="Verdana"/>
                <w:b/>
              </w:rPr>
              <w:lastRenderedPageBreak/>
              <w:t>8</w:t>
            </w:r>
          </w:p>
        </w:tc>
        <w:tc>
          <w:tcPr>
            <w:tcW w:w="8789" w:type="dxa"/>
            <w:shd w:val="clear" w:color="auto" w:fill="auto"/>
            <w:tcMar>
              <w:top w:w="0" w:type="dxa"/>
              <w:left w:w="108" w:type="dxa"/>
              <w:bottom w:w="0" w:type="dxa"/>
              <w:right w:w="108" w:type="dxa"/>
            </w:tcMar>
          </w:tcPr>
          <w:p w14:paraId="5A9225CC" w14:textId="77777777" w:rsidR="00CB1411" w:rsidRPr="007C3B23" w:rsidRDefault="00CB1411" w:rsidP="00CB1411">
            <w:pPr>
              <w:rPr>
                <w:rFonts w:ascii="Verdana" w:hAnsi="Verdana"/>
                <w:b/>
              </w:rPr>
            </w:pPr>
            <w:r w:rsidRPr="007C3B23">
              <w:rPr>
                <w:rFonts w:ascii="Verdana" w:hAnsi="Verdana"/>
                <w:b/>
              </w:rPr>
              <w:t xml:space="preserve">Report of the Audit Committee: Meeting held on </w:t>
            </w:r>
            <w:r>
              <w:rPr>
                <w:rFonts w:ascii="Verdana" w:hAnsi="Verdana"/>
                <w:b/>
              </w:rPr>
              <w:t>15 June</w:t>
            </w:r>
            <w:r w:rsidRPr="007C3B23">
              <w:rPr>
                <w:rFonts w:ascii="Verdana" w:hAnsi="Verdana"/>
                <w:b/>
              </w:rPr>
              <w:t xml:space="preserve"> 202</w:t>
            </w:r>
            <w:r>
              <w:rPr>
                <w:rFonts w:ascii="Verdana" w:hAnsi="Verdana"/>
                <w:b/>
              </w:rPr>
              <w:t>1</w:t>
            </w:r>
          </w:p>
          <w:p w14:paraId="0C97FD89" w14:textId="77777777" w:rsidR="00CB1411" w:rsidRDefault="00CB1411" w:rsidP="00F85B93">
            <w:pPr>
              <w:pStyle w:val="NoSpacing"/>
              <w:rPr>
                <w:b/>
              </w:rPr>
            </w:pPr>
          </w:p>
          <w:p w14:paraId="3F9F26DB" w14:textId="47DE89C5" w:rsidR="00CB1411" w:rsidRDefault="00CB1411" w:rsidP="00CB1411">
            <w:pPr>
              <w:rPr>
                <w:rFonts w:ascii="Verdana" w:hAnsi="Verdana"/>
              </w:rPr>
            </w:pPr>
            <w:r w:rsidRPr="00A30799">
              <w:rPr>
                <w:rFonts w:ascii="Verdana" w:hAnsi="Verdana"/>
              </w:rPr>
              <w:t xml:space="preserve">The </w:t>
            </w:r>
            <w:r>
              <w:rPr>
                <w:rFonts w:ascii="Verdana" w:hAnsi="Verdana"/>
              </w:rPr>
              <w:t xml:space="preserve">draft </w:t>
            </w:r>
            <w:r w:rsidRPr="00A30799">
              <w:rPr>
                <w:rFonts w:ascii="Verdana" w:hAnsi="Verdana"/>
              </w:rPr>
              <w:t>minutes of the above meeting</w:t>
            </w:r>
            <w:r>
              <w:rPr>
                <w:rFonts w:ascii="Verdana" w:hAnsi="Verdana"/>
              </w:rPr>
              <w:t xml:space="preserve">, approved by the Committee Chair for circulation, </w:t>
            </w:r>
            <w:r w:rsidRPr="00A30799">
              <w:rPr>
                <w:rFonts w:ascii="Verdana" w:hAnsi="Verdana"/>
              </w:rPr>
              <w:t>were received and noted</w:t>
            </w:r>
            <w:r w:rsidR="009646EF">
              <w:rPr>
                <w:rFonts w:ascii="Verdana" w:hAnsi="Verdana"/>
              </w:rPr>
              <w:t>, together with the schedule of board level risks.</w:t>
            </w:r>
            <w:r>
              <w:rPr>
                <w:rFonts w:ascii="Verdana" w:hAnsi="Verdana"/>
              </w:rPr>
              <w:t xml:space="preserve">  </w:t>
            </w:r>
          </w:p>
          <w:p w14:paraId="0C5AAF49" w14:textId="77777777" w:rsidR="00CB1411" w:rsidRDefault="00CB1411" w:rsidP="00F85B93">
            <w:pPr>
              <w:pStyle w:val="NoSpacing"/>
              <w:rPr>
                <w:bCs/>
              </w:rPr>
            </w:pPr>
          </w:p>
          <w:p w14:paraId="1D2535CE" w14:textId="3BB5A4D6" w:rsidR="00CB1411" w:rsidRDefault="003E0769" w:rsidP="00F85B93">
            <w:pPr>
              <w:pStyle w:val="NoSpacing"/>
              <w:rPr>
                <w:bCs/>
              </w:rPr>
            </w:pPr>
            <w:r>
              <w:rPr>
                <w:bCs/>
              </w:rPr>
              <w:t>The Committee Chair</w:t>
            </w:r>
            <w:r w:rsidR="009646EF">
              <w:rPr>
                <w:bCs/>
              </w:rPr>
              <w:t xml:space="preserve">, </w:t>
            </w:r>
            <w:r w:rsidR="009646EF" w:rsidRPr="009646EF">
              <w:rPr>
                <w:bCs/>
                <w:i/>
                <w:iCs/>
              </w:rPr>
              <w:t>inter alia</w:t>
            </w:r>
            <w:r w:rsidR="009646EF">
              <w:rPr>
                <w:bCs/>
              </w:rPr>
              <w:t>,</w:t>
            </w:r>
            <w:r>
              <w:rPr>
                <w:bCs/>
              </w:rPr>
              <w:t xml:space="preserve"> drew attention to:</w:t>
            </w:r>
          </w:p>
          <w:p w14:paraId="6861BE1E" w14:textId="08C77691" w:rsidR="003E0769" w:rsidRDefault="003E0769" w:rsidP="00F85B93">
            <w:pPr>
              <w:pStyle w:val="NoSpacing"/>
              <w:rPr>
                <w:bCs/>
              </w:rPr>
            </w:pPr>
          </w:p>
          <w:p w14:paraId="671C6134" w14:textId="563DB7C2" w:rsidR="003E0769" w:rsidRDefault="003E0769" w:rsidP="00F85B93">
            <w:pPr>
              <w:pStyle w:val="NoSpacing"/>
              <w:rPr>
                <w:bCs/>
              </w:rPr>
            </w:pPr>
            <w:r>
              <w:rPr>
                <w:bCs/>
              </w:rPr>
              <w:t>Minute 5: the three risk areas remaining at Board level, namely:</w:t>
            </w:r>
          </w:p>
          <w:p w14:paraId="11BF5D93" w14:textId="757586A6" w:rsidR="003E0769" w:rsidRDefault="003E0769" w:rsidP="00F85B93">
            <w:pPr>
              <w:pStyle w:val="NoSpacing"/>
              <w:rPr>
                <w:bCs/>
              </w:rPr>
            </w:pPr>
          </w:p>
          <w:p w14:paraId="38BB7BA0" w14:textId="1D45DCD9" w:rsidR="003E0769" w:rsidRDefault="003E0769" w:rsidP="00F85B93">
            <w:pPr>
              <w:pStyle w:val="NoSpacing"/>
              <w:rPr>
                <w:rFonts w:cstheme="minorHAnsi"/>
                <w:bCs/>
                <w:i/>
                <w:iCs/>
              </w:rPr>
            </w:pPr>
            <w:r w:rsidRPr="00BD3944">
              <w:rPr>
                <w:rFonts w:cstheme="minorHAnsi"/>
                <w:bCs/>
                <w:i/>
                <w:iCs/>
              </w:rPr>
              <w:t>inadequate management of the impact on the financial health of the College of recruiting insufficient student numbers</w:t>
            </w:r>
            <w:r>
              <w:rPr>
                <w:rFonts w:cstheme="minorHAnsi"/>
                <w:bCs/>
                <w:i/>
                <w:iCs/>
              </w:rPr>
              <w:t>;</w:t>
            </w:r>
          </w:p>
          <w:p w14:paraId="1C362F1A" w14:textId="65B9A9BF" w:rsidR="003E0769" w:rsidRDefault="003E0769" w:rsidP="00F85B93">
            <w:pPr>
              <w:pStyle w:val="NoSpacing"/>
              <w:rPr>
                <w:rFonts w:cstheme="minorHAnsi"/>
                <w:bCs/>
                <w:i/>
                <w:iCs/>
              </w:rPr>
            </w:pPr>
          </w:p>
          <w:p w14:paraId="1EB1F229" w14:textId="2B4ABD75" w:rsidR="003E0769" w:rsidRDefault="003E0769" w:rsidP="00F85B93">
            <w:pPr>
              <w:pStyle w:val="NoSpacing"/>
              <w:rPr>
                <w:rFonts w:cstheme="minorHAnsi"/>
                <w:bCs/>
              </w:rPr>
            </w:pPr>
            <w:r w:rsidRPr="00BD3944">
              <w:rPr>
                <w:rFonts w:cstheme="minorHAnsi"/>
                <w:bCs/>
                <w:i/>
                <w:iCs/>
              </w:rPr>
              <w:t>use of performance data is insufficient to manage curriculum risks</w:t>
            </w:r>
            <w:r>
              <w:rPr>
                <w:rFonts w:cstheme="minorHAnsi"/>
                <w:bCs/>
                <w:i/>
                <w:iCs/>
              </w:rPr>
              <w:t xml:space="preserve">; </w:t>
            </w:r>
            <w:r>
              <w:rPr>
                <w:rFonts w:cstheme="minorHAnsi"/>
                <w:bCs/>
              </w:rPr>
              <w:t>and</w:t>
            </w:r>
          </w:p>
          <w:p w14:paraId="6D52FA42" w14:textId="23579E21" w:rsidR="003E0769" w:rsidRDefault="003E0769" w:rsidP="00F85B93">
            <w:pPr>
              <w:pStyle w:val="NoSpacing"/>
              <w:rPr>
                <w:rFonts w:cstheme="minorHAnsi"/>
                <w:bCs/>
              </w:rPr>
            </w:pPr>
          </w:p>
          <w:p w14:paraId="735A1E0B" w14:textId="73AF675F" w:rsidR="003E0769" w:rsidRDefault="003E0769" w:rsidP="00F85B93">
            <w:pPr>
              <w:pStyle w:val="NoSpacing"/>
              <w:rPr>
                <w:rFonts w:cstheme="minorHAnsi"/>
                <w:bCs/>
                <w:i/>
                <w:iCs/>
              </w:rPr>
            </w:pPr>
            <w:r w:rsidRPr="00BD3944">
              <w:rPr>
                <w:rFonts w:cstheme="minorHAnsi"/>
                <w:bCs/>
                <w:i/>
                <w:iCs/>
              </w:rPr>
              <w:t>failure to ensure financial viability because of weak relationships with schools and prospective learners</w:t>
            </w:r>
            <w:r>
              <w:rPr>
                <w:rFonts w:cstheme="minorHAnsi"/>
                <w:bCs/>
                <w:i/>
                <w:iCs/>
              </w:rPr>
              <w:t>.</w:t>
            </w:r>
          </w:p>
          <w:p w14:paraId="7DA6D313" w14:textId="03FC6C54" w:rsidR="008461BB" w:rsidRDefault="008461BB" w:rsidP="00F85B93">
            <w:pPr>
              <w:pStyle w:val="NoSpacing"/>
              <w:rPr>
                <w:rFonts w:cstheme="minorHAnsi"/>
                <w:bCs/>
                <w:i/>
                <w:iCs/>
              </w:rPr>
            </w:pPr>
          </w:p>
          <w:p w14:paraId="2F9748C7" w14:textId="77777777" w:rsidR="008461BB" w:rsidRDefault="003E0769" w:rsidP="00F85B93">
            <w:pPr>
              <w:pStyle w:val="NoSpacing"/>
              <w:rPr>
                <w:rFonts w:cstheme="minorHAnsi"/>
                <w:bCs/>
              </w:rPr>
            </w:pPr>
            <w:r>
              <w:rPr>
                <w:rFonts w:cstheme="minorHAnsi"/>
                <w:bCs/>
              </w:rPr>
              <w:t>Minute 5: the commitment of the Audit Committee</w:t>
            </w:r>
            <w:r w:rsidR="008461BB">
              <w:rPr>
                <w:rFonts w:cstheme="minorHAnsi"/>
                <w:bCs/>
              </w:rPr>
              <w:t xml:space="preserve"> to continue monitoring risk oversight in relation to risks below Board level, namely:</w:t>
            </w:r>
          </w:p>
          <w:p w14:paraId="13B3DD6B" w14:textId="77777777" w:rsidR="008461BB" w:rsidRDefault="008461BB" w:rsidP="00F85B93">
            <w:pPr>
              <w:pStyle w:val="NoSpacing"/>
              <w:rPr>
                <w:rFonts w:cstheme="minorHAnsi"/>
                <w:bCs/>
              </w:rPr>
            </w:pPr>
          </w:p>
          <w:p w14:paraId="752C9E01" w14:textId="5D2AA3FF" w:rsidR="008461BB" w:rsidRDefault="00340AF8" w:rsidP="00F85B93">
            <w:pPr>
              <w:pStyle w:val="NoSpacing"/>
              <w:rPr>
                <w:rFonts w:cstheme="minorHAnsi"/>
                <w:bCs/>
                <w:i/>
                <w:iCs/>
              </w:rPr>
            </w:pPr>
            <w:r>
              <w:rPr>
                <w:rFonts w:cstheme="minorHAnsi"/>
                <w:bCs/>
                <w:i/>
                <w:iCs/>
              </w:rPr>
              <w:t xml:space="preserve">failure to </w:t>
            </w:r>
            <w:r w:rsidR="008461BB" w:rsidRPr="00BD3944">
              <w:rPr>
                <w:rFonts w:cstheme="minorHAnsi"/>
                <w:bCs/>
                <w:i/>
                <w:iCs/>
              </w:rPr>
              <w:t>implement the College Improvement Plan</w:t>
            </w:r>
            <w:r w:rsidR="008461BB">
              <w:rPr>
                <w:rFonts w:cstheme="minorHAnsi"/>
                <w:bCs/>
                <w:i/>
                <w:iCs/>
              </w:rPr>
              <w:t xml:space="preserve"> (monitored directly by the Quality &amp; Performance Committee);</w:t>
            </w:r>
          </w:p>
          <w:p w14:paraId="36243DE0" w14:textId="77777777" w:rsidR="008461BB" w:rsidRDefault="008461BB" w:rsidP="00F85B93">
            <w:pPr>
              <w:pStyle w:val="NoSpacing"/>
              <w:rPr>
                <w:rFonts w:cstheme="minorHAnsi"/>
                <w:bCs/>
                <w:i/>
                <w:iCs/>
              </w:rPr>
            </w:pPr>
          </w:p>
          <w:p w14:paraId="6E6F8CF6" w14:textId="611EEC29" w:rsidR="008461BB" w:rsidRDefault="008461BB" w:rsidP="008461BB">
            <w:pPr>
              <w:pStyle w:val="NoSpacing"/>
              <w:tabs>
                <w:tab w:val="left" w:pos="2895"/>
              </w:tabs>
              <w:rPr>
                <w:rFonts w:cstheme="minorHAnsi"/>
                <w:bCs/>
              </w:rPr>
            </w:pPr>
            <w:r w:rsidRPr="00BD3944">
              <w:rPr>
                <w:rFonts w:cstheme="minorHAnsi"/>
                <w:bCs/>
                <w:i/>
                <w:iCs/>
              </w:rPr>
              <w:t xml:space="preserve">work experience and employer engagement </w:t>
            </w:r>
            <w:proofErr w:type="gramStart"/>
            <w:r w:rsidRPr="00BD3944">
              <w:rPr>
                <w:rFonts w:cstheme="minorHAnsi"/>
                <w:bCs/>
                <w:i/>
                <w:iCs/>
              </w:rPr>
              <w:t>is</w:t>
            </w:r>
            <w:proofErr w:type="gramEnd"/>
            <w:r w:rsidRPr="00BD3944">
              <w:rPr>
                <w:rFonts w:cstheme="minorHAnsi"/>
                <w:bCs/>
                <w:i/>
                <w:iCs/>
              </w:rPr>
              <w:t xml:space="preserve"> weakened as fewer companies agree to take placements due to Covid-19</w:t>
            </w:r>
            <w:r w:rsidR="00340AF8">
              <w:rPr>
                <w:rFonts w:cstheme="minorHAnsi"/>
                <w:bCs/>
                <w:i/>
                <w:iCs/>
              </w:rPr>
              <w:t xml:space="preserve"> and its effects</w:t>
            </w:r>
            <w:r w:rsidRPr="00BD3944">
              <w:rPr>
                <w:rFonts w:cstheme="minorHAnsi"/>
                <w:bCs/>
                <w:i/>
                <w:iCs/>
              </w:rPr>
              <w:t xml:space="preserve"> </w:t>
            </w:r>
            <w:r>
              <w:rPr>
                <w:rFonts w:cstheme="minorHAnsi"/>
                <w:bCs/>
                <w:i/>
                <w:iCs/>
              </w:rPr>
              <w:t>(monitored directly by the External Relations Committee)</w:t>
            </w:r>
            <w:r w:rsidRPr="00BD3944">
              <w:rPr>
                <w:rFonts w:cstheme="minorHAnsi"/>
                <w:bCs/>
                <w:i/>
                <w:iCs/>
              </w:rPr>
              <w:t>;</w:t>
            </w:r>
            <w:r>
              <w:rPr>
                <w:rFonts w:cstheme="minorHAnsi"/>
                <w:bCs/>
              </w:rPr>
              <w:t xml:space="preserve"> and</w:t>
            </w:r>
          </w:p>
          <w:p w14:paraId="6ACFF3B2" w14:textId="46C4DEE3" w:rsidR="008461BB" w:rsidRDefault="008461BB" w:rsidP="008461BB">
            <w:pPr>
              <w:pStyle w:val="NoSpacing"/>
              <w:tabs>
                <w:tab w:val="left" w:pos="2895"/>
              </w:tabs>
              <w:rPr>
                <w:rFonts w:cstheme="minorHAnsi"/>
                <w:bCs/>
              </w:rPr>
            </w:pPr>
          </w:p>
          <w:p w14:paraId="09A7819C" w14:textId="6D64B8BB" w:rsidR="008461BB" w:rsidRPr="008461BB" w:rsidRDefault="008461BB" w:rsidP="008461BB">
            <w:pPr>
              <w:pStyle w:val="NoSpacing"/>
              <w:tabs>
                <w:tab w:val="left" w:pos="2895"/>
              </w:tabs>
              <w:rPr>
                <w:rFonts w:cstheme="minorHAnsi"/>
                <w:bCs/>
                <w:i/>
                <w:iCs/>
              </w:rPr>
            </w:pPr>
            <w:r w:rsidRPr="008461BB">
              <w:rPr>
                <w:rFonts w:cstheme="minorHAnsi"/>
                <w:bCs/>
                <w:i/>
                <w:iCs/>
              </w:rPr>
              <w:t xml:space="preserve">risks attending the public health emergency, including challenges to </w:t>
            </w:r>
            <w:r>
              <w:rPr>
                <w:rFonts w:cstheme="minorHAnsi"/>
                <w:bCs/>
                <w:i/>
                <w:iCs/>
              </w:rPr>
              <w:t>fulfilment of</w:t>
            </w:r>
            <w:r w:rsidRPr="008461BB">
              <w:rPr>
                <w:rFonts w:cstheme="minorHAnsi"/>
                <w:bCs/>
                <w:i/>
                <w:iCs/>
              </w:rPr>
              <w:t xml:space="preserve"> the College </w:t>
            </w:r>
            <w:r>
              <w:rPr>
                <w:rFonts w:cstheme="minorHAnsi"/>
                <w:bCs/>
                <w:i/>
                <w:iCs/>
              </w:rPr>
              <w:t xml:space="preserve">Development </w:t>
            </w:r>
            <w:r w:rsidRPr="008461BB">
              <w:rPr>
                <w:rFonts w:cstheme="minorHAnsi"/>
                <w:bCs/>
                <w:i/>
                <w:iCs/>
              </w:rPr>
              <w:t>Plan</w:t>
            </w:r>
            <w:r>
              <w:rPr>
                <w:rFonts w:cstheme="minorHAnsi"/>
                <w:bCs/>
                <w:i/>
                <w:iCs/>
              </w:rPr>
              <w:t xml:space="preserve"> arising from this source.</w:t>
            </w:r>
          </w:p>
          <w:p w14:paraId="7EAF4E07" w14:textId="26517062" w:rsidR="008461BB" w:rsidRDefault="008461BB" w:rsidP="008461BB">
            <w:pPr>
              <w:pStyle w:val="NoSpacing"/>
              <w:tabs>
                <w:tab w:val="left" w:pos="2895"/>
              </w:tabs>
              <w:rPr>
                <w:rFonts w:cstheme="minorHAnsi"/>
                <w:bCs/>
                <w:i/>
                <w:iCs/>
              </w:rPr>
            </w:pPr>
          </w:p>
          <w:p w14:paraId="1D513399" w14:textId="6D7AA2BF" w:rsidR="008461BB" w:rsidRDefault="008461BB" w:rsidP="008461BB">
            <w:pPr>
              <w:pStyle w:val="NoSpacing"/>
              <w:tabs>
                <w:tab w:val="left" w:pos="2895"/>
              </w:tabs>
              <w:rPr>
                <w:rFonts w:cstheme="minorHAnsi"/>
                <w:bCs/>
              </w:rPr>
            </w:pPr>
            <w:r>
              <w:rPr>
                <w:rFonts w:cstheme="minorHAnsi"/>
                <w:bCs/>
              </w:rPr>
              <w:t xml:space="preserve">It was noted that the monitoring of risks by committees is formally reported to the Audit Committee as standing business on </w:t>
            </w:r>
            <w:r w:rsidR="00340AF8">
              <w:rPr>
                <w:rFonts w:cstheme="minorHAnsi"/>
                <w:bCs/>
              </w:rPr>
              <w:t>its</w:t>
            </w:r>
            <w:r>
              <w:rPr>
                <w:rFonts w:cstheme="minorHAnsi"/>
                <w:bCs/>
              </w:rPr>
              <w:t xml:space="preserve"> agendas.</w:t>
            </w:r>
          </w:p>
          <w:p w14:paraId="22C6C56B" w14:textId="3E904D59" w:rsidR="008461BB" w:rsidRDefault="008461BB" w:rsidP="008461BB">
            <w:pPr>
              <w:pStyle w:val="NoSpacing"/>
              <w:tabs>
                <w:tab w:val="left" w:pos="2895"/>
              </w:tabs>
              <w:rPr>
                <w:rFonts w:cstheme="minorHAnsi"/>
                <w:bCs/>
              </w:rPr>
            </w:pPr>
          </w:p>
          <w:p w14:paraId="40F42101" w14:textId="63493338" w:rsidR="008461BB" w:rsidRPr="008461BB" w:rsidRDefault="008461BB" w:rsidP="008461BB">
            <w:pPr>
              <w:pStyle w:val="NoSpacing"/>
              <w:tabs>
                <w:tab w:val="left" w:pos="2895"/>
              </w:tabs>
              <w:rPr>
                <w:rFonts w:cstheme="minorHAnsi"/>
                <w:bCs/>
              </w:rPr>
            </w:pPr>
            <w:r>
              <w:rPr>
                <w:rFonts w:cstheme="minorHAnsi"/>
                <w:bCs/>
              </w:rPr>
              <w:t xml:space="preserve">Minute 8: the </w:t>
            </w:r>
            <w:r w:rsidR="009646EF">
              <w:rPr>
                <w:rFonts w:cstheme="minorHAnsi"/>
                <w:bCs/>
              </w:rPr>
              <w:t xml:space="preserve">positive </w:t>
            </w:r>
            <w:r>
              <w:rPr>
                <w:rFonts w:cstheme="minorHAnsi"/>
                <w:bCs/>
              </w:rPr>
              <w:t>findings of internal audit reviews</w:t>
            </w:r>
            <w:r w:rsidR="009646EF">
              <w:rPr>
                <w:rFonts w:cstheme="minorHAnsi"/>
                <w:bCs/>
              </w:rPr>
              <w:t xml:space="preserve"> into Student Recruitment (which had been made available to the External Relations Committee) and Student Participation Progress &amp; Retention, and the suggestions arising from the report prepared by exception on Governor Recruitment &amp; Succession Planning (which will be made available to the Governance &amp; Nominations Committee).</w:t>
            </w:r>
          </w:p>
          <w:p w14:paraId="68E2604E" w14:textId="4BB692A2" w:rsidR="003E0769" w:rsidRPr="003E0769" w:rsidRDefault="003E0769" w:rsidP="00F85B93">
            <w:pPr>
              <w:pStyle w:val="NoSpacing"/>
              <w:rPr>
                <w:bCs/>
              </w:rPr>
            </w:pPr>
            <w:r>
              <w:rPr>
                <w:rFonts w:cstheme="minorHAnsi"/>
                <w:bCs/>
              </w:rPr>
              <w:t xml:space="preserve"> </w:t>
            </w:r>
          </w:p>
          <w:p w14:paraId="5A770D20" w14:textId="652F9645" w:rsidR="00CB1411" w:rsidRDefault="008461BB" w:rsidP="00F85B93">
            <w:pPr>
              <w:pStyle w:val="NoSpacing"/>
              <w:rPr>
                <w:bCs/>
              </w:rPr>
            </w:pPr>
            <w:r>
              <w:rPr>
                <w:bCs/>
              </w:rPr>
              <w:t>Minute 10: approval of the Financial Statements’ (External) Audit Plan by the Committee on behalf of the Corporation.</w:t>
            </w:r>
          </w:p>
          <w:p w14:paraId="6DA4B965" w14:textId="636939D8" w:rsidR="008461BB" w:rsidRDefault="008461BB" w:rsidP="00F85B93">
            <w:pPr>
              <w:pStyle w:val="NoSpacing"/>
              <w:rPr>
                <w:bCs/>
              </w:rPr>
            </w:pPr>
          </w:p>
          <w:p w14:paraId="56DD11DF" w14:textId="15323ACD" w:rsidR="008461BB" w:rsidRDefault="008461BB" w:rsidP="00F85B93">
            <w:pPr>
              <w:pStyle w:val="NoSpacing"/>
              <w:rPr>
                <w:bCs/>
              </w:rPr>
            </w:pPr>
            <w:r>
              <w:rPr>
                <w:bCs/>
              </w:rPr>
              <w:t>Minute 12: how the Corporation takes cognisance of the UK Corporate Governance Code (in relation</w:t>
            </w:r>
            <w:r w:rsidR="00340AF8">
              <w:rPr>
                <w:bCs/>
              </w:rPr>
              <w:t xml:space="preserve"> to</w:t>
            </w:r>
            <w:r>
              <w:rPr>
                <w:bCs/>
              </w:rPr>
              <w:t xml:space="preserve"> which advice </w:t>
            </w:r>
            <w:r w:rsidR="00340AF8">
              <w:rPr>
                <w:bCs/>
              </w:rPr>
              <w:t>had been</w:t>
            </w:r>
            <w:r>
              <w:rPr>
                <w:bCs/>
              </w:rPr>
              <w:t xml:space="preserve"> received from the Clerk to </w:t>
            </w:r>
            <w:r w:rsidR="00340AF8">
              <w:rPr>
                <w:bCs/>
              </w:rPr>
              <w:t>t</w:t>
            </w:r>
            <w:r>
              <w:rPr>
                <w:bCs/>
              </w:rPr>
              <w:t>he Corporation).</w:t>
            </w:r>
          </w:p>
          <w:p w14:paraId="797ED189" w14:textId="11396E4E" w:rsidR="009646EF" w:rsidRDefault="009646EF" w:rsidP="00F85B93">
            <w:pPr>
              <w:pStyle w:val="NoSpacing"/>
              <w:rPr>
                <w:bCs/>
              </w:rPr>
            </w:pPr>
          </w:p>
          <w:p w14:paraId="634971C9" w14:textId="31F2D271" w:rsidR="009646EF" w:rsidRDefault="009646EF" w:rsidP="00F85B93">
            <w:pPr>
              <w:pStyle w:val="NoSpacing"/>
              <w:rPr>
                <w:bCs/>
              </w:rPr>
            </w:pPr>
            <w:r>
              <w:rPr>
                <w:bCs/>
              </w:rPr>
              <w:t xml:space="preserve">The Chair of the </w:t>
            </w:r>
            <w:r w:rsidR="00142A12">
              <w:rPr>
                <w:bCs/>
              </w:rPr>
              <w:t>Committee</w:t>
            </w:r>
            <w:r>
              <w:rPr>
                <w:bCs/>
              </w:rPr>
              <w:t xml:space="preserve"> noted that the skills available to the Committee had been boosted by the appointment of a qualified accountant to </w:t>
            </w:r>
            <w:r w:rsidR="00340AF8">
              <w:rPr>
                <w:bCs/>
              </w:rPr>
              <w:t xml:space="preserve">its </w:t>
            </w:r>
            <w:r>
              <w:rPr>
                <w:bCs/>
              </w:rPr>
              <w:t xml:space="preserve">membership during 2020-21, and that the membership of the Committee will be reviewed regularly to ensure that the skills of its members continue </w:t>
            </w:r>
            <w:r>
              <w:rPr>
                <w:bCs/>
              </w:rPr>
              <w:lastRenderedPageBreak/>
              <w:t xml:space="preserve">to best serve the Committee’s role and responsibilities. </w:t>
            </w:r>
          </w:p>
          <w:p w14:paraId="434A451E" w14:textId="77777777" w:rsidR="00CB1411" w:rsidRDefault="00CB1411" w:rsidP="00F85B93">
            <w:pPr>
              <w:pStyle w:val="NoSpacing"/>
              <w:rPr>
                <w:bCs/>
              </w:rPr>
            </w:pPr>
          </w:p>
          <w:p w14:paraId="01ED1E94" w14:textId="1A055548" w:rsidR="003309A6" w:rsidRDefault="003309A6" w:rsidP="00F85B93">
            <w:pPr>
              <w:pStyle w:val="NoSpacing"/>
              <w:rPr>
                <w:bCs/>
              </w:rPr>
            </w:pPr>
            <w:r>
              <w:rPr>
                <w:bCs/>
              </w:rPr>
              <w:t xml:space="preserve">Members </w:t>
            </w:r>
            <w:r w:rsidR="00437976">
              <w:rPr>
                <w:bCs/>
              </w:rPr>
              <w:t>noted the Committee’s approval on behalf of the Corporation of</w:t>
            </w:r>
            <w:r>
              <w:rPr>
                <w:bCs/>
              </w:rPr>
              <w:t xml:space="preserve"> the financial statements audit plan, and authorised the Chair of the Corporation to sign the Letter of Engagement.</w:t>
            </w:r>
          </w:p>
          <w:p w14:paraId="563365FA" w14:textId="553F8C10" w:rsidR="003309A6" w:rsidRPr="00CB1411" w:rsidRDefault="003309A6" w:rsidP="00F85B93">
            <w:pPr>
              <w:pStyle w:val="NoSpacing"/>
              <w:rPr>
                <w:bCs/>
              </w:rPr>
            </w:pPr>
            <w:r>
              <w:rPr>
                <w:bCs/>
              </w:rPr>
              <w:t xml:space="preserve">  </w:t>
            </w:r>
          </w:p>
        </w:tc>
      </w:tr>
      <w:tr w:rsidR="009C21D7" w14:paraId="7B1D6458" w14:textId="77777777" w:rsidTr="00B263E0">
        <w:tc>
          <w:tcPr>
            <w:tcW w:w="675" w:type="dxa"/>
            <w:shd w:val="clear" w:color="auto" w:fill="auto"/>
            <w:tcMar>
              <w:top w:w="0" w:type="dxa"/>
              <w:left w:w="108" w:type="dxa"/>
              <w:bottom w:w="0" w:type="dxa"/>
              <w:right w:w="108" w:type="dxa"/>
            </w:tcMar>
          </w:tcPr>
          <w:p w14:paraId="7ACD0548" w14:textId="0CB3254B" w:rsidR="009C21D7" w:rsidRDefault="00CB1411" w:rsidP="009C21D7">
            <w:pPr>
              <w:rPr>
                <w:rFonts w:ascii="Verdana" w:hAnsi="Verdana"/>
                <w:b/>
              </w:rPr>
            </w:pPr>
            <w:r>
              <w:rPr>
                <w:rFonts w:ascii="Verdana" w:hAnsi="Verdana"/>
                <w:b/>
              </w:rPr>
              <w:lastRenderedPageBreak/>
              <w:t>9</w:t>
            </w:r>
          </w:p>
        </w:tc>
        <w:tc>
          <w:tcPr>
            <w:tcW w:w="8789" w:type="dxa"/>
            <w:shd w:val="clear" w:color="auto" w:fill="auto"/>
            <w:tcMar>
              <w:top w:w="0" w:type="dxa"/>
              <w:left w:w="108" w:type="dxa"/>
              <w:bottom w:w="0" w:type="dxa"/>
              <w:right w:w="108" w:type="dxa"/>
            </w:tcMar>
          </w:tcPr>
          <w:p w14:paraId="43681A08" w14:textId="77777777" w:rsidR="00CB1411" w:rsidRDefault="00CB1411" w:rsidP="00CB1411">
            <w:pPr>
              <w:rPr>
                <w:rFonts w:ascii="Verdana" w:hAnsi="Verdana"/>
                <w:b/>
              </w:rPr>
            </w:pPr>
            <w:r>
              <w:rPr>
                <w:rFonts w:ascii="Verdana" w:hAnsi="Verdana"/>
                <w:b/>
              </w:rPr>
              <w:t>Report of the External Relations Committee: Meetings held on 2 February 2021 and 22 June 2021</w:t>
            </w:r>
          </w:p>
          <w:p w14:paraId="28C3AE35" w14:textId="77777777" w:rsidR="009C21D7" w:rsidRPr="00A30799" w:rsidRDefault="009C21D7" w:rsidP="009C21D7">
            <w:pPr>
              <w:rPr>
                <w:rFonts w:ascii="Verdana" w:hAnsi="Verdana"/>
                <w:b/>
                <w:color w:val="FF0000"/>
              </w:rPr>
            </w:pPr>
          </w:p>
          <w:p w14:paraId="3447A80F" w14:textId="12C983C2" w:rsidR="00CB1411" w:rsidRDefault="00CB1411" w:rsidP="009C21D7">
            <w:pPr>
              <w:rPr>
                <w:rFonts w:ascii="Verdana" w:hAnsi="Verdana"/>
              </w:rPr>
            </w:pPr>
            <w:r>
              <w:rPr>
                <w:rFonts w:ascii="Verdana" w:hAnsi="Verdana"/>
              </w:rPr>
              <w:t>The approved minutes of the meeting held on 2 February 2021 were received and noted.</w:t>
            </w:r>
          </w:p>
          <w:p w14:paraId="75DD44D9" w14:textId="77777777" w:rsidR="00CB1411" w:rsidRDefault="00CB1411" w:rsidP="009C21D7">
            <w:pPr>
              <w:rPr>
                <w:rFonts w:ascii="Verdana" w:hAnsi="Verdana"/>
              </w:rPr>
            </w:pPr>
          </w:p>
          <w:p w14:paraId="5225C094" w14:textId="77777777" w:rsidR="00CB1411" w:rsidRDefault="009C21D7" w:rsidP="009C21D7">
            <w:pPr>
              <w:rPr>
                <w:rFonts w:ascii="Verdana" w:hAnsi="Verdana"/>
              </w:rPr>
            </w:pPr>
            <w:r w:rsidRPr="00A30799">
              <w:rPr>
                <w:rFonts w:ascii="Verdana" w:hAnsi="Verdana"/>
              </w:rPr>
              <w:t xml:space="preserve">The </w:t>
            </w:r>
            <w:r>
              <w:rPr>
                <w:rFonts w:ascii="Verdana" w:hAnsi="Verdana"/>
              </w:rPr>
              <w:t xml:space="preserve">draft </w:t>
            </w:r>
            <w:r w:rsidRPr="00A30799">
              <w:rPr>
                <w:rFonts w:ascii="Verdana" w:hAnsi="Verdana"/>
              </w:rPr>
              <w:t>minutes of the meeting</w:t>
            </w:r>
            <w:r w:rsidR="00CB1411">
              <w:rPr>
                <w:rFonts w:ascii="Verdana" w:hAnsi="Verdana"/>
              </w:rPr>
              <w:t xml:space="preserve"> held on 22 June 2021</w:t>
            </w:r>
            <w:r>
              <w:rPr>
                <w:rFonts w:ascii="Verdana" w:hAnsi="Verdana"/>
              </w:rPr>
              <w:t xml:space="preserve">, approved by the Committee Chair for circulation, </w:t>
            </w:r>
            <w:r w:rsidRPr="00A30799">
              <w:rPr>
                <w:rFonts w:ascii="Verdana" w:hAnsi="Verdana"/>
              </w:rPr>
              <w:t xml:space="preserve">were </w:t>
            </w:r>
            <w:r w:rsidR="00CB1411">
              <w:rPr>
                <w:rFonts w:ascii="Verdana" w:hAnsi="Verdana"/>
              </w:rPr>
              <w:t xml:space="preserve">also </w:t>
            </w:r>
            <w:r w:rsidRPr="00A30799">
              <w:rPr>
                <w:rFonts w:ascii="Verdana" w:hAnsi="Verdana"/>
              </w:rPr>
              <w:t>received and noted.</w:t>
            </w:r>
            <w:r>
              <w:rPr>
                <w:rFonts w:ascii="Verdana" w:hAnsi="Verdana"/>
              </w:rPr>
              <w:t xml:space="preserve"> </w:t>
            </w:r>
          </w:p>
          <w:p w14:paraId="46E9C6E3" w14:textId="77777777" w:rsidR="00CB1411" w:rsidRDefault="00CB1411" w:rsidP="009C21D7">
            <w:pPr>
              <w:rPr>
                <w:rFonts w:ascii="Verdana" w:hAnsi="Verdana"/>
              </w:rPr>
            </w:pPr>
          </w:p>
          <w:p w14:paraId="1BF07438" w14:textId="719695BA" w:rsidR="00CB1411" w:rsidRDefault="00437976" w:rsidP="009C21D7">
            <w:pPr>
              <w:rPr>
                <w:rFonts w:ascii="Verdana" w:hAnsi="Verdana"/>
              </w:rPr>
            </w:pPr>
            <w:r>
              <w:rPr>
                <w:rFonts w:ascii="Verdana" w:hAnsi="Verdana"/>
              </w:rPr>
              <w:t>T</w:t>
            </w:r>
            <w:r w:rsidR="00CB1411">
              <w:rPr>
                <w:rFonts w:ascii="Verdana" w:hAnsi="Verdana"/>
              </w:rPr>
              <w:t xml:space="preserve">he </w:t>
            </w:r>
            <w:r w:rsidR="008B7EB2">
              <w:rPr>
                <w:rFonts w:ascii="Verdana" w:hAnsi="Verdana"/>
              </w:rPr>
              <w:t xml:space="preserve">Committee </w:t>
            </w:r>
            <w:r w:rsidR="00CB1411">
              <w:rPr>
                <w:rFonts w:ascii="Verdana" w:hAnsi="Verdana"/>
              </w:rPr>
              <w:t xml:space="preserve">Chair reported </w:t>
            </w:r>
            <w:r w:rsidR="009646EF">
              <w:rPr>
                <w:rFonts w:ascii="Verdana" w:hAnsi="Verdana"/>
              </w:rPr>
              <w:t>on the</w:t>
            </w:r>
            <w:r w:rsidR="00DD2A10">
              <w:rPr>
                <w:rFonts w:ascii="Verdana" w:hAnsi="Verdana"/>
              </w:rPr>
              <w:t xml:space="preserve"> College’s</w:t>
            </w:r>
            <w:r w:rsidR="009646EF">
              <w:rPr>
                <w:rFonts w:ascii="Verdana" w:hAnsi="Verdana"/>
              </w:rPr>
              <w:t xml:space="preserve"> encouraging </w:t>
            </w:r>
            <w:r w:rsidR="00DD2A10">
              <w:rPr>
                <w:rFonts w:ascii="Verdana" w:hAnsi="Verdana"/>
              </w:rPr>
              <w:t xml:space="preserve">progress towards fulfilment of the student enrolment target </w:t>
            </w:r>
            <w:r w:rsidR="00340AF8">
              <w:rPr>
                <w:rFonts w:ascii="Verdana" w:hAnsi="Verdana"/>
              </w:rPr>
              <w:t xml:space="preserve">for </w:t>
            </w:r>
            <w:r w:rsidR="00DD2A10">
              <w:rPr>
                <w:rFonts w:ascii="Verdana" w:hAnsi="Verdana"/>
              </w:rPr>
              <w:t>2021</w:t>
            </w:r>
            <w:r w:rsidR="00BB7CBF">
              <w:rPr>
                <w:rFonts w:ascii="Verdana" w:hAnsi="Verdana"/>
              </w:rPr>
              <w:t>, and also on the difficulties in relation to work experience contingent on the public health emergency.</w:t>
            </w:r>
          </w:p>
          <w:p w14:paraId="707648CF" w14:textId="04D42B28" w:rsidR="00BB7CBF" w:rsidRDefault="00BB7CBF" w:rsidP="009C21D7">
            <w:pPr>
              <w:rPr>
                <w:rFonts w:ascii="Verdana" w:hAnsi="Verdana"/>
              </w:rPr>
            </w:pPr>
          </w:p>
          <w:p w14:paraId="305261F7" w14:textId="38FB0485" w:rsidR="00BB7CBF" w:rsidRDefault="00BB7CBF" w:rsidP="009C21D7">
            <w:pPr>
              <w:rPr>
                <w:rFonts w:ascii="Verdana" w:hAnsi="Verdana"/>
              </w:rPr>
            </w:pPr>
            <w:r>
              <w:rPr>
                <w:rFonts w:ascii="Verdana" w:hAnsi="Verdana"/>
              </w:rPr>
              <w:t>In the latter regard, it was noted that the College had been assiduous in providing viable alternatives to work experience through its “employability” programme</w:t>
            </w:r>
            <w:r w:rsidR="00340AF8">
              <w:rPr>
                <w:rFonts w:ascii="Verdana" w:hAnsi="Verdana"/>
              </w:rPr>
              <w:t>,</w:t>
            </w:r>
            <w:r>
              <w:rPr>
                <w:rFonts w:ascii="Verdana" w:hAnsi="Verdana"/>
              </w:rPr>
              <w:t xml:space="preserve"> whilst recognising that they do not entirely substitute for the missing activities.  </w:t>
            </w:r>
          </w:p>
          <w:p w14:paraId="01BB62D9" w14:textId="77777777" w:rsidR="00BB7CBF" w:rsidRDefault="00BB7CBF" w:rsidP="009C21D7">
            <w:pPr>
              <w:rPr>
                <w:rFonts w:ascii="Verdana" w:hAnsi="Verdana"/>
              </w:rPr>
            </w:pPr>
          </w:p>
          <w:p w14:paraId="5A885E0B" w14:textId="177D7846" w:rsidR="00BB7CBF" w:rsidRDefault="00BB7CBF" w:rsidP="009C21D7">
            <w:pPr>
              <w:rPr>
                <w:rFonts w:ascii="Verdana" w:hAnsi="Verdana"/>
              </w:rPr>
            </w:pPr>
            <w:r>
              <w:rPr>
                <w:rFonts w:ascii="Verdana" w:hAnsi="Verdana"/>
              </w:rPr>
              <w:t xml:space="preserve">It was also recognised that, owing to </w:t>
            </w:r>
            <w:r w:rsidR="00340AF8">
              <w:rPr>
                <w:rFonts w:ascii="Verdana" w:hAnsi="Verdana"/>
              </w:rPr>
              <w:t>its</w:t>
            </w:r>
            <w:r>
              <w:rPr>
                <w:rFonts w:ascii="Verdana" w:hAnsi="Verdana"/>
              </w:rPr>
              <w:t xml:space="preserve"> low level in 2020-21, </w:t>
            </w:r>
            <w:r w:rsidR="00340AF8">
              <w:rPr>
                <w:rFonts w:ascii="Verdana" w:hAnsi="Verdana"/>
              </w:rPr>
              <w:t xml:space="preserve">work experience </w:t>
            </w:r>
            <w:r>
              <w:rPr>
                <w:rFonts w:ascii="Verdana" w:hAnsi="Verdana"/>
              </w:rPr>
              <w:t>activity in 2021-22 wo</w:t>
            </w:r>
            <w:r w:rsidR="008B7EB2">
              <w:rPr>
                <w:rFonts w:ascii="Verdana" w:hAnsi="Verdana"/>
              </w:rPr>
              <w:t>u</w:t>
            </w:r>
            <w:r>
              <w:rPr>
                <w:rFonts w:ascii="Verdana" w:hAnsi="Verdana"/>
              </w:rPr>
              <w:t>ld not be properly reflected in the data owing to the lagged effects from the prior year</w:t>
            </w:r>
            <w:r w:rsidR="008B7EB2">
              <w:rPr>
                <w:rFonts w:ascii="Verdana" w:hAnsi="Verdana"/>
              </w:rPr>
              <w:t>, and that it might take the College two years to get back on course.</w:t>
            </w:r>
          </w:p>
          <w:p w14:paraId="26508C26" w14:textId="71F59390" w:rsidR="006222F4" w:rsidRDefault="006222F4" w:rsidP="009646EF">
            <w:pPr>
              <w:rPr>
                <w:b/>
              </w:rPr>
            </w:pPr>
          </w:p>
        </w:tc>
      </w:tr>
      <w:tr w:rsidR="00CB1411" w14:paraId="1C4DE2F7" w14:textId="77777777" w:rsidTr="00B263E0">
        <w:tc>
          <w:tcPr>
            <w:tcW w:w="675" w:type="dxa"/>
            <w:shd w:val="clear" w:color="auto" w:fill="auto"/>
            <w:tcMar>
              <w:top w:w="0" w:type="dxa"/>
              <w:left w:w="108" w:type="dxa"/>
              <w:bottom w:w="0" w:type="dxa"/>
              <w:right w:w="108" w:type="dxa"/>
            </w:tcMar>
          </w:tcPr>
          <w:p w14:paraId="488D7494" w14:textId="51134F1B" w:rsidR="00CB1411" w:rsidRDefault="00CB1411" w:rsidP="009C21D7">
            <w:pPr>
              <w:rPr>
                <w:rFonts w:ascii="Verdana" w:hAnsi="Verdana"/>
                <w:b/>
              </w:rPr>
            </w:pPr>
            <w:r>
              <w:rPr>
                <w:rFonts w:ascii="Verdana" w:hAnsi="Verdana"/>
                <w:b/>
              </w:rPr>
              <w:t>10</w:t>
            </w:r>
          </w:p>
        </w:tc>
        <w:tc>
          <w:tcPr>
            <w:tcW w:w="8789" w:type="dxa"/>
            <w:shd w:val="clear" w:color="auto" w:fill="auto"/>
            <w:tcMar>
              <w:top w:w="0" w:type="dxa"/>
              <w:left w:w="108" w:type="dxa"/>
              <w:bottom w:w="0" w:type="dxa"/>
              <w:right w:w="108" w:type="dxa"/>
            </w:tcMar>
          </w:tcPr>
          <w:p w14:paraId="50A85D1A" w14:textId="77777777" w:rsidR="00CB1411" w:rsidRDefault="00CB1411" w:rsidP="00CB1411">
            <w:pPr>
              <w:rPr>
                <w:rFonts w:ascii="Verdana" w:hAnsi="Verdana"/>
                <w:b/>
              </w:rPr>
            </w:pPr>
            <w:r>
              <w:rPr>
                <w:rFonts w:ascii="Verdana" w:hAnsi="Verdana"/>
                <w:b/>
              </w:rPr>
              <w:t xml:space="preserve">Report of the </w:t>
            </w:r>
            <w:r w:rsidRPr="00134CB7">
              <w:rPr>
                <w:rFonts w:ascii="Verdana" w:hAnsi="Verdana"/>
                <w:b/>
              </w:rPr>
              <w:t>Quality and Performance Committee:</w:t>
            </w:r>
            <w:r>
              <w:rPr>
                <w:rFonts w:ascii="Verdana" w:hAnsi="Verdana"/>
                <w:b/>
              </w:rPr>
              <w:t xml:space="preserve">  Meeting held on 8 June 2021</w:t>
            </w:r>
          </w:p>
          <w:p w14:paraId="4B0DCAEB" w14:textId="77777777" w:rsidR="00CB1411" w:rsidRDefault="00CB1411" w:rsidP="00CB1411">
            <w:pPr>
              <w:rPr>
                <w:rFonts w:ascii="Verdana" w:hAnsi="Verdana"/>
                <w:b/>
              </w:rPr>
            </w:pPr>
          </w:p>
          <w:p w14:paraId="6B2E6B31" w14:textId="77777777" w:rsidR="00CB1411" w:rsidRDefault="00CB1411" w:rsidP="00CB1411">
            <w:pPr>
              <w:rPr>
                <w:rFonts w:ascii="Verdana" w:hAnsi="Verdana"/>
              </w:rPr>
            </w:pPr>
            <w:r w:rsidRPr="00A30799">
              <w:rPr>
                <w:rFonts w:ascii="Verdana" w:hAnsi="Verdana"/>
              </w:rPr>
              <w:t xml:space="preserve">The </w:t>
            </w:r>
            <w:r>
              <w:rPr>
                <w:rFonts w:ascii="Verdana" w:hAnsi="Verdana"/>
              </w:rPr>
              <w:t xml:space="preserve">draft </w:t>
            </w:r>
            <w:r w:rsidRPr="00A30799">
              <w:rPr>
                <w:rFonts w:ascii="Verdana" w:hAnsi="Verdana"/>
              </w:rPr>
              <w:t>minutes of the above meeting</w:t>
            </w:r>
            <w:r>
              <w:rPr>
                <w:rFonts w:ascii="Verdana" w:hAnsi="Verdana"/>
              </w:rPr>
              <w:t xml:space="preserve">, approved by the Committee Chair for circulation, </w:t>
            </w:r>
            <w:r w:rsidRPr="00A30799">
              <w:rPr>
                <w:rFonts w:ascii="Verdana" w:hAnsi="Verdana"/>
              </w:rPr>
              <w:t>were received and noted.</w:t>
            </w:r>
            <w:r>
              <w:rPr>
                <w:rFonts w:ascii="Verdana" w:hAnsi="Verdana"/>
              </w:rPr>
              <w:t xml:space="preserve">  </w:t>
            </w:r>
          </w:p>
          <w:p w14:paraId="6ED31E20" w14:textId="77777777" w:rsidR="00CB1411" w:rsidRDefault="00CB1411" w:rsidP="00CB1411">
            <w:pPr>
              <w:pStyle w:val="NoSpacing"/>
              <w:rPr>
                <w:bCs/>
              </w:rPr>
            </w:pPr>
          </w:p>
          <w:p w14:paraId="34379E0C" w14:textId="6B7C1492" w:rsidR="00CB1411" w:rsidRDefault="008B7EB2" w:rsidP="00CB1411">
            <w:pPr>
              <w:pStyle w:val="NoSpacing"/>
              <w:rPr>
                <w:bCs/>
              </w:rPr>
            </w:pPr>
            <w:r>
              <w:rPr>
                <w:bCs/>
              </w:rPr>
              <w:t>The Committee Chair reported on the arrangements, in the absence of external examinations, for summer assessments, and on progress in implementing the College Improvement and Development Plan 2020-21.</w:t>
            </w:r>
          </w:p>
          <w:p w14:paraId="122E1223" w14:textId="0C7A8E2D" w:rsidR="008B7EB2" w:rsidRDefault="008B7EB2" w:rsidP="00CB1411">
            <w:pPr>
              <w:pStyle w:val="NoSpacing"/>
              <w:rPr>
                <w:bCs/>
              </w:rPr>
            </w:pPr>
          </w:p>
          <w:p w14:paraId="54AD166F" w14:textId="7DEFF368" w:rsidR="008B7EB2" w:rsidRDefault="008B7EB2" w:rsidP="00CB1411">
            <w:pPr>
              <w:pStyle w:val="NoSpacing"/>
              <w:rPr>
                <w:bCs/>
              </w:rPr>
            </w:pPr>
            <w:r>
              <w:rPr>
                <w:bCs/>
              </w:rPr>
              <w:t xml:space="preserve">In response to a question from Stewart Maclean, it was confirmed that the teaching staff retention metric reported under Minute 7 </w:t>
            </w:r>
            <w:r w:rsidR="00F04281">
              <w:rPr>
                <w:bCs/>
              </w:rPr>
              <w:t>should read</w:t>
            </w:r>
            <w:r>
              <w:rPr>
                <w:bCs/>
              </w:rPr>
              <w:t xml:space="preserve"> 19/22 in the current year.</w:t>
            </w:r>
          </w:p>
          <w:p w14:paraId="738281A7" w14:textId="77777777" w:rsidR="00CB1411" w:rsidRDefault="00CB1411" w:rsidP="00CB1411">
            <w:pPr>
              <w:rPr>
                <w:rFonts w:ascii="Verdana" w:hAnsi="Verdana"/>
                <w:b/>
              </w:rPr>
            </w:pPr>
          </w:p>
          <w:p w14:paraId="63AE352D" w14:textId="77777777" w:rsidR="002725AF" w:rsidRDefault="002725AF" w:rsidP="00CB1411">
            <w:pPr>
              <w:rPr>
                <w:rFonts w:ascii="Verdana" w:hAnsi="Verdana"/>
                <w:b/>
              </w:rPr>
            </w:pPr>
          </w:p>
          <w:p w14:paraId="4A56A24F" w14:textId="77777777" w:rsidR="002725AF" w:rsidRDefault="002725AF" w:rsidP="00CB1411">
            <w:pPr>
              <w:rPr>
                <w:rFonts w:ascii="Verdana" w:hAnsi="Verdana"/>
                <w:b/>
              </w:rPr>
            </w:pPr>
          </w:p>
          <w:p w14:paraId="50934DE3" w14:textId="77777777" w:rsidR="002725AF" w:rsidRDefault="002725AF" w:rsidP="00CB1411">
            <w:pPr>
              <w:rPr>
                <w:rFonts w:ascii="Verdana" w:hAnsi="Verdana"/>
                <w:b/>
              </w:rPr>
            </w:pPr>
          </w:p>
          <w:p w14:paraId="6922FF85" w14:textId="77777777" w:rsidR="002725AF" w:rsidRDefault="002725AF" w:rsidP="00CB1411">
            <w:pPr>
              <w:rPr>
                <w:rFonts w:ascii="Verdana" w:hAnsi="Verdana"/>
                <w:b/>
              </w:rPr>
            </w:pPr>
          </w:p>
          <w:p w14:paraId="7A42CE5A" w14:textId="77777777" w:rsidR="002725AF" w:rsidRDefault="002725AF" w:rsidP="00CB1411">
            <w:pPr>
              <w:rPr>
                <w:rFonts w:ascii="Verdana" w:hAnsi="Verdana"/>
                <w:b/>
              </w:rPr>
            </w:pPr>
          </w:p>
          <w:p w14:paraId="630B26F5" w14:textId="77777777" w:rsidR="002725AF" w:rsidRDefault="002725AF" w:rsidP="00CB1411">
            <w:pPr>
              <w:rPr>
                <w:rFonts w:ascii="Verdana" w:hAnsi="Verdana"/>
                <w:b/>
              </w:rPr>
            </w:pPr>
          </w:p>
          <w:p w14:paraId="333D3509" w14:textId="77777777" w:rsidR="002725AF" w:rsidRDefault="002725AF" w:rsidP="00CB1411">
            <w:pPr>
              <w:rPr>
                <w:rFonts w:ascii="Verdana" w:hAnsi="Verdana"/>
                <w:b/>
              </w:rPr>
            </w:pPr>
          </w:p>
          <w:p w14:paraId="75BE303F" w14:textId="10B00260" w:rsidR="002725AF" w:rsidRDefault="002725AF" w:rsidP="00CB1411">
            <w:pPr>
              <w:rPr>
                <w:rFonts w:ascii="Verdana" w:hAnsi="Verdana"/>
                <w:b/>
              </w:rPr>
            </w:pPr>
          </w:p>
        </w:tc>
      </w:tr>
      <w:tr w:rsidR="00CB1411" w14:paraId="05ED97BE" w14:textId="77777777" w:rsidTr="00B263E0">
        <w:tc>
          <w:tcPr>
            <w:tcW w:w="675" w:type="dxa"/>
            <w:shd w:val="clear" w:color="auto" w:fill="auto"/>
            <w:tcMar>
              <w:top w:w="0" w:type="dxa"/>
              <w:left w:w="108" w:type="dxa"/>
              <w:bottom w:w="0" w:type="dxa"/>
              <w:right w:w="108" w:type="dxa"/>
            </w:tcMar>
          </w:tcPr>
          <w:p w14:paraId="27F56E45" w14:textId="5C46FF90" w:rsidR="00CB1411" w:rsidRDefault="00CB1411" w:rsidP="009C21D7">
            <w:pPr>
              <w:rPr>
                <w:rFonts w:ascii="Verdana" w:hAnsi="Verdana"/>
                <w:b/>
              </w:rPr>
            </w:pPr>
            <w:r>
              <w:rPr>
                <w:rFonts w:ascii="Verdana" w:hAnsi="Verdana"/>
                <w:b/>
              </w:rPr>
              <w:lastRenderedPageBreak/>
              <w:t>11</w:t>
            </w:r>
          </w:p>
        </w:tc>
        <w:tc>
          <w:tcPr>
            <w:tcW w:w="8789" w:type="dxa"/>
            <w:shd w:val="clear" w:color="auto" w:fill="auto"/>
            <w:tcMar>
              <w:top w:w="0" w:type="dxa"/>
              <w:left w:w="108" w:type="dxa"/>
              <w:bottom w:w="0" w:type="dxa"/>
              <w:right w:w="108" w:type="dxa"/>
            </w:tcMar>
          </w:tcPr>
          <w:p w14:paraId="33E3C014" w14:textId="77777777" w:rsidR="00CB1411" w:rsidRDefault="00CB1411" w:rsidP="00CB1411">
            <w:pPr>
              <w:pStyle w:val="NoSpacing"/>
              <w:rPr>
                <w:b/>
              </w:rPr>
            </w:pPr>
            <w:r>
              <w:rPr>
                <w:b/>
              </w:rPr>
              <w:t>Annual Estimates of Income and Expenditure 2021-22 &amp; Two-Year Financial Forecast 2021-23</w:t>
            </w:r>
          </w:p>
          <w:p w14:paraId="6D132D0C" w14:textId="77777777" w:rsidR="00CB1411" w:rsidRDefault="00CB1411" w:rsidP="00CB1411">
            <w:pPr>
              <w:rPr>
                <w:rFonts w:ascii="Verdana" w:hAnsi="Verdana"/>
                <w:b/>
              </w:rPr>
            </w:pPr>
          </w:p>
          <w:p w14:paraId="1DD176DF" w14:textId="27761A2D" w:rsidR="0021570E" w:rsidRDefault="0021570E" w:rsidP="00CB1411">
            <w:pPr>
              <w:rPr>
                <w:rFonts w:ascii="Verdana" w:hAnsi="Verdana"/>
                <w:bCs/>
              </w:rPr>
            </w:pPr>
            <w:r>
              <w:rPr>
                <w:rFonts w:ascii="Verdana" w:hAnsi="Verdana"/>
                <w:bCs/>
              </w:rPr>
              <w:t>Draft annual estimates of income and expenditure 2021-22, together with a two-year financial forecast for 2021-23, prepared by the Senior Director: Finance and Resources, were received.</w:t>
            </w:r>
          </w:p>
          <w:p w14:paraId="6CB40463" w14:textId="77777777" w:rsidR="0021570E" w:rsidRDefault="0021570E" w:rsidP="00CB1411">
            <w:pPr>
              <w:rPr>
                <w:rFonts w:ascii="Verdana" w:hAnsi="Verdana"/>
                <w:bCs/>
              </w:rPr>
            </w:pPr>
          </w:p>
          <w:p w14:paraId="22369DFA" w14:textId="2926371C" w:rsidR="00CB1411" w:rsidRDefault="00CB1411" w:rsidP="00CB1411">
            <w:pPr>
              <w:rPr>
                <w:rFonts w:ascii="Verdana" w:hAnsi="Verdana"/>
                <w:bCs/>
              </w:rPr>
            </w:pPr>
            <w:r w:rsidRPr="00CB1411">
              <w:rPr>
                <w:rFonts w:ascii="Verdana" w:hAnsi="Verdana"/>
                <w:bCs/>
              </w:rPr>
              <w:t>It was noted that</w:t>
            </w:r>
            <w:r>
              <w:rPr>
                <w:rFonts w:ascii="Verdana" w:hAnsi="Verdana"/>
                <w:bCs/>
              </w:rPr>
              <w:t>, because</w:t>
            </w:r>
            <w:r w:rsidR="00F04281">
              <w:rPr>
                <w:rFonts w:ascii="Verdana" w:hAnsi="Verdana"/>
                <w:bCs/>
              </w:rPr>
              <w:t xml:space="preserve"> it had</w:t>
            </w:r>
            <w:r w:rsidR="00340AF8">
              <w:rPr>
                <w:rFonts w:ascii="Verdana" w:hAnsi="Verdana"/>
                <w:bCs/>
              </w:rPr>
              <w:t xml:space="preserve"> not</w:t>
            </w:r>
            <w:r w:rsidR="00F04281">
              <w:rPr>
                <w:rFonts w:ascii="Verdana" w:hAnsi="Verdana"/>
                <w:bCs/>
              </w:rPr>
              <w:t xml:space="preserve"> proved possible to hold</w:t>
            </w:r>
            <w:r>
              <w:rPr>
                <w:rFonts w:ascii="Verdana" w:hAnsi="Verdana"/>
                <w:bCs/>
              </w:rPr>
              <w:t xml:space="preserve"> a meeting of the Resources Committee in the current term, the business was being </w:t>
            </w:r>
            <w:r w:rsidR="0021570E">
              <w:rPr>
                <w:rFonts w:ascii="Verdana" w:hAnsi="Verdana"/>
                <w:bCs/>
              </w:rPr>
              <w:t>considered</w:t>
            </w:r>
            <w:r>
              <w:rPr>
                <w:rFonts w:ascii="Verdana" w:hAnsi="Verdana"/>
                <w:bCs/>
              </w:rPr>
              <w:t xml:space="preserve"> </w:t>
            </w:r>
            <w:r>
              <w:rPr>
                <w:rFonts w:ascii="Verdana" w:hAnsi="Verdana"/>
                <w:bCs/>
                <w:i/>
                <w:iCs/>
              </w:rPr>
              <w:t xml:space="preserve">ab initio </w:t>
            </w:r>
            <w:r>
              <w:rPr>
                <w:rFonts w:ascii="Verdana" w:hAnsi="Verdana"/>
                <w:bCs/>
              </w:rPr>
              <w:t>by the Corporation.</w:t>
            </w:r>
            <w:r w:rsidR="00F04281">
              <w:rPr>
                <w:rFonts w:ascii="Verdana" w:hAnsi="Verdana"/>
                <w:bCs/>
              </w:rPr>
              <w:t xml:space="preserve">  The estimates had been reviewed by the Chair of the Corporation at a meeting with the Principal and the Senior Director: Finance and Resources.</w:t>
            </w:r>
          </w:p>
          <w:p w14:paraId="4154B0E7" w14:textId="73917FBE" w:rsidR="00CB1411" w:rsidRDefault="00CB1411" w:rsidP="00CB1411">
            <w:pPr>
              <w:rPr>
                <w:rFonts w:ascii="Verdana" w:hAnsi="Verdana"/>
                <w:bCs/>
              </w:rPr>
            </w:pPr>
          </w:p>
          <w:p w14:paraId="2FDE7E8E" w14:textId="18838D7E" w:rsidR="0021570E" w:rsidRDefault="0021570E" w:rsidP="00CB1411">
            <w:pPr>
              <w:rPr>
                <w:rFonts w:ascii="Verdana" w:hAnsi="Verdana"/>
                <w:bCs/>
              </w:rPr>
            </w:pPr>
            <w:r>
              <w:rPr>
                <w:rFonts w:ascii="Verdana" w:hAnsi="Verdana"/>
                <w:bCs/>
              </w:rPr>
              <w:t>The following uncertainties</w:t>
            </w:r>
            <w:r w:rsidR="009B3E5E">
              <w:rPr>
                <w:rFonts w:ascii="Verdana" w:hAnsi="Verdana"/>
                <w:bCs/>
              </w:rPr>
              <w:t xml:space="preserve"> and assumptions</w:t>
            </w:r>
            <w:r>
              <w:rPr>
                <w:rFonts w:ascii="Verdana" w:hAnsi="Verdana"/>
                <w:bCs/>
              </w:rPr>
              <w:t xml:space="preserve"> attending the estimates and forecast were reported, namely that:</w:t>
            </w:r>
          </w:p>
          <w:p w14:paraId="70EE480B" w14:textId="004EBB3F" w:rsidR="0021570E" w:rsidRDefault="0021570E" w:rsidP="00CB1411">
            <w:pPr>
              <w:rPr>
                <w:rFonts w:ascii="Verdana" w:hAnsi="Verdana"/>
                <w:bCs/>
              </w:rPr>
            </w:pPr>
          </w:p>
          <w:p w14:paraId="67720D11" w14:textId="4146C50C" w:rsidR="0021570E" w:rsidRPr="00675C0F" w:rsidRDefault="0021570E" w:rsidP="00CB1411">
            <w:pPr>
              <w:rPr>
                <w:rFonts w:ascii="Verdana" w:hAnsi="Verdana" w:cs="Arial"/>
                <w:i/>
                <w:iCs/>
              </w:rPr>
            </w:pPr>
            <w:r w:rsidRPr="00675C0F">
              <w:rPr>
                <w:rFonts w:ascii="Verdana" w:hAnsi="Verdana" w:cs="Arial"/>
                <w:i/>
                <w:iCs/>
              </w:rPr>
              <w:t>the 16-19 Tuition Fund (to aid with COVID-19 recovery for affected students) has not been allocated yet – as the overall grant is at the same level as 2020/21 it has been assumed to be reasonable that in both forecast years it will continue at the current level for the College;</w:t>
            </w:r>
          </w:p>
          <w:p w14:paraId="53022D28" w14:textId="158B4288" w:rsidR="0021570E" w:rsidRPr="00675C0F" w:rsidRDefault="0021570E" w:rsidP="00CB1411">
            <w:pPr>
              <w:rPr>
                <w:rFonts w:ascii="Verdana" w:hAnsi="Verdana" w:cs="Arial"/>
                <w:i/>
                <w:iCs/>
              </w:rPr>
            </w:pPr>
          </w:p>
          <w:p w14:paraId="1A841D92" w14:textId="6EA5195B" w:rsidR="0021570E" w:rsidRPr="00675C0F" w:rsidRDefault="0021570E" w:rsidP="00CB1411">
            <w:pPr>
              <w:rPr>
                <w:rFonts w:ascii="Verdana" w:hAnsi="Verdana" w:cs="Arial"/>
                <w:i/>
                <w:iCs/>
              </w:rPr>
            </w:pPr>
            <w:r w:rsidRPr="00675C0F">
              <w:rPr>
                <w:rFonts w:ascii="Verdana" w:hAnsi="Verdana" w:cs="Arial"/>
                <w:i/>
                <w:iCs/>
              </w:rPr>
              <w:t xml:space="preserve">mainstream funding is due for a review by the new government - the economic uncertainty caused by the </w:t>
            </w:r>
            <w:r w:rsidR="00675C0F">
              <w:rPr>
                <w:rFonts w:ascii="Verdana" w:hAnsi="Verdana" w:cs="Arial"/>
                <w:i/>
                <w:iCs/>
              </w:rPr>
              <w:t>public health</w:t>
            </w:r>
            <w:r w:rsidRPr="00675C0F">
              <w:rPr>
                <w:rFonts w:ascii="Verdana" w:hAnsi="Verdana" w:cs="Arial"/>
                <w:i/>
                <w:iCs/>
              </w:rPr>
              <w:t xml:space="preserve"> crisis means increased funding may be less likely</w:t>
            </w:r>
            <w:r w:rsidR="00675C0F">
              <w:rPr>
                <w:rFonts w:ascii="Verdana" w:hAnsi="Verdana" w:cs="Arial"/>
                <w:i/>
                <w:iCs/>
              </w:rPr>
              <w:t>,</w:t>
            </w:r>
            <w:r w:rsidRPr="00675C0F">
              <w:rPr>
                <w:rFonts w:ascii="Verdana" w:hAnsi="Verdana" w:cs="Arial"/>
                <w:i/>
                <w:iCs/>
              </w:rPr>
              <w:t xml:space="preserve"> and the date of the review is uncertain;</w:t>
            </w:r>
          </w:p>
          <w:p w14:paraId="0FAB6774" w14:textId="3DAC84BD" w:rsidR="0021570E" w:rsidRPr="00675C0F" w:rsidRDefault="0021570E" w:rsidP="00CB1411">
            <w:pPr>
              <w:rPr>
                <w:rFonts w:ascii="Verdana" w:hAnsi="Verdana"/>
                <w:bCs/>
                <w:i/>
                <w:iCs/>
              </w:rPr>
            </w:pPr>
          </w:p>
          <w:p w14:paraId="013726FD" w14:textId="4D01749E" w:rsidR="0021570E" w:rsidRPr="00675C0F" w:rsidRDefault="0021570E" w:rsidP="0021570E">
            <w:pPr>
              <w:rPr>
                <w:rFonts w:ascii="Verdana" w:hAnsi="Verdana" w:cs="Arial"/>
                <w:i/>
                <w:iCs/>
              </w:rPr>
            </w:pPr>
            <w:r w:rsidRPr="00675C0F">
              <w:rPr>
                <w:rFonts w:ascii="Verdana" w:hAnsi="Verdana" w:cs="Arial"/>
                <w:i/>
                <w:iCs/>
              </w:rPr>
              <w:t xml:space="preserve">the Teachers Pensions grant has not been confirmed beyond 31 July 2022; but the budget assumes that </w:t>
            </w:r>
            <w:r w:rsidR="000C225A">
              <w:rPr>
                <w:rFonts w:ascii="Verdana" w:hAnsi="Verdana" w:cs="Arial"/>
                <w:i/>
                <w:iCs/>
              </w:rPr>
              <w:t>it</w:t>
            </w:r>
            <w:r w:rsidRPr="00675C0F">
              <w:rPr>
                <w:rFonts w:ascii="Verdana" w:hAnsi="Verdana" w:cs="Arial"/>
                <w:i/>
                <w:iCs/>
              </w:rPr>
              <w:t xml:space="preserve"> will continue until the comprehensive review of mainstream funding</w:t>
            </w:r>
            <w:r w:rsidR="000C225A">
              <w:rPr>
                <w:rFonts w:ascii="Verdana" w:hAnsi="Verdana" w:cs="Arial"/>
                <w:i/>
                <w:iCs/>
              </w:rPr>
              <w:t xml:space="preserve"> has been conducted</w:t>
            </w:r>
            <w:r w:rsidRPr="00675C0F">
              <w:rPr>
                <w:rFonts w:ascii="Verdana" w:hAnsi="Verdana" w:cs="Arial"/>
                <w:i/>
                <w:iCs/>
              </w:rPr>
              <w:t>;</w:t>
            </w:r>
          </w:p>
          <w:p w14:paraId="6306596A" w14:textId="05A12608" w:rsidR="0021570E" w:rsidRPr="00675C0F" w:rsidRDefault="0021570E" w:rsidP="0021570E">
            <w:pPr>
              <w:rPr>
                <w:rFonts w:ascii="Verdana" w:hAnsi="Verdana" w:cs="Arial"/>
                <w:i/>
                <w:iCs/>
              </w:rPr>
            </w:pPr>
          </w:p>
          <w:p w14:paraId="123CB150" w14:textId="24AE6162" w:rsidR="0021570E" w:rsidRPr="00675C0F" w:rsidRDefault="0021570E" w:rsidP="0021570E">
            <w:pPr>
              <w:rPr>
                <w:rFonts w:ascii="Verdana" w:hAnsi="Verdana" w:cs="Arial"/>
                <w:i/>
                <w:iCs/>
              </w:rPr>
            </w:pPr>
            <w:r w:rsidRPr="00675C0F">
              <w:rPr>
                <w:rFonts w:ascii="Verdana" w:hAnsi="Verdana" w:cs="Arial"/>
                <w:i/>
                <w:iCs/>
              </w:rPr>
              <w:t xml:space="preserve">pension auto-enrolment remains uncertain </w:t>
            </w:r>
            <w:r w:rsidR="009B3E5E" w:rsidRPr="00675C0F">
              <w:rPr>
                <w:rFonts w:ascii="Verdana" w:hAnsi="Verdana" w:cs="Arial"/>
                <w:i/>
                <w:iCs/>
              </w:rPr>
              <w:t>becaus</w:t>
            </w:r>
            <w:r w:rsidRPr="00675C0F">
              <w:rPr>
                <w:rFonts w:ascii="Verdana" w:hAnsi="Verdana" w:cs="Arial"/>
                <w:i/>
                <w:iCs/>
              </w:rPr>
              <w:t xml:space="preserve">e </w:t>
            </w:r>
            <w:r w:rsidR="009B3E5E" w:rsidRPr="00675C0F">
              <w:rPr>
                <w:rFonts w:ascii="Verdana" w:hAnsi="Verdana" w:cs="Arial"/>
                <w:i/>
                <w:iCs/>
              </w:rPr>
              <w:t>of</w:t>
            </w:r>
            <w:r w:rsidRPr="00675C0F">
              <w:rPr>
                <w:rFonts w:ascii="Verdana" w:hAnsi="Verdana" w:cs="Arial"/>
                <w:i/>
                <w:iCs/>
              </w:rPr>
              <w:t xml:space="preserve"> the high employer contribution rates (23.48% for teachers – the compensatory grant is set at the amount</w:t>
            </w:r>
            <w:r w:rsidR="009B3E5E" w:rsidRPr="00675C0F">
              <w:rPr>
                <w:rFonts w:ascii="Verdana" w:hAnsi="Verdana" w:cs="Arial"/>
                <w:i/>
                <w:iCs/>
              </w:rPr>
              <w:t xml:space="preserve"> applying in</w:t>
            </w:r>
            <w:r w:rsidRPr="00675C0F">
              <w:rPr>
                <w:rFonts w:ascii="Verdana" w:hAnsi="Verdana" w:cs="Arial"/>
                <w:i/>
                <w:iCs/>
              </w:rPr>
              <w:t xml:space="preserve"> the first </w:t>
            </w:r>
            <w:r w:rsidR="009B3E5E" w:rsidRPr="00675C0F">
              <w:rPr>
                <w:rFonts w:ascii="Verdana" w:hAnsi="Verdana" w:cs="Arial"/>
                <w:i/>
                <w:iCs/>
              </w:rPr>
              <w:t>year of its introduction</w:t>
            </w:r>
            <w:r w:rsidRPr="00675C0F">
              <w:rPr>
                <w:rFonts w:ascii="Verdana" w:hAnsi="Verdana" w:cs="Arial"/>
                <w:i/>
                <w:iCs/>
              </w:rPr>
              <w:t xml:space="preserve"> and takes no account of staffing growth or changes in </w:t>
            </w:r>
            <w:r w:rsidR="00675C0F">
              <w:rPr>
                <w:rFonts w:ascii="Verdana" w:hAnsi="Verdana" w:cs="Arial"/>
                <w:i/>
                <w:iCs/>
              </w:rPr>
              <w:t xml:space="preserve">the </w:t>
            </w:r>
            <w:r w:rsidR="009B3E5E" w:rsidRPr="00675C0F">
              <w:rPr>
                <w:rFonts w:ascii="Verdana" w:hAnsi="Verdana" w:cs="Arial"/>
                <w:i/>
                <w:iCs/>
              </w:rPr>
              <w:t>numbers opting</w:t>
            </w:r>
            <w:r w:rsidRPr="00675C0F">
              <w:rPr>
                <w:rFonts w:ascii="Verdana" w:hAnsi="Verdana" w:cs="Arial"/>
                <w:i/>
                <w:iCs/>
              </w:rPr>
              <w:t xml:space="preserve"> in</w:t>
            </w:r>
            <w:r w:rsidR="009B3E5E" w:rsidRPr="00675C0F">
              <w:rPr>
                <w:rFonts w:ascii="Verdana" w:hAnsi="Verdana" w:cs="Arial"/>
                <w:i/>
                <w:iCs/>
              </w:rPr>
              <w:t xml:space="preserve"> – the cost in 2021-22 is estimated at £32,000;</w:t>
            </w:r>
          </w:p>
          <w:p w14:paraId="1EC16A27" w14:textId="7D121EA6" w:rsidR="009B3E5E" w:rsidRDefault="009B3E5E" w:rsidP="0021570E">
            <w:pPr>
              <w:rPr>
                <w:rFonts w:ascii="Arial" w:hAnsi="Arial" w:cs="Arial"/>
              </w:rPr>
            </w:pPr>
          </w:p>
          <w:p w14:paraId="3B2EC742" w14:textId="68943AB4" w:rsidR="009B3E5E" w:rsidRPr="00675C0F" w:rsidRDefault="009B3E5E" w:rsidP="0021570E">
            <w:pPr>
              <w:rPr>
                <w:rFonts w:ascii="Verdana" w:hAnsi="Verdana" w:cs="Arial"/>
                <w:i/>
                <w:iCs/>
              </w:rPr>
            </w:pPr>
            <w:r w:rsidRPr="00675C0F">
              <w:rPr>
                <w:rFonts w:ascii="Verdana" w:hAnsi="Verdana" w:cs="Arial"/>
                <w:i/>
                <w:iCs/>
              </w:rPr>
              <w:t>the Sports Council “Activate Your Future” £55,000 grant ended in 2020-21 and, whilst it is possible that further Sport England funds will be secured in the forecast time period, none has been confirmed – and is therefore not included in the forecast;</w:t>
            </w:r>
          </w:p>
          <w:p w14:paraId="199CF6EA" w14:textId="35B93B96" w:rsidR="009B3E5E" w:rsidRPr="00675C0F" w:rsidRDefault="009B3E5E" w:rsidP="0021570E">
            <w:pPr>
              <w:rPr>
                <w:rFonts w:ascii="Verdana" w:hAnsi="Verdana" w:cs="Arial"/>
                <w:i/>
                <w:iCs/>
              </w:rPr>
            </w:pPr>
          </w:p>
          <w:p w14:paraId="53532E8B" w14:textId="2452D2B5" w:rsidR="009B3E5E" w:rsidRPr="00675C0F" w:rsidRDefault="009B3E5E" w:rsidP="009B3E5E">
            <w:pPr>
              <w:rPr>
                <w:rFonts w:ascii="Verdana" w:hAnsi="Verdana" w:cs="Arial"/>
                <w:i/>
                <w:iCs/>
              </w:rPr>
            </w:pPr>
            <w:r w:rsidRPr="00675C0F">
              <w:rPr>
                <w:rFonts w:ascii="Verdana" w:hAnsi="Verdana" w:cs="Arial"/>
                <w:i/>
                <w:iCs/>
              </w:rPr>
              <w:t>student numbers are assumed to grow to 1,820 at the summer 2021 enrolment, leading to increased revenue for 2022-23;</w:t>
            </w:r>
          </w:p>
          <w:p w14:paraId="186A3DD4" w14:textId="3ED299D9" w:rsidR="009B3E5E" w:rsidRPr="00675C0F" w:rsidRDefault="009B3E5E" w:rsidP="009B3E5E">
            <w:pPr>
              <w:rPr>
                <w:rFonts w:ascii="Verdana" w:hAnsi="Verdana" w:cs="Arial"/>
                <w:i/>
                <w:iCs/>
              </w:rPr>
            </w:pPr>
          </w:p>
          <w:p w14:paraId="3064FDA3" w14:textId="56D0C5F9" w:rsidR="009B3E5E" w:rsidRPr="00675C0F" w:rsidRDefault="009B3E5E" w:rsidP="009B3E5E">
            <w:pPr>
              <w:rPr>
                <w:rFonts w:ascii="Verdana" w:hAnsi="Verdana" w:cs="Arial"/>
                <w:i/>
                <w:iCs/>
              </w:rPr>
            </w:pPr>
            <w:r w:rsidRPr="00675C0F">
              <w:rPr>
                <w:rFonts w:ascii="Verdana" w:hAnsi="Verdana" w:cs="Arial"/>
                <w:i/>
                <w:iCs/>
              </w:rPr>
              <w:t xml:space="preserve">free meals funding had not been included in the forecast even though it is likely </w:t>
            </w:r>
            <w:r w:rsidR="00675C0F">
              <w:rPr>
                <w:rFonts w:ascii="Verdana" w:hAnsi="Verdana" w:cs="Arial"/>
                <w:i/>
                <w:iCs/>
              </w:rPr>
              <w:t>to</w:t>
            </w:r>
            <w:r w:rsidRPr="00675C0F">
              <w:rPr>
                <w:rFonts w:ascii="Verdana" w:hAnsi="Verdana" w:cs="Arial"/>
                <w:i/>
                <w:iCs/>
              </w:rPr>
              <w:t xml:space="preserve"> </w:t>
            </w:r>
            <w:r w:rsidR="00675C0F">
              <w:rPr>
                <w:rFonts w:ascii="Verdana" w:hAnsi="Verdana" w:cs="Arial"/>
                <w:i/>
                <w:iCs/>
              </w:rPr>
              <w:t>yield</w:t>
            </w:r>
            <w:r w:rsidRPr="00675C0F">
              <w:rPr>
                <w:rFonts w:ascii="Verdana" w:hAnsi="Verdana" w:cs="Arial"/>
                <w:i/>
                <w:iCs/>
              </w:rPr>
              <w:t xml:space="preserve"> increased funding;</w:t>
            </w:r>
          </w:p>
          <w:p w14:paraId="0604EA2D" w14:textId="0598751A" w:rsidR="009B3E5E" w:rsidRPr="00675C0F" w:rsidRDefault="009B3E5E" w:rsidP="009B3E5E">
            <w:pPr>
              <w:rPr>
                <w:rFonts w:ascii="Verdana" w:hAnsi="Verdana" w:cs="Arial"/>
                <w:i/>
                <w:iCs/>
              </w:rPr>
            </w:pPr>
          </w:p>
          <w:p w14:paraId="24F3103C" w14:textId="2AD3A765" w:rsidR="009B3E5E" w:rsidRPr="00675C0F" w:rsidRDefault="009B3E5E" w:rsidP="009B3E5E">
            <w:pPr>
              <w:rPr>
                <w:rFonts w:ascii="Verdana" w:hAnsi="Verdana" w:cs="Arial"/>
                <w:i/>
                <w:iCs/>
              </w:rPr>
            </w:pPr>
            <w:r w:rsidRPr="00675C0F">
              <w:rPr>
                <w:rFonts w:ascii="Verdana" w:hAnsi="Verdana" w:cs="Arial"/>
                <w:i/>
                <w:iCs/>
              </w:rPr>
              <w:t>the funding for the Accelerated Learning Pathway is guaranteed at £400,000 for 2021-22, after which the funding will be based on the agreed formula</w:t>
            </w:r>
            <w:r w:rsidR="00675C0F" w:rsidRPr="00675C0F">
              <w:rPr>
                <w:rFonts w:ascii="Verdana" w:hAnsi="Verdana" w:cs="Arial"/>
                <w:i/>
                <w:iCs/>
              </w:rPr>
              <w:t>.</w:t>
            </w:r>
          </w:p>
          <w:p w14:paraId="5041F225" w14:textId="77777777" w:rsidR="00675C0F" w:rsidRPr="00675C0F" w:rsidRDefault="00675C0F" w:rsidP="009B3E5E">
            <w:pPr>
              <w:rPr>
                <w:rFonts w:ascii="Verdana" w:hAnsi="Verdana" w:cs="Arial"/>
              </w:rPr>
            </w:pPr>
          </w:p>
          <w:p w14:paraId="73DD365E" w14:textId="721B91F4" w:rsidR="00675C0F" w:rsidRDefault="00675C0F" w:rsidP="00675C0F">
            <w:pPr>
              <w:rPr>
                <w:rFonts w:ascii="Verdana" w:hAnsi="Verdana" w:cs="Arial"/>
              </w:rPr>
            </w:pPr>
            <w:r w:rsidRPr="00675C0F">
              <w:rPr>
                <w:rFonts w:ascii="Verdana" w:hAnsi="Verdana" w:cs="Arial"/>
              </w:rPr>
              <w:t xml:space="preserve">A surplus of £3,141 had been projected for 2021-22, after allowing for necessary </w:t>
            </w:r>
            <w:r>
              <w:rPr>
                <w:rFonts w:ascii="Verdana" w:hAnsi="Verdana" w:cs="Arial"/>
              </w:rPr>
              <w:t>pandemic recovery</w:t>
            </w:r>
            <w:r w:rsidRPr="00675C0F">
              <w:rPr>
                <w:rFonts w:ascii="Verdana" w:hAnsi="Verdana" w:cs="Arial"/>
              </w:rPr>
              <w:t xml:space="preserve"> costs</w:t>
            </w:r>
            <w:r>
              <w:rPr>
                <w:rFonts w:ascii="Verdana" w:hAnsi="Verdana" w:cs="Arial"/>
              </w:rPr>
              <w:t>, and for 2022-23 a surplus of £19,223</w:t>
            </w:r>
            <w:r w:rsidRPr="00675C0F">
              <w:rPr>
                <w:rFonts w:ascii="Verdana" w:hAnsi="Verdana" w:cs="Arial"/>
              </w:rPr>
              <w:t>.</w:t>
            </w:r>
          </w:p>
          <w:p w14:paraId="26BB2737" w14:textId="74DC4045" w:rsidR="00F04281" w:rsidRDefault="00F04281" w:rsidP="00675C0F">
            <w:pPr>
              <w:rPr>
                <w:rFonts w:ascii="Verdana" w:hAnsi="Verdana" w:cs="Arial"/>
              </w:rPr>
            </w:pPr>
          </w:p>
          <w:p w14:paraId="409A885C" w14:textId="0F64A86E" w:rsidR="00F04281" w:rsidRDefault="00F04281" w:rsidP="00675C0F">
            <w:pPr>
              <w:rPr>
                <w:rFonts w:ascii="Verdana" w:hAnsi="Verdana" w:cs="Arial"/>
              </w:rPr>
            </w:pPr>
            <w:r>
              <w:rPr>
                <w:rFonts w:ascii="Verdana" w:hAnsi="Verdana" w:cs="Arial"/>
              </w:rPr>
              <w:lastRenderedPageBreak/>
              <w:t xml:space="preserve">It was noted that the estimates had been prepared using </w:t>
            </w:r>
            <w:r w:rsidR="000C225A">
              <w:rPr>
                <w:rFonts w:ascii="Verdana" w:hAnsi="Verdana" w:cs="Arial"/>
              </w:rPr>
              <w:t xml:space="preserve">prudent </w:t>
            </w:r>
            <w:r>
              <w:rPr>
                <w:rFonts w:ascii="Verdana" w:hAnsi="Verdana" w:cs="Arial"/>
              </w:rPr>
              <w:t>assumptions, with sources of potential income excluded unless confirmed</w:t>
            </w:r>
            <w:r w:rsidR="000C225A">
              <w:rPr>
                <w:rFonts w:ascii="Verdana" w:hAnsi="Verdana" w:cs="Arial"/>
              </w:rPr>
              <w:t xml:space="preserve"> at least in principle</w:t>
            </w:r>
            <w:r>
              <w:rPr>
                <w:rFonts w:ascii="Verdana" w:hAnsi="Verdana" w:cs="Arial"/>
              </w:rPr>
              <w:t>.</w:t>
            </w:r>
            <w:r w:rsidR="00F6785F">
              <w:rPr>
                <w:rFonts w:ascii="Verdana" w:hAnsi="Verdana" w:cs="Arial"/>
              </w:rPr>
              <w:t xml:space="preserve">  </w:t>
            </w:r>
          </w:p>
          <w:p w14:paraId="17C7FA82" w14:textId="6DE21142" w:rsidR="00F6785F" w:rsidRDefault="00F6785F" w:rsidP="00675C0F">
            <w:pPr>
              <w:rPr>
                <w:rFonts w:ascii="Verdana" w:hAnsi="Verdana" w:cs="Arial"/>
              </w:rPr>
            </w:pPr>
          </w:p>
          <w:p w14:paraId="14BD0E7C" w14:textId="566E03EF" w:rsidR="00F6785F" w:rsidRDefault="00F6785F" w:rsidP="00675C0F">
            <w:pPr>
              <w:rPr>
                <w:rFonts w:ascii="Verdana" w:hAnsi="Verdana" w:cs="Arial"/>
              </w:rPr>
            </w:pPr>
            <w:r>
              <w:rPr>
                <w:rFonts w:ascii="Verdana" w:hAnsi="Verdana" w:cs="Arial"/>
              </w:rPr>
              <w:t>It was noted that the use of College reserves and the raising of additional capital for development of the estate are matters which the Corporation will need to address in the context of its risk appetite.</w:t>
            </w:r>
          </w:p>
          <w:p w14:paraId="017D0681" w14:textId="77777777" w:rsidR="002725AF" w:rsidRDefault="002725AF" w:rsidP="00CB1411">
            <w:pPr>
              <w:rPr>
                <w:rFonts w:ascii="Verdana" w:hAnsi="Verdana"/>
                <w:bCs/>
              </w:rPr>
            </w:pPr>
          </w:p>
          <w:p w14:paraId="0D941B72" w14:textId="6BD47B2C" w:rsidR="00513EE2" w:rsidRPr="00CB1411" w:rsidRDefault="00513EE2" w:rsidP="00CB1411">
            <w:pPr>
              <w:rPr>
                <w:rFonts w:ascii="Verdana" w:hAnsi="Verdana"/>
                <w:bCs/>
              </w:rPr>
            </w:pPr>
            <w:r>
              <w:rPr>
                <w:rFonts w:ascii="Verdana" w:hAnsi="Verdana"/>
                <w:bCs/>
              </w:rPr>
              <w:t>Annual estimates of income and expenditure for the years 2021-23 were noted as:</w:t>
            </w:r>
          </w:p>
        </w:tc>
      </w:tr>
    </w:tbl>
    <w:p w14:paraId="19AB7C66" w14:textId="345F96EF" w:rsidR="009C21D7" w:rsidRDefault="009C21D7" w:rsidP="00701D99">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544"/>
        <w:gridCol w:w="1276"/>
        <w:gridCol w:w="1417"/>
        <w:gridCol w:w="1276"/>
        <w:gridCol w:w="1276"/>
      </w:tblGrid>
      <w:tr w:rsidR="00513EE2" w14:paraId="4AB39B73" w14:textId="77777777" w:rsidTr="00B263E0">
        <w:tc>
          <w:tcPr>
            <w:tcW w:w="675" w:type="dxa"/>
          </w:tcPr>
          <w:p w14:paraId="76EBFA6E" w14:textId="77777777" w:rsidR="00513EE2" w:rsidRDefault="00513EE2" w:rsidP="00513EE2">
            <w:pPr>
              <w:rPr>
                <w:rFonts w:ascii="Verdana" w:hAnsi="Verdana"/>
              </w:rPr>
            </w:pPr>
          </w:p>
        </w:tc>
        <w:tc>
          <w:tcPr>
            <w:tcW w:w="3544" w:type="dxa"/>
          </w:tcPr>
          <w:p w14:paraId="55F33C67" w14:textId="77777777" w:rsidR="00513EE2" w:rsidRDefault="00513EE2" w:rsidP="00513EE2">
            <w:pPr>
              <w:rPr>
                <w:rFonts w:ascii="Verdana" w:hAnsi="Verdana"/>
              </w:rPr>
            </w:pPr>
          </w:p>
        </w:tc>
        <w:tc>
          <w:tcPr>
            <w:tcW w:w="1276" w:type="dxa"/>
          </w:tcPr>
          <w:p w14:paraId="09DCC0A1" w14:textId="77777777" w:rsidR="00513EE2" w:rsidRPr="00513EE2" w:rsidRDefault="00513EE2" w:rsidP="00513EE2">
            <w:pPr>
              <w:jc w:val="right"/>
              <w:rPr>
                <w:rFonts w:ascii="Verdana" w:hAnsi="Verdana"/>
                <w:i/>
                <w:iCs/>
              </w:rPr>
            </w:pPr>
            <w:r w:rsidRPr="00513EE2">
              <w:rPr>
                <w:rFonts w:ascii="Verdana" w:hAnsi="Verdana"/>
                <w:i/>
                <w:iCs/>
              </w:rPr>
              <w:t>2021-22</w:t>
            </w:r>
          </w:p>
          <w:p w14:paraId="389CEF87" w14:textId="77777777" w:rsidR="00513EE2" w:rsidRPr="00513EE2" w:rsidRDefault="00513EE2" w:rsidP="00513EE2">
            <w:pPr>
              <w:jc w:val="right"/>
              <w:rPr>
                <w:rFonts w:ascii="Verdana" w:hAnsi="Verdana"/>
                <w:i/>
                <w:iCs/>
              </w:rPr>
            </w:pPr>
            <w:r w:rsidRPr="00513EE2">
              <w:rPr>
                <w:rFonts w:ascii="Verdana" w:hAnsi="Verdana"/>
                <w:i/>
                <w:iCs/>
              </w:rPr>
              <w:t>(£000)</w:t>
            </w:r>
          </w:p>
          <w:p w14:paraId="6F6131BA" w14:textId="37F7CDBF" w:rsidR="00513EE2" w:rsidRPr="00513EE2" w:rsidRDefault="00513EE2" w:rsidP="00513EE2">
            <w:pPr>
              <w:jc w:val="right"/>
              <w:rPr>
                <w:rFonts w:ascii="Verdana" w:hAnsi="Verdana"/>
                <w:i/>
                <w:iCs/>
              </w:rPr>
            </w:pPr>
          </w:p>
        </w:tc>
        <w:tc>
          <w:tcPr>
            <w:tcW w:w="1417" w:type="dxa"/>
          </w:tcPr>
          <w:p w14:paraId="758DFF81" w14:textId="77777777" w:rsidR="00513EE2" w:rsidRPr="00513EE2" w:rsidRDefault="00513EE2" w:rsidP="00513EE2">
            <w:pPr>
              <w:jc w:val="right"/>
              <w:rPr>
                <w:rFonts w:ascii="Verdana" w:hAnsi="Verdana"/>
                <w:i/>
                <w:iCs/>
              </w:rPr>
            </w:pPr>
            <w:r w:rsidRPr="00513EE2">
              <w:rPr>
                <w:rFonts w:ascii="Verdana" w:hAnsi="Verdana"/>
                <w:i/>
                <w:iCs/>
              </w:rPr>
              <w:t>2021-22</w:t>
            </w:r>
          </w:p>
          <w:p w14:paraId="638FFCA3" w14:textId="77777777" w:rsidR="00513EE2" w:rsidRPr="00513EE2" w:rsidRDefault="00513EE2" w:rsidP="00513EE2">
            <w:pPr>
              <w:jc w:val="right"/>
              <w:rPr>
                <w:rFonts w:ascii="Verdana" w:hAnsi="Verdana"/>
                <w:i/>
                <w:iCs/>
              </w:rPr>
            </w:pPr>
            <w:r w:rsidRPr="00513EE2">
              <w:rPr>
                <w:rFonts w:ascii="Verdana" w:hAnsi="Verdana"/>
                <w:i/>
                <w:iCs/>
              </w:rPr>
              <w:t>(£000)</w:t>
            </w:r>
          </w:p>
          <w:p w14:paraId="7EBDA580" w14:textId="77777777" w:rsidR="00513EE2" w:rsidRPr="00513EE2" w:rsidRDefault="00513EE2" w:rsidP="00513EE2">
            <w:pPr>
              <w:jc w:val="right"/>
              <w:rPr>
                <w:rFonts w:ascii="Verdana" w:hAnsi="Verdana"/>
                <w:i/>
                <w:iCs/>
              </w:rPr>
            </w:pPr>
          </w:p>
        </w:tc>
        <w:tc>
          <w:tcPr>
            <w:tcW w:w="1276" w:type="dxa"/>
          </w:tcPr>
          <w:p w14:paraId="1DC1636D" w14:textId="6DF39537" w:rsidR="00513EE2" w:rsidRPr="00513EE2" w:rsidRDefault="00513EE2" w:rsidP="00513EE2">
            <w:pPr>
              <w:jc w:val="right"/>
              <w:rPr>
                <w:rFonts w:ascii="Verdana" w:hAnsi="Verdana"/>
                <w:i/>
                <w:iCs/>
              </w:rPr>
            </w:pPr>
            <w:r w:rsidRPr="00513EE2">
              <w:rPr>
                <w:rFonts w:ascii="Verdana" w:hAnsi="Verdana"/>
                <w:i/>
                <w:iCs/>
              </w:rPr>
              <w:t>2022-23</w:t>
            </w:r>
          </w:p>
          <w:p w14:paraId="1F1005C5" w14:textId="77777777" w:rsidR="00513EE2" w:rsidRPr="00513EE2" w:rsidRDefault="00513EE2" w:rsidP="00513EE2">
            <w:pPr>
              <w:jc w:val="right"/>
              <w:rPr>
                <w:rFonts w:ascii="Verdana" w:hAnsi="Verdana"/>
                <w:i/>
                <w:iCs/>
              </w:rPr>
            </w:pPr>
            <w:r w:rsidRPr="00513EE2">
              <w:rPr>
                <w:rFonts w:ascii="Verdana" w:hAnsi="Verdana"/>
                <w:i/>
                <w:iCs/>
              </w:rPr>
              <w:t>(£000)</w:t>
            </w:r>
          </w:p>
          <w:p w14:paraId="4C83264C" w14:textId="77777777" w:rsidR="00513EE2" w:rsidRPr="00513EE2" w:rsidRDefault="00513EE2" w:rsidP="00513EE2">
            <w:pPr>
              <w:jc w:val="right"/>
              <w:rPr>
                <w:rFonts w:ascii="Verdana" w:hAnsi="Verdana"/>
                <w:i/>
                <w:iCs/>
              </w:rPr>
            </w:pPr>
          </w:p>
        </w:tc>
        <w:tc>
          <w:tcPr>
            <w:tcW w:w="1276" w:type="dxa"/>
          </w:tcPr>
          <w:p w14:paraId="44BA20BF" w14:textId="37963C8A" w:rsidR="00513EE2" w:rsidRPr="00513EE2" w:rsidRDefault="00513EE2" w:rsidP="00513EE2">
            <w:pPr>
              <w:jc w:val="right"/>
              <w:rPr>
                <w:rFonts w:ascii="Verdana" w:hAnsi="Verdana"/>
                <w:i/>
                <w:iCs/>
              </w:rPr>
            </w:pPr>
            <w:r w:rsidRPr="00513EE2">
              <w:rPr>
                <w:rFonts w:ascii="Verdana" w:hAnsi="Verdana"/>
                <w:i/>
                <w:iCs/>
              </w:rPr>
              <w:t>2022-23</w:t>
            </w:r>
          </w:p>
          <w:p w14:paraId="3387127C" w14:textId="77777777" w:rsidR="00513EE2" w:rsidRPr="00513EE2" w:rsidRDefault="00513EE2" w:rsidP="00513EE2">
            <w:pPr>
              <w:jc w:val="right"/>
              <w:rPr>
                <w:rFonts w:ascii="Verdana" w:hAnsi="Verdana"/>
                <w:i/>
                <w:iCs/>
              </w:rPr>
            </w:pPr>
            <w:r w:rsidRPr="00513EE2">
              <w:rPr>
                <w:rFonts w:ascii="Verdana" w:hAnsi="Verdana"/>
                <w:i/>
                <w:iCs/>
              </w:rPr>
              <w:t>(£000)</w:t>
            </w:r>
          </w:p>
          <w:p w14:paraId="5E6102C1" w14:textId="77777777" w:rsidR="00513EE2" w:rsidRPr="00513EE2" w:rsidRDefault="00513EE2" w:rsidP="00513EE2">
            <w:pPr>
              <w:jc w:val="right"/>
              <w:rPr>
                <w:rFonts w:ascii="Verdana" w:hAnsi="Verdana"/>
                <w:i/>
                <w:iCs/>
              </w:rPr>
            </w:pPr>
          </w:p>
        </w:tc>
      </w:tr>
      <w:tr w:rsidR="00513EE2" w14:paraId="089EDF34" w14:textId="77777777" w:rsidTr="00B263E0">
        <w:tc>
          <w:tcPr>
            <w:tcW w:w="675" w:type="dxa"/>
          </w:tcPr>
          <w:p w14:paraId="675F75D9" w14:textId="77777777" w:rsidR="00513EE2" w:rsidRDefault="00513EE2" w:rsidP="00513EE2">
            <w:pPr>
              <w:rPr>
                <w:rFonts w:ascii="Verdana" w:hAnsi="Verdana"/>
              </w:rPr>
            </w:pPr>
          </w:p>
        </w:tc>
        <w:tc>
          <w:tcPr>
            <w:tcW w:w="3544" w:type="dxa"/>
          </w:tcPr>
          <w:p w14:paraId="5438F553" w14:textId="272268D3" w:rsidR="00513EE2" w:rsidRDefault="00513EE2" w:rsidP="00513EE2">
            <w:pPr>
              <w:rPr>
                <w:rFonts w:ascii="Verdana" w:hAnsi="Verdana"/>
              </w:rPr>
            </w:pPr>
            <w:r>
              <w:rPr>
                <w:rFonts w:ascii="Verdana" w:hAnsi="Verdana"/>
              </w:rPr>
              <w:t>Mainstream Funding</w:t>
            </w:r>
          </w:p>
        </w:tc>
        <w:tc>
          <w:tcPr>
            <w:tcW w:w="1276" w:type="dxa"/>
          </w:tcPr>
          <w:p w14:paraId="282855C8" w14:textId="77777777" w:rsidR="00513EE2" w:rsidRDefault="00513EE2" w:rsidP="00513EE2">
            <w:pPr>
              <w:jc w:val="right"/>
              <w:rPr>
                <w:rFonts w:ascii="Verdana" w:hAnsi="Verdana"/>
              </w:rPr>
            </w:pPr>
          </w:p>
        </w:tc>
        <w:tc>
          <w:tcPr>
            <w:tcW w:w="1417" w:type="dxa"/>
          </w:tcPr>
          <w:p w14:paraId="2E6FB153" w14:textId="0D47353E" w:rsidR="00513EE2" w:rsidRDefault="00513EE2" w:rsidP="00513EE2">
            <w:pPr>
              <w:jc w:val="right"/>
              <w:rPr>
                <w:rFonts w:ascii="Verdana" w:hAnsi="Verdana"/>
              </w:rPr>
            </w:pPr>
            <w:r>
              <w:rPr>
                <w:rFonts w:ascii="Verdana" w:hAnsi="Verdana"/>
              </w:rPr>
              <w:t>9.938</w:t>
            </w:r>
          </w:p>
        </w:tc>
        <w:tc>
          <w:tcPr>
            <w:tcW w:w="1276" w:type="dxa"/>
          </w:tcPr>
          <w:p w14:paraId="0DF28490" w14:textId="77777777" w:rsidR="00513EE2" w:rsidRDefault="00513EE2" w:rsidP="00513EE2">
            <w:pPr>
              <w:jc w:val="right"/>
              <w:rPr>
                <w:rFonts w:ascii="Verdana" w:hAnsi="Verdana"/>
              </w:rPr>
            </w:pPr>
          </w:p>
        </w:tc>
        <w:tc>
          <w:tcPr>
            <w:tcW w:w="1276" w:type="dxa"/>
          </w:tcPr>
          <w:p w14:paraId="2BD43FC3" w14:textId="7B352E18" w:rsidR="00513EE2" w:rsidRDefault="00513EE2" w:rsidP="00513EE2">
            <w:pPr>
              <w:jc w:val="right"/>
              <w:rPr>
                <w:rFonts w:ascii="Verdana" w:hAnsi="Verdana"/>
              </w:rPr>
            </w:pPr>
            <w:r>
              <w:rPr>
                <w:rFonts w:ascii="Verdana" w:hAnsi="Verdana"/>
              </w:rPr>
              <w:t>10,255</w:t>
            </w:r>
          </w:p>
        </w:tc>
      </w:tr>
      <w:tr w:rsidR="00513EE2" w14:paraId="49B2CBA3" w14:textId="77777777" w:rsidTr="00B263E0">
        <w:tc>
          <w:tcPr>
            <w:tcW w:w="675" w:type="dxa"/>
          </w:tcPr>
          <w:p w14:paraId="51E58CAE" w14:textId="77777777" w:rsidR="00513EE2" w:rsidRDefault="00513EE2" w:rsidP="00513EE2">
            <w:pPr>
              <w:rPr>
                <w:rFonts w:ascii="Verdana" w:hAnsi="Verdana"/>
              </w:rPr>
            </w:pPr>
          </w:p>
        </w:tc>
        <w:tc>
          <w:tcPr>
            <w:tcW w:w="3544" w:type="dxa"/>
          </w:tcPr>
          <w:p w14:paraId="019EE94A" w14:textId="77777777" w:rsidR="00513EE2" w:rsidRDefault="00513EE2" w:rsidP="00513EE2">
            <w:pPr>
              <w:rPr>
                <w:rFonts w:ascii="Verdana" w:hAnsi="Verdana"/>
              </w:rPr>
            </w:pPr>
            <w:r>
              <w:rPr>
                <w:rFonts w:ascii="Verdana" w:hAnsi="Verdana"/>
              </w:rPr>
              <w:t>Other Income</w:t>
            </w:r>
          </w:p>
          <w:p w14:paraId="6E52D14A" w14:textId="1B936BE5" w:rsidR="00513EE2" w:rsidRDefault="00513EE2" w:rsidP="00513EE2">
            <w:pPr>
              <w:rPr>
                <w:rFonts w:ascii="Verdana" w:hAnsi="Verdana"/>
              </w:rPr>
            </w:pPr>
          </w:p>
        </w:tc>
        <w:tc>
          <w:tcPr>
            <w:tcW w:w="1276" w:type="dxa"/>
          </w:tcPr>
          <w:p w14:paraId="7A33FB2A" w14:textId="77777777" w:rsidR="00513EE2" w:rsidRDefault="00513EE2" w:rsidP="00513EE2">
            <w:pPr>
              <w:jc w:val="right"/>
              <w:rPr>
                <w:rFonts w:ascii="Verdana" w:hAnsi="Verdana"/>
              </w:rPr>
            </w:pPr>
          </w:p>
        </w:tc>
        <w:tc>
          <w:tcPr>
            <w:tcW w:w="1417" w:type="dxa"/>
          </w:tcPr>
          <w:p w14:paraId="3737810E" w14:textId="2EE9C9D2" w:rsidR="00513EE2" w:rsidRDefault="00513EE2" w:rsidP="00513EE2">
            <w:pPr>
              <w:jc w:val="right"/>
              <w:rPr>
                <w:rFonts w:ascii="Verdana" w:hAnsi="Verdana"/>
              </w:rPr>
            </w:pPr>
            <w:r>
              <w:rPr>
                <w:rFonts w:ascii="Verdana" w:hAnsi="Verdana"/>
              </w:rPr>
              <w:t>1,459</w:t>
            </w:r>
          </w:p>
        </w:tc>
        <w:tc>
          <w:tcPr>
            <w:tcW w:w="1276" w:type="dxa"/>
          </w:tcPr>
          <w:p w14:paraId="675EC73B" w14:textId="77777777" w:rsidR="00513EE2" w:rsidRDefault="00513EE2" w:rsidP="00513EE2">
            <w:pPr>
              <w:jc w:val="right"/>
              <w:rPr>
                <w:rFonts w:ascii="Verdana" w:hAnsi="Verdana"/>
              </w:rPr>
            </w:pPr>
          </w:p>
        </w:tc>
        <w:tc>
          <w:tcPr>
            <w:tcW w:w="1276" w:type="dxa"/>
          </w:tcPr>
          <w:p w14:paraId="3A0E17C6" w14:textId="69457779" w:rsidR="00513EE2" w:rsidRDefault="00513EE2" w:rsidP="00513EE2">
            <w:pPr>
              <w:jc w:val="right"/>
              <w:rPr>
                <w:rFonts w:ascii="Verdana" w:hAnsi="Verdana"/>
              </w:rPr>
            </w:pPr>
            <w:r>
              <w:rPr>
                <w:rFonts w:ascii="Verdana" w:hAnsi="Verdana"/>
              </w:rPr>
              <w:t>1,432</w:t>
            </w:r>
          </w:p>
        </w:tc>
      </w:tr>
      <w:tr w:rsidR="00513EE2" w14:paraId="5FD5C39E" w14:textId="77777777" w:rsidTr="00B263E0">
        <w:tc>
          <w:tcPr>
            <w:tcW w:w="675" w:type="dxa"/>
          </w:tcPr>
          <w:p w14:paraId="6B3B1BB5" w14:textId="77777777" w:rsidR="00513EE2" w:rsidRDefault="00513EE2" w:rsidP="00513EE2">
            <w:pPr>
              <w:rPr>
                <w:rFonts w:ascii="Verdana" w:hAnsi="Verdana"/>
              </w:rPr>
            </w:pPr>
          </w:p>
        </w:tc>
        <w:tc>
          <w:tcPr>
            <w:tcW w:w="3544" w:type="dxa"/>
          </w:tcPr>
          <w:p w14:paraId="55A2D362" w14:textId="703669E0" w:rsidR="00513EE2" w:rsidRDefault="00513EE2" w:rsidP="00513EE2">
            <w:pPr>
              <w:rPr>
                <w:rFonts w:ascii="Verdana" w:hAnsi="Verdana"/>
              </w:rPr>
            </w:pPr>
            <w:r>
              <w:rPr>
                <w:rFonts w:ascii="Verdana" w:hAnsi="Verdana"/>
              </w:rPr>
              <w:t>Total Income</w:t>
            </w:r>
          </w:p>
        </w:tc>
        <w:tc>
          <w:tcPr>
            <w:tcW w:w="1276" w:type="dxa"/>
          </w:tcPr>
          <w:p w14:paraId="62942E57" w14:textId="77777777" w:rsidR="00513EE2" w:rsidRDefault="00513EE2" w:rsidP="00513EE2">
            <w:pPr>
              <w:jc w:val="right"/>
              <w:rPr>
                <w:rFonts w:ascii="Verdana" w:hAnsi="Verdana"/>
              </w:rPr>
            </w:pPr>
          </w:p>
        </w:tc>
        <w:tc>
          <w:tcPr>
            <w:tcW w:w="1417" w:type="dxa"/>
          </w:tcPr>
          <w:p w14:paraId="69C2B457" w14:textId="60DE145A" w:rsidR="00513EE2" w:rsidRDefault="00513EE2" w:rsidP="00513EE2">
            <w:pPr>
              <w:jc w:val="right"/>
              <w:rPr>
                <w:rFonts w:ascii="Verdana" w:hAnsi="Verdana"/>
              </w:rPr>
            </w:pPr>
            <w:r>
              <w:rPr>
                <w:rFonts w:ascii="Verdana" w:hAnsi="Verdana"/>
              </w:rPr>
              <w:t>11,397</w:t>
            </w:r>
          </w:p>
        </w:tc>
        <w:tc>
          <w:tcPr>
            <w:tcW w:w="1276" w:type="dxa"/>
          </w:tcPr>
          <w:p w14:paraId="6D8D6DA8" w14:textId="77777777" w:rsidR="00513EE2" w:rsidRDefault="00513EE2" w:rsidP="00513EE2">
            <w:pPr>
              <w:jc w:val="right"/>
              <w:rPr>
                <w:rFonts w:ascii="Verdana" w:hAnsi="Verdana"/>
              </w:rPr>
            </w:pPr>
          </w:p>
        </w:tc>
        <w:tc>
          <w:tcPr>
            <w:tcW w:w="1276" w:type="dxa"/>
          </w:tcPr>
          <w:p w14:paraId="65B4B021" w14:textId="39050A35" w:rsidR="00513EE2" w:rsidRDefault="00513EE2" w:rsidP="00513EE2">
            <w:pPr>
              <w:jc w:val="right"/>
              <w:rPr>
                <w:rFonts w:ascii="Verdana" w:hAnsi="Verdana"/>
              </w:rPr>
            </w:pPr>
            <w:r>
              <w:rPr>
                <w:rFonts w:ascii="Verdana" w:hAnsi="Verdana"/>
              </w:rPr>
              <w:t>11,687</w:t>
            </w:r>
          </w:p>
        </w:tc>
      </w:tr>
      <w:tr w:rsidR="00513EE2" w14:paraId="07CD41E1" w14:textId="77777777" w:rsidTr="00B263E0">
        <w:tc>
          <w:tcPr>
            <w:tcW w:w="675" w:type="dxa"/>
          </w:tcPr>
          <w:p w14:paraId="26BE783D" w14:textId="77777777" w:rsidR="00513EE2" w:rsidRDefault="00513EE2" w:rsidP="00513EE2">
            <w:pPr>
              <w:rPr>
                <w:rFonts w:ascii="Verdana" w:hAnsi="Verdana"/>
              </w:rPr>
            </w:pPr>
          </w:p>
        </w:tc>
        <w:tc>
          <w:tcPr>
            <w:tcW w:w="3544" w:type="dxa"/>
          </w:tcPr>
          <w:p w14:paraId="74178EF4" w14:textId="77777777" w:rsidR="00513EE2" w:rsidRDefault="00513EE2" w:rsidP="00513EE2">
            <w:pPr>
              <w:rPr>
                <w:rFonts w:ascii="Verdana" w:hAnsi="Verdana"/>
              </w:rPr>
            </w:pPr>
          </w:p>
        </w:tc>
        <w:tc>
          <w:tcPr>
            <w:tcW w:w="1276" w:type="dxa"/>
          </w:tcPr>
          <w:p w14:paraId="46D41BD4" w14:textId="77777777" w:rsidR="00513EE2" w:rsidRDefault="00513EE2" w:rsidP="00513EE2">
            <w:pPr>
              <w:jc w:val="right"/>
              <w:rPr>
                <w:rFonts w:ascii="Verdana" w:hAnsi="Verdana"/>
              </w:rPr>
            </w:pPr>
          </w:p>
        </w:tc>
        <w:tc>
          <w:tcPr>
            <w:tcW w:w="1417" w:type="dxa"/>
          </w:tcPr>
          <w:p w14:paraId="523C7127" w14:textId="77777777" w:rsidR="00513EE2" w:rsidRDefault="00513EE2" w:rsidP="00513EE2">
            <w:pPr>
              <w:jc w:val="right"/>
              <w:rPr>
                <w:rFonts w:ascii="Verdana" w:hAnsi="Verdana"/>
              </w:rPr>
            </w:pPr>
          </w:p>
        </w:tc>
        <w:tc>
          <w:tcPr>
            <w:tcW w:w="1276" w:type="dxa"/>
          </w:tcPr>
          <w:p w14:paraId="73CDB68A" w14:textId="77777777" w:rsidR="00513EE2" w:rsidRDefault="00513EE2" w:rsidP="00513EE2">
            <w:pPr>
              <w:jc w:val="right"/>
              <w:rPr>
                <w:rFonts w:ascii="Verdana" w:hAnsi="Verdana"/>
              </w:rPr>
            </w:pPr>
          </w:p>
        </w:tc>
        <w:tc>
          <w:tcPr>
            <w:tcW w:w="1276" w:type="dxa"/>
          </w:tcPr>
          <w:p w14:paraId="35E0B003" w14:textId="77777777" w:rsidR="00513EE2" w:rsidRDefault="00513EE2" w:rsidP="00513EE2">
            <w:pPr>
              <w:jc w:val="right"/>
              <w:rPr>
                <w:rFonts w:ascii="Verdana" w:hAnsi="Verdana"/>
              </w:rPr>
            </w:pPr>
          </w:p>
        </w:tc>
      </w:tr>
      <w:tr w:rsidR="00513EE2" w14:paraId="429E33DB" w14:textId="77777777" w:rsidTr="00B263E0">
        <w:tc>
          <w:tcPr>
            <w:tcW w:w="675" w:type="dxa"/>
          </w:tcPr>
          <w:p w14:paraId="6864FF98" w14:textId="77777777" w:rsidR="00513EE2" w:rsidRDefault="00513EE2" w:rsidP="00513EE2">
            <w:pPr>
              <w:rPr>
                <w:rFonts w:ascii="Verdana" w:hAnsi="Verdana"/>
              </w:rPr>
            </w:pPr>
          </w:p>
        </w:tc>
        <w:tc>
          <w:tcPr>
            <w:tcW w:w="3544" w:type="dxa"/>
          </w:tcPr>
          <w:p w14:paraId="05AE6687" w14:textId="7C45D1F5" w:rsidR="00513EE2" w:rsidRDefault="00513EE2" w:rsidP="00513EE2">
            <w:pPr>
              <w:rPr>
                <w:rFonts w:ascii="Verdana" w:hAnsi="Verdana"/>
              </w:rPr>
            </w:pPr>
            <w:r>
              <w:rPr>
                <w:rFonts w:ascii="Verdana" w:hAnsi="Verdana"/>
              </w:rPr>
              <w:t>Pay Costs</w:t>
            </w:r>
          </w:p>
        </w:tc>
        <w:tc>
          <w:tcPr>
            <w:tcW w:w="1276" w:type="dxa"/>
          </w:tcPr>
          <w:p w14:paraId="0EA009A2" w14:textId="4F97A0D5" w:rsidR="00513EE2" w:rsidRDefault="00513EE2" w:rsidP="00513EE2">
            <w:pPr>
              <w:jc w:val="right"/>
              <w:rPr>
                <w:rFonts w:ascii="Verdana" w:hAnsi="Verdana"/>
              </w:rPr>
            </w:pPr>
            <w:r>
              <w:rPr>
                <w:rFonts w:ascii="Verdana" w:hAnsi="Verdana"/>
              </w:rPr>
              <w:t>7,994</w:t>
            </w:r>
          </w:p>
        </w:tc>
        <w:tc>
          <w:tcPr>
            <w:tcW w:w="1417" w:type="dxa"/>
          </w:tcPr>
          <w:p w14:paraId="2C9E555C" w14:textId="77777777" w:rsidR="00513EE2" w:rsidRDefault="00513EE2" w:rsidP="00513EE2">
            <w:pPr>
              <w:jc w:val="right"/>
              <w:rPr>
                <w:rFonts w:ascii="Verdana" w:hAnsi="Verdana"/>
              </w:rPr>
            </w:pPr>
          </w:p>
        </w:tc>
        <w:tc>
          <w:tcPr>
            <w:tcW w:w="1276" w:type="dxa"/>
          </w:tcPr>
          <w:p w14:paraId="513D652A" w14:textId="39CEF360" w:rsidR="00513EE2" w:rsidRDefault="00513EE2" w:rsidP="00513EE2">
            <w:pPr>
              <w:jc w:val="right"/>
              <w:rPr>
                <w:rFonts w:ascii="Verdana" w:hAnsi="Verdana"/>
              </w:rPr>
            </w:pPr>
            <w:r>
              <w:rPr>
                <w:rFonts w:ascii="Verdana" w:hAnsi="Verdana"/>
              </w:rPr>
              <w:t>8,223</w:t>
            </w:r>
          </w:p>
        </w:tc>
        <w:tc>
          <w:tcPr>
            <w:tcW w:w="1276" w:type="dxa"/>
          </w:tcPr>
          <w:p w14:paraId="3B5EE5AF" w14:textId="77777777" w:rsidR="00513EE2" w:rsidRDefault="00513EE2" w:rsidP="00513EE2">
            <w:pPr>
              <w:jc w:val="right"/>
              <w:rPr>
                <w:rFonts w:ascii="Verdana" w:hAnsi="Verdana"/>
              </w:rPr>
            </w:pPr>
          </w:p>
        </w:tc>
      </w:tr>
      <w:tr w:rsidR="00513EE2" w14:paraId="0A803819" w14:textId="77777777" w:rsidTr="00B263E0">
        <w:tc>
          <w:tcPr>
            <w:tcW w:w="675" w:type="dxa"/>
          </w:tcPr>
          <w:p w14:paraId="4A3824C3" w14:textId="77777777" w:rsidR="00513EE2" w:rsidRDefault="00513EE2" w:rsidP="00513EE2">
            <w:pPr>
              <w:rPr>
                <w:rFonts w:ascii="Verdana" w:hAnsi="Verdana"/>
              </w:rPr>
            </w:pPr>
          </w:p>
        </w:tc>
        <w:tc>
          <w:tcPr>
            <w:tcW w:w="3544" w:type="dxa"/>
          </w:tcPr>
          <w:p w14:paraId="66E71C43" w14:textId="01F9C927" w:rsidR="00513EE2" w:rsidRDefault="00513EE2" w:rsidP="00513EE2">
            <w:pPr>
              <w:rPr>
                <w:rFonts w:ascii="Verdana" w:hAnsi="Verdana"/>
              </w:rPr>
            </w:pPr>
            <w:r>
              <w:rPr>
                <w:rFonts w:ascii="Verdana" w:hAnsi="Verdana"/>
              </w:rPr>
              <w:t>Non-Pay Costs</w:t>
            </w:r>
          </w:p>
        </w:tc>
        <w:tc>
          <w:tcPr>
            <w:tcW w:w="1276" w:type="dxa"/>
          </w:tcPr>
          <w:p w14:paraId="4B3424DC" w14:textId="3AA44E5D" w:rsidR="00513EE2" w:rsidRDefault="00513EE2" w:rsidP="00513EE2">
            <w:pPr>
              <w:jc w:val="right"/>
              <w:rPr>
                <w:rFonts w:ascii="Verdana" w:hAnsi="Verdana"/>
              </w:rPr>
            </w:pPr>
            <w:r>
              <w:rPr>
                <w:rFonts w:ascii="Verdana" w:hAnsi="Verdana"/>
              </w:rPr>
              <w:t>2,902</w:t>
            </w:r>
          </w:p>
        </w:tc>
        <w:tc>
          <w:tcPr>
            <w:tcW w:w="1417" w:type="dxa"/>
          </w:tcPr>
          <w:p w14:paraId="2A76E2B1" w14:textId="77777777" w:rsidR="00513EE2" w:rsidRDefault="00513EE2" w:rsidP="00513EE2">
            <w:pPr>
              <w:jc w:val="right"/>
              <w:rPr>
                <w:rFonts w:ascii="Verdana" w:hAnsi="Verdana"/>
              </w:rPr>
            </w:pPr>
          </w:p>
        </w:tc>
        <w:tc>
          <w:tcPr>
            <w:tcW w:w="1276" w:type="dxa"/>
          </w:tcPr>
          <w:p w14:paraId="2DE360D1" w14:textId="25BA9F0C" w:rsidR="00513EE2" w:rsidRDefault="00513EE2" w:rsidP="00513EE2">
            <w:pPr>
              <w:jc w:val="right"/>
              <w:rPr>
                <w:rFonts w:ascii="Verdana" w:hAnsi="Verdana"/>
              </w:rPr>
            </w:pPr>
            <w:r>
              <w:rPr>
                <w:rFonts w:ascii="Verdana" w:hAnsi="Verdana"/>
              </w:rPr>
              <w:t>2.987</w:t>
            </w:r>
          </w:p>
        </w:tc>
        <w:tc>
          <w:tcPr>
            <w:tcW w:w="1276" w:type="dxa"/>
          </w:tcPr>
          <w:p w14:paraId="0705F477" w14:textId="77777777" w:rsidR="00513EE2" w:rsidRDefault="00513EE2" w:rsidP="00513EE2">
            <w:pPr>
              <w:jc w:val="right"/>
              <w:rPr>
                <w:rFonts w:ascii="Verdana" w:hAnsi="Verdana"/>
              </w:rPr>
            </w:pPr>
          </w:p>
        </w:tc>
      </w:tr>
      <w:tr w:rsidR="00513EE2" w14:paraId="33AF3716" w14:textId="77777777" w:rsidTr="00B263E0">
        <w:tc>
          <w:tcPr>
            <w:tcW w:w="675" w:type="dxa"/>
          </w:tcPr>
          <w:p w14:paraId="73F4D9C4" w14:textId="77777777" w:rsidR="00513EE2" w:rsidRDefault="00513EE2" w:rsidP="00513EE2">
            <w:pPr>
              <w:rPr>
                <w:rFonts w:ascii="Verdana" w:hAnsi="Verdana"/>
              </w:rPr>
            </w:pPr>
          </w:p>
        </w:tc>
        <w:tc>
          <w:tcPr>
            <w:tcW w:w="3544" w:type="dxa"/>
          </w:tcPr>
          <w:p w14:paraId="134DB438" w14:textId="77777777" w:rsidR="00513EE2" w:rsidRDefault="00513EE2" w:rsidP="00513EE2">
            <w:pPr>
              <w:rPr>
                <w:rFonts w:ascii="Verdana" w:hAnsi="Verdana"/>
              </w:rPr>
            </w:pPr>
            <w:r>
              <w:rPr>
                <w:rFonts w:ascii="Verdana" w:hAnsi="Verdana"/>
              </w:rPr>
              <w:t>Depreciation</w:t>
            </w:r>
          </w:p>
          <w:p w14:paraId="1353275F" w14:textId="2AD04758" w:rsidR="00513EE2" w:rsidRDefault="00513EE2" w:rsidP="00513EE2">
            <w:pPr>
              <w:rPr>
                <w:rFonts w:ascii="Verdana" w:hAnsi="Verdana"/>
              </w:rPr>
            </w:pPr>
          </w:p>
        </w:tc>
        <w:tc>
          <w:tcPr>
            <w:tcW w:w="1276" w:type="dxa"/>
          </w:tcPr>
          <w:p w14:paraId="781A2207" w14:textId="5CBDC750" w:rsidR="00513EE2" w:rsidRDefault="00513EE2" w:rsidP="00513EE2">
            <w:pPr>
              <w:jc w:val="right"/>
              <w:rPr>
                <w:rFonts w:ascii="Verdana" w:hAnsi="Verdana"/>
              </w:rPr>
            </w:pPr>
            <w:r>
              <w:rPr>
                <w:rFonts w:ascii="Verdana" w:hAnsi="Verdana"/>
              </w:rPr>
              <w:t>498</w:t>
            </w:r>
          </w:p>
        </w:tc>
        <w:tc>
          <w:tcPr>
            <w:tcW w:w="1417" w:type="dxa"/>
          </w:tcPr>
          <w:p w14:paraId="1D98616E" w14:textId="77777777" w:rsidR="00513EE2" w:rsidRDefault="00513EE2" w:rsidP="00513EE2">
            <w:pPr>
              <w:jc w:val="right"/>
              <w:rPr>
                <w:rFonts w:ascii="Verdana" w:hAnsi="Verdana"/>
              </w:rPr>
            </w:pPr>
          </w:p>
        </w:tc>
        <w:tc>
          <w:tcPr>
            <w:tcW w:w="1276" w:type="dxa"/>
          </w:tcPr>
          <w:p w14:paraId="79DE683D" w14:textId="72E505A2" w:rsidR="00513EE2" w:rsidRDefault="00513EE2" w:rsidP="00513EE2">
            <w:pPr>
              <w:jc w:val="right"/>
              <w:rPr>
                <w:rFonts w:ascii="Verdana" w:hAnsi="Verdana"/>
              </w:rPr>
            </w:pPr>
            <w:r>
              <w:rPr>
                <w:rFonts w:ascii="Verdana" w:hAnsi="Verdana"/>
              </w:rPr>
              <w:t>458</w:t>
            </w:r>
          </w:p>
        </w:tc>
        <w:tc>
          <w:tcPr>
            <w:tcW w:w="1276" w:type="dxa"/>
          </w:tcPr>
          <w:p w14:paraId="6451DD9A" w14:textId="77777777" w:rsidR="00513EE2" w:rsidRDefault="00513EE2" w:rsidP="00513EE2">
            <w:pPr>
              <w:jc w:val="right"/>
              <w:rPr>
                <w:rFonts w:ascii="Verdana" w:hAnsi="Verdana"/>
              </w:rPr>
            </w:pPr>
          </w:p>
        </w:tc>
      </w:tr>
      <w:tr w:rsidR="00513EE2" w14:paraId="492C1785" w14:textId="77777777" w:rsidTr="00B263E0">
        <w:tc>
          <w:tcPr>
            <w:tcW w:w="675" w:type="dxa"/>
          </w:tcPr>
          <w:p w14:paraId="0B82343E" w14:textId="77777777" w:rsidR="00513EE2" w:rsidRDefault="00513EE2" w:rsidP="00513EE2">
            <w:pPr>
              <w:rPr>
                <w:rFonts w:ascii="Verdana" w:hAnsi="Verdana"/>
              </w:rPr>
            </w:pPr>
          </w:p>
        </w:tc>
        <w:tc>
          <w:tcPr>
            <w:tcW w:w="3544" w:type="dxa"/>
          </w:tcPr>
          <w:p w14:paraId="63D887F6" w14:textId="77777777" w:rsidR="00513EE2" w:rsidRDefault="00513EE2" w:rsidP="00513EE2">
            <w:pPr>
              <w:rPr>
                <w:rFonts w:ascii="Verdana" w:hAnsi="Verdana"/>
              </w:rPr>
            </w:pPr>
            <w:r>
              <w:rPr>
                <w:rFonts w:ascii="Verdana" w:hAnsi="Verdana"/>
              </w:rPr>
              <w:t>Total Expenditure</w:t>
            </w:r>
          </w:p>
          <w:p w14:paraId="1D1AE7FF" w14:textId="27077321" w:rsidR="00513EE2" w:rsidRDefault="00513EE2" w:rsidP="00513EE2">
            <w:pPr>
              <w:rPr>
                <w:rFonts w:ascii="Verdana" w:hAnsi="Verdana"/>
              </w:rPr>
            </w:pPr>
          </w:p>
        </w:tc>
        <w:tc>
          <w:tcPr>
            <w:tcW w:w="1276" w:type="dxa"/>
          </w:tcPr>
          <w:p w14:paraId="2C42E154" w14:textId="77777777" w:rsidR="00513EE2" w:rsidRDefault="00513EE2" w:rsidP="00513EE2">
            <w:pPr>
              <w:jc w:val="right"/>
              <w:rPr>
                <w:rFonts w:ascii="Verdana" w:hAnsi="Verdana"/>
              </w:rPr>
            </w:pPr>
          </w:p>
        </w:tc>
        <w:tc>
          <w:tcPr>
            <w:tcW w:w="1417" w:type="dxa"/>
          </w:tcPr>
          <w:p w14:paraId="1CCB1621" w14:textId="46D4DEFD" w:rsidR="00513EE2" w:rsidRDefault="00513EE2" w:rsidP="00513EE2">
            <w:pPr>
              <w:jc w:val="right"/>
              <w:rPr>
                <w:rFonts w:ascii="Verdana" w:hAnsi="Verdana"/>
              </w:rPr>
            </w:pPr>
            <w:r>
              <w:rPr>
                <w:rFonts w:ascii="Verdana" w:hAnsi="Verdana"/>
              </w:rPr>
              <w:t>11,394</w:t>
            </w:r>
          </w:p>
        </w:tc>
        <w:tc>
          <w:tcPr>
            <w:tcW w:w="1276" w:type="dxa"/>
          </w:tcPr>
          <w:p w14:paraId="361CB5D3" w14:textId="77777777" w:rsidR="00513EE2" w:rsidRDefault="00513EE2" w:rsidP="00513EE2">
            <w:pPr>
              <w:jc w:val="right"/>
              <w:rPr>
                <w:rFonts w:ascii="Verdana" w:hAnsi="Verdana"/>
              </w:rPr>
            </w:pPr>
          </w:p>
        </w:tc>
        <w:tc>
          <w:tcPr>
            <w:tcW w:w="1276" w:type="dxa"/>
          </w:tcPr>
          <w:p w14:paraId="06781E39" w14:textId="0ADA07CD" w:rsidR="00513EE2" w:rsidRDefault="00513EE2" w:rsidP="00513EE2">
            <w:pPr>
              <w:jc w:val="right"/>
              <w:rPr>
                <w:rFonts w:ascii="Verdana" w:hAnsi="Verdana"/>
              </w:rPr>
            </w:pPr>
            <w:r>
              <w:rPr>
                <w:rFonts w:ascii="Verdana" w:hAnsi="Verdana"/>
              </w:rPr>
              <w:t>11,668</w:t>
            </w:r>
          </w:p>
        </w:tc>
      </w:tr>
      <w:tr w:rsidR="00513EE2" w14:paraId="0E2CCE77" w14:textId="77777777" w:rsidTr="00B263E0">
        <w:tc>
          <w:tcPr>
            <w:tcW w:w="675" w:type="dxa"/>
          </w:tcPr>
          <w:p w14:paraId="3B8F269A" w14:textId="77777777" w:rsidR="00513EE2" w:rsidRDefault="00513EE2" w:rsidP="00513EE2">
            <w:pPr>
              <w:rPr>
                <w:rFonts w:ascii="Verdana" w:hAnsi="Verdana"/>
              </w:rPr>
            </w:pPr>
          </w:p>
        </w:tc>
        <w:tc>
          <w:tcPr>
            <w:tcW w:w="3544" w:type="dxa"/>
          </w:tcPr>
          <w:p w14:paraId="7DC8C140" w14:textId="6D6938FC" w:rsidR="00513EE2" w:rsidRDefault="00513EE2" w:rsidP="00513EE2">
            <w:pPr>
              <w:rPr>
                <w:rFonts w:ascii="Verdana" w:hAnsi="Verdana"/>
              </w:rPr>
            </w:pPr>
            <w:r>
              <w:rPr>
                <w:rFonts w:ascii="Verdana" w:hAnsi="Verdana"/>
              </w:rPr>
              <w:t>Surplus</w:t>
            </w:r>
          </w:p>
        </w:tc>
        <w:tc>
          <w:tcPr>
            <w:tcW w:w="1276" w:type="dxa"/>
          </w:tcPr>
          <w:p w14:paraId="19AAB641" w14:textId="77777777" w:rsidR="00513EE2" w:rsidRDefault="00513EE2" w:rsidP="00513EE2">
            <w:pPr>
              <w:jc w:val="right"/>
              <w:rPr>
                <w:rFonts w:ascii="Verdana" w:hAnsi="Verdana"/>
              </w:rPr>
            </w:pPr>
          </w:p>
        </w:tc>
        <w:tc>
          <w:tcPr>
            <w:tcW w:w="1417" w:type="dxa"/>
          </w:tcPr>
          <w:p w14:paraId="451E94C9" w14:textId="6F7B5F55" w:rsidR="00513EE2" w:rsidRDefault="00513EE2" w:rsidP="00513EE2">
            <w:pPr>
              <w:jc w:val="right"/>
              <w:rPr>
                <w:rFonts w:ascii="Verdana" w:hAnsi="Verdana"/>
              </w:rPr>
            </w:pPr>
            <w:r>
              <w:rPr>
                <w:rFonts w:ascii="Verdana" w:hAnsi="Verdana"/>
              </w:rPr>
              <w:t>3</w:t>
            </w:r>
          </w:p>
        </w:tc>
        <w:tc>
          <w:tcPr>
            <w:tcW w:w="1276" w:type="dxa"/>
          </w:tcPr>
          <w:p w14:paraId="413EAD33" w14:textId="77777777" w:rsidR="00513EE2" w:rsidRDefault="00513EE2" w:rsidP="00513EE2">
            <w:pPr>
              <w:jc w:val="right"/>
              <w:rPr>
                <w:rFonts w:ascii="Verdana" w:hAnsi="Verdana"/>
              </w:rPr>
            </w:pPr>
          </w:p>
        </w:tc>
        <w:tc>
          <w:tcPr>
            <w:tcW w:w="1276" w:type="dxa"/>
          </w:tcPr>
          <w:p w14:paraId="1C8750A0" w14:textId="20CC1E9B" w:rsidR="00513EE2" w:rsidRDefault="00513EE2" w:rsidP="00513EE2">
            <w:pPr>
              <w:jc w:val="right"/>
              <w:rPr>
                <w:rFonts w:ascii="Verdana" w:hAnsi="Verdana"/>
              </w:rPr>
            </w:pPr>
            <w:r>
              <w:rPr>
                <w:rFonts w:ascii="Verdana" w:hAnsi="Verdana"/>
              </w:rPr>
              <w:t>19</w:t>
            </w:r>
          </w:p>
        </w:tc>
      </w:tr>
    </w:tbl>
    <w:p w14:paraId="522E2B6F" w14:textId="77777777" w:rsidR="00513EE2" w:rsidRDefault="00513EE2" w:rsidP="00701D99">
      <w:pPr>
        <w:rPr>
          <w:rFonts w:ascii="Verdana" w:hAnsi="Verdana"/>
        </w:rPr>
      </w:pPr>
    </w:p>
    <w:tbl>
      <w:tblPr>
        <w:tblW w:w="9464" w:type="dxa"/>
        <w:tblCellMar>
          <w:left w:w="10" w:type="dxa"/>
          <w:right w:w="10" w:type="dxa"/>
        </w:tblCellMar>
        <w:tblLook w:val="0000" w:firstRow="0" w:lastRow="0" w:firstColumn="0" w:lastColumn="0" w:noHBand="0" w:noVBand="0"/>
      </w:tblPr>
      <w:tblGrid>
        <w:gridCol w:w="675"/>
        <w:gridCol w:w="8789"/>
      </w:tblGrid>
      <w:tr w:rsidR="00250922" w14:paraId="2A99C239" w14:textId="77777777" w:rsidTr="00B263E0">
        <w:tc>
          <w:tcPr>
            <w:tcW w:w="675" w:type="dxa"/>
            <w:shd w:val="clear" w:color="auto" w:fill="auto"/>
            <w:tcMar>
              <w:top w:w="0" w:type="dxa"/>
              <w:left w:w="108" w:type="dxa"/>
              <w:bottom w:w="0" w:type="dxa"/>
              <w:right w:w="108" w:type="dxa"/>
            </w:tcMar>
          </w:tcPr>
          <w:p w14:paraId="19A3FD61" w14:textId="03B10292" w:rsidR="00250922" w:rsidRDefault="00250922" w:rsidP="00F04281">
            <w:pPr>
              <w:rPr>
                <w:rFonts w:ascii="Verdana" w:hAnsi="Verdana"/>
                <w:b/>
              </w:rPr>
            </w:pPr>
          </w:p>
        </w:tc>
        <w:tc>
          <w:tcPr>
            <w:tcW w:w="8789" w:type="dxa"/>
            <w:shd w:val="clear" w:color="auto" w:fill="auto"/>
            <w:tcMar>
              <w:top w:w="0" w:type="dxa"/>
              <w:left w:w="108" w:type="dxa"/>
              <w:bottom w:w="0" w:type="dxa"/>
              <w:right w:w="108" w:type="dxa"/>
            </w:tcMar>
          </w:tcPr>
          <w:p w14:paraId="3926636C" w14:textId="3E1F2EC5" w:rsidR="00250922" w:rsidRDefault="00250922" w:rsidP="00F04281">
            <w:pPr>
              <w:pStyle w:val="NoSpacing"/>
              <w:rPr>
                <w:bCs/>
              </w:rPr>
            </w:pPr>
            <w:r>
              <w:rPr>
                <w:bCs/>
              </w:rPr>
              <w:t xml:space="preserve">In addition to the assumptions rehearsed above, it was noted that pay amounts to </w:t>
            </w:r>
            <w:r w:rsidR="006B6BD1">
              <w:rPr>
                <w:bCs/>
              </w:rPr>
              <w:t xml:space="preserve">a little over </w:t>
            </w:r>
            <w:r>
              <w:rPr>
                <w:bCs/>
              </w:rPr>
              <w:t>70% of income</w:t>
            </w:r>
            <w:r w:rsidR="002725AF">
              <w:rPr>
                <w:bCs/>
              </w:rPr>
              <w:t xml:space="preserve"> (which includes pay related to staff engaged to help the College recover from the effects of the public health emergency)</w:t>
            </w:r>
            <w:r>
              <w:rPr>
                <w:bCs/>
              </w:rPr>
              <w:t>.  A pay rise of 1.5% ha</w:t>
            </w:r>
            <w:r w:rsidR="002725AF">
              <w:rPr>
                <w:bCs/>
              </w:rPr>
              <w:t>d</w:t>
            </w:r>
            <w:r>
              <w:rPr>
                <w:bCs/>
              </w:rPr>
              <w:t xml:space="preserve"> been assumed for both years.</w:t>
            </w:r>
          </w:p>
          <w:p w14:paraId="56DF0E11" w14:textId="77777777" w:rsidR="00250922" w:rsidRDefault="00250922" w:rsidP="00F04281">
            <w:pPr>
              <w:pStyle w:val="NoSpacing"/>
              <w:rPr>
                <w:bCs/>
              </w:rPr>
            </w:pPr>
          </w:p>
          <w:p w14:paraId="4A457214" w14:textId="77777777" w:rsidR="00250922" w:rsidRDefault="00250922" w:rsidP="00F04281">
            <w:pPr>
              <w:pStyle w:val="NoSpacing"/>
              <w:rPr>
                <w:bCs/>
              </w:rPr>
            </w:pPr>
            <w:r>
              <w:rPr>
                <w:bCs/>
              </w:rPr>
              <w:t>It was reported that capital estimates include the full amount of the new access and CCTV system.</w:t>
            </w:r>
          </w:p>
          <w:p w14:paraId="70039A18" w14:textId="77777777" w:rsidR="00250922" w:rsidRDefault="00250922" w:rsidP="00F04281">
            <w:pPr>
              <w:pStyle w:val="NoSpacing"/>
              <w:rPr>
                <w:bCs/>
              </w:rPr>
            </w:pPr>
          </w:p>
          <w:p w14:paraId="7B3CE987" w14:textId="77777777" w:rsidR="00250922" w:rsidRDefault="00250922" w:rsidP="00F04281">
            <w:pPr>
              <w:pStyle w:val="NoSpacing"/>
              <w:rPr>
                <w:bCs/>
              </w:rPr>
            </w:pPr>
            <w:r>
              <w:rPr>
                <w:bCs/>
              </w:rPr>
              <w:t xml:space="preserve">Cash in hand is projected to rise </w:t>
            </w:r>
            <w:r w:rsidR="00F9578C">
              <w:rPr>
                <w:bCs/>
              </w:rPr>
              <w:t>from £1.190 million at 31 July 2020 to £1.493 million at the end of the forecast period in 2023.</w:t>
            </w:r>
          </w:p>
          <w:p w14:paraId="78A58CE7" w14:textId="77777777" w:rsidR="00F9578C" w:rsidRDefault="00F9578C" w:rsidP="00F04281">
            <w:pPr>
              <w:pStyle w:val="NoSpacing"/>
              <w:rPr>
                <w:bCs/>
              </w:rPr>
            </w:pPr>
          </w:p>
          <w:p w14:paraId="79002CFA" w14:textId="58F0329D" w:rsidR="00F9578C" w:rsidRDefault="00F9578C" w:rsidP="00F04281">
            <w:pPr>
              <w:pStyle w:val="NoSpacing"/>
              <w:rPr>
                <w:bCs/>
              </w:rPr>
            </w:pPr>
            <w:r>
              <w:rPr>
                <w:bCs/>
              </w:rPr>
              <w:t>The College is projected to achieve a financial health rating of Good, as calculated by the ESFA, across the</w:t>
            </w:r>
            <w:r w:rsidR="006B6BD1">
              <w:rPr>
                <w:bCs/>
              </w:rPr>
              <w:t xml:space="preserve"> whole of the</w:t>
            </w:r>
            <w:r>
              <w:rPr>
                <w:bCs/>
              </w:rPr>
              <w:t xml:space="preserve"> forecast period.</w:t>
            </w:r>
          </w:p>
          <w:p w14:paraId="6E1ED0C5" w14:textId="77777777" w:rsidR="00F9578C" w:rsidRDefault="00F9578C" w:rsidP="00F04281">
            <w:pPr>
              <w:pStyle w:val="NoSpacing"/>
              <w:rPr>
                <w:bCs/>
              </w:rPr>
            </w:pPr>
          </w:p>
          <w:p w14:paraId="7BD36D76" w14:textId="18120504" w:rsidR="00F9578C" w:rsidRDefault="00F9578C" w:rsidP="00F04281">
            <w:pPr>
              <w:pStyle w:val="NoSpacing"/>
              <w:rPr>
                <w:bCs/>
              </w:rPr>
            </w:pPr>
            <w:r>
              <w:rPr>
                <w:bCs/>
              </w:rPr>
              <w:t>The annual estimates of income and expenditure 2021-22 and the two-year forecast 2021-23 were approved for submission to the ESFA</w:t>
            </w:r>
            <w:r w:rsidR="00F6785F">
              <w:rPr>
                <w:bCs/>
              </w:rPr>
              <w:t>.</w:t>
            </w:r>
          </w:p>
          <w:p w14:paraId="262D11C6" w14:textId="77777777" w:rsidR="00F9578C" w:rsidRDefault="00F9578C" w:rsidP="00F04281">
            <w:pPr>
              <w:pStyle w:val="NoSpacing"/>
              <w:rPr>
                <w:bCs/>
              </w:rPr>
            </w:pPr>
          </w:p>
          <w:p w14:paraId="7FA01E1C" w14:textId="77777777" w:rsidR="006E612A" w:rsidRDefault="006E612A" w:rsidP="00F04281">
            <w:pPr>
              <w:pStyle w:val="NoSpacing"/>
              <w:rPr>
                <w:bCs/>
              </w:rPr>
            </w:pPr>
            <w:r>
              <w:rPr>
                <w:bCs/>
              </w:rPr>
              <w:t>The most significant risks attending the College’s future financial performance were noted as:</w:t>
            </w:r>
          </w:p>
          <w:p w14:paraId="48BB429B" w14:textId="77777777" w:rsidR="006E612A" w:rsidRDefault="006E612A" w:rsidP="00F04281">
            <w:pPr>
              <w:pStyle w:val="NoSpacing"/>
              <w:rPr>
                <w:bCs/>
              </w:rPr>
            </w:pPr>
          </w:p>
          <w:p w14:paraId="161EB3DC" w14:textId="1ECB1C44" w:rsidR="006E612A" w:rsidRPr="00794D8B" w:rsidRDefault="006E612A" w:rsidP="00F04281">
            <w:pPr>
              <w:pStyle w:val="NoSpacing"/>
              <w:rPr>
                <w:bCs/>
                <w:i/>
                <w:iCs/>
              </w:rPr>
            </w:pPr>
            <w:r w:rsidRPr="00794D8B">
              <w:rPr>
                <w:bCs/>
                <w:i/>
                <w:iCs/>
              </w:rPr>
              <w:t>failure to recruit the forecast number of students;</w:t>
            </w:r>
          </w:p>
          <w:p w14:paraId="71082887" w14:textId="6107BC5A" w:rsidR="00794D8B" w:rsidRPr="00794D8B" w:rsidRDefault="00794D8B" w:rsidP="00F04281">
            <w:pPr>
              <w:pStyle w:val="NoSpacing"/>
              <w:rPr>
                <w:bCs/>
                <w:i/>
                <w:iCs/>
              </w:rPr>
            </w:pPr>
          </w:p>
          <w:p w14:paraId="00D1A589" w14:textId="410148BE" w:rsidR="00794D8B" w:rsidRPr="00794D8B" w:rsidRDefault="00794D8B" w:rsidP="00F04281">
            <w:pPr>
              <w:pStyle w:val="NoSpacing"/>
              <w:rPr>
                <w:bCs/>
                <w:i/>
                <w:iCs/>
              </w:rPr>
            </w:pPr>
            <w:r w:rsidRPr="00794D8B">
              <w:rPr>
                <w:bCs/>
                <w:i/>
                <w:iCs/>
              </w:rPr>
              <w:t>failure to maintain, or improve, the College’s academic performance;</w:t>
            </w:r>
          </w:p>
          <w:p w14:paraId="69507278" w14:textId="4E445071" w:rsidR="00794D8B" w:rsidRPr="00794D8B" w:rsidRDefault="00794D8B" w:rsidP="00F04281">
            <w:pPr>
              <w:pStyle w:val="NoSpacing"/>
              <w:rPr>
                <w:bCs/>
                <w:i/>
                <w:iCs/>
              </w:rPr>
            </w:pPr>
          </w:p>
          <w:p w14:paraId="2DCED9A4" w14:textId="07508462" w:rsidR="00794D8B" w:rsidRPr="00794D8B" w:rsidRDefault="00794D8B" w:rsidP="00F04281">
            <w:pPr>
              <w:pStyle w:val="NoSpacing"/>
              <w:rPr>
                <w:bCs/>
                <w:i/>
                <w:iCs/>
              </w:rPr>
            </w:pPr>
            <w:r w:rsidRPr="00794D8B">
              <w:rPr>
                <w:bCs/>
                <w:i/>
                <w:iCs/>
              </w:rPr>
              <w:t>changes to funding that adversely affect the College’s funding allocation;</w:t>
            </w:r>
          </w:p>
          <w:p w14:paraId="36F354AE" w14:textId="30047014" w:rsidR="00794D8B" w:rsidRPr="00794D8B" w:rsidRDefault="00794D8B" w:rsidP="00F04281">
            <w:pPr>
              <w:pStyle w:val="NoSpacing"/>
              <w:rPr>
                <w:bCs/>
                <w:i/>
                <w:iCs/>
              </w:rPr>
            </w:pPr>
          </w:p>
          <w:p w14:paraId="354C7314" w14:textId="70B59238" w:rsidR="00794D8B" w:rsidRPr="00794D8B" w:rsidRDefault="00794D8B" w:rsidP="00F04281">
            <w:pPr>
              <w:pStyle w:val="NoSpacing"/>
              <w:rPr>
                <w:bCs/>
                <w:i/>
                <w:iCs/>
              </w:rPr>
            </w:pPr>
            <w:r w:rsidRPr="00794D8B">
              <w:rPr>
                <w:bCs/>
                <w:i/>
                <w:iCs/>
              </w:rPr>
              <w:t>failure to prepare for and embed major curriculum change (e.g. T levels);</w:t>
            </w:r>
          </w:p>
          <w:p w14:paraId="00B7548D" w14:textId="14334F69" w:rsidR="00794D8B" w:rsidRPr="00794D8B" w:rsidRDefault="00794D8B" w:rsidP="00F04281">
            <w:pPr>
              <w:pStyle w:val="NoSpacing"/>
              <w:rPr>
                <w:bCs/>
                <w:i/>
                <w:iCs/>
              </w:rPr>
            </w:pPr>
          </w:p>
          <w:p w14:paraId="0F7A2CBD" w14:textId="456518FF" w:rsidR="00794D8B" w:rsidRPr="00794D8B" w:rsidRDefault="00794D8B" w:rsidP="00F04281">
            <w:pPr>
              <w:pStyle w:val="NoSpacing"/>
              <w:rPr>
                <w:bCs/>
                <w:i/>
                <w:iCs/>
              </w:rPr>
            </w:pPr>
            <w:r w:rsidRPr="00794D8B">
              <w:rPr>
                <w:bCs/>
                <w:i/>
                <w:iCs/>
              </w:rPr>
              <w:t>failure to respond to demographic change affecting those aged 16-19;</w:t>
            </w:r>
          </w:p>
          <w:p w14:paraId="415C218A" w14:textId="067F85A6" w:rsidR="00794D8B" w:rsidRPr="00794D8B" w:rsidRDefault="00794D8B" w:rsidP="00F04281">
            <w:pPr>
              <w:pStyle w:val="NoSpacing"/>
              <w:rPr>
                <w:bCs/>
                <w:i/>
                <w:iCs/>
              </w:rPr>
            </w:pPr>
          </w:p>
          <w:p w14:paraId="6536F4F7" w14:textId="18322159" w:rsidR="00794D8B" w:rsidRPr="00794D8B" w:rsidRDefault="00794D8B" w:rsidP="00F04281">
            <w:pPr>
              <w:pStyle w:val="NoSpacing"/>
              <w:rPr>
                <w:bCs/>
                <w:i/>
                <w:iCs/>
              </w:rPr>
            </w:pPr>
            <w:r w:rsidRPr="00794D8B">
              <w:rPr>
                <w:bCs/>
                <w:i/>
                <w:iCs/>
              </w:rPr>
              <w:t>the heavy reliance on ESFA finding (95%);</w:t>
            </w:r>
          </w:p>
          <w:p w14:paraId="5636181D" w14:textId="744806FE" w:rsidR="00794D8B" w:rsidRPr="00794D8B" w:rsidRDefault="00794D8B" w:rsidP="00F04281">
            <w:pPr>
              <w:pStyle w:val="NoSpacing"/>
              <w:rPr>
                <w:bCs/>
                <w:i/>
                <w:iCs/>
              </w:rPr>
            </w:pPr>
          </w:p>
          <w:p w14:paraId="0A414526" w14:textId="488E605A" w:rsidR="00794D8B" w:rsidRPr="00794D8B" w:rsidRDefault="00794D8B" w:rsidP="00F04281">
            <w:pPr>
              <w:pStyle w:val="NoSpacing"/>
              <w:rPr>
                <w:bCs/>
                <w:i/>
                <w:iCs/>
              </w:rPr>
            </w:pPr>
            <w:r w:rsidRPr="00794D8B">
              <w:rPr>
                <w:bCs/>
                <w:i/>
                <w:iCs/>
              </w:rPr>
              <w:t>early termination of the Teachers’ Pension Grant;</w:t>
            </w:r>
          </w:p>
          <w:p w14:paraId="1913418D" w14:textId="12C6846F" w:rsidR="00794D8B" w:rsidRPr="00794D8B" w:rsidRDefault="00794D8B" w:rsidP="00F04281">
            <w:pPr>
              <w:pStyle w:val="NoSpacing"/>
              <w:rPr>
                <w:bCs/>
                <w:i/>
                <w:iCs/>
              </w:rPr>
            </w:pPr>
          </w:p>
          <w:p w14:paraId="64D3515E" w14:textId="18B106E3" w:rsidR="00794D8B" w:rsidRPr="00794D8B" w:rsidRDefault="00794D8B" w:rsidP="00F04281">
            <w:pPr>
              <w:pStyle w:val="NoSpacing"/>
              <w:rPr>
                <w:bCs/>
                <w:i/>
                <w:iCs/>
              </w:rPr>
            </w:pPr>
            <w:r w:rsidRPr="00794D8B">
              <w:rPr>
                <w:bCs/>
                <w:i/>
                <w:iCs/>
              </w:rPr>
              <w:t>pay rises greater than forecast;</w:t>
            </w:r>
          </w:p>
          <w:p w14:paraId="5A61FBD1" w14:textId="7C067A75" w:rsidR="00794D8B" w:rsidRPr="00794D8B" w:rsidRDefault="00794D8B" w:rsidP="00F04281">
            <w:pPr>
              <w:pStyle w:val="NoSpacing"/>
              <w:rPr>
                <w:bCs/>
                <w:i/>
                <w:iCs/>
              </w:rPr>
            </w:pPr>
          </w:p>
          <w:p w14:paraId="1F94CC2C" w14:textId="7872C2CC" w:rsidR="00794D8B" w:rsidRPr="00794D8B" w:rsidRDefault="00794D8B" w:rsidP="00F04281">
            <w:pPr>
              <w:pStyle w:val="NoSpacing"/>
              <w:rPr>
                <w:bCs/>
              </w:rPr>
            </w:pPr>
            <w:r w:rsidRPr="00794D8B">
              <w:rPr>
                <w:bCs/>
                <w:i/>
                <w:iCs/>
              </w:rPr>
              <w:t xml:space="preserve">failure to maintain, or improve, teaching deployment efficiency; </w:t>
            </w:r>
            <w:r w:rsidRPr="00794D8B">
              <w:rPr>
                <w:bCs/>
              </w:rPr>
              <w:t>and</w:t>
            </w:r>
          </w:p>
          <w:p w14:paraId="65A7FAC7" w14:textId="784C8912" w:rsidR="00794D8B" w:rsidRPr="00794D8B" w:rsidRDefault="00794D8B" w:rsidP="00F04281">
            <w:pPr>
              <w:pStyle w:val="NoSpacing"/>
              <w:rPr>
                <w:bCs/>
                <w:i/>
                <w:iCs/>
              </w:rPr>
            </w:pPr>
          </w:p>
          <w:p w14:paraId="2B335D25" w14:textId="26319F33" w:rsidR="00794D8B" w:rsidRDefault="00794D8B" w:rsidP="00F04281">
            <w:pPr>
              <w:pStyle w:val="NoSpacing"/>
              <w:rPr>
                <w:bCs/>
                <w:i/>
                <w:iCs/>
              </w:rPr>
            </w:pPr>
            <w:r w:rsidRPr="00794D8B">
              <w:rPr>
                <w:bCs/>
                <w:i/>
                <w:iCs/>
              </w:rPr>
              <w:t>a significant increase in the number of staff members enrolled in the pension schemes following auto-enrolment or staffing changes.</w:t>
            </w:r>
          </w:p>
          <w:p w14:paraId="58B537A0" w14:textId="3B23D5A2" w:rsidR="00F6785F" w:rsidRDefault="00F6785F" w:rsidP="00F04281">
            <w:pPr>
              <w:pStyle w:val="NoSpacing"/>
              <w:rPr>
                <w:bCs/>
                <w:i/>
                <w:iCs/>
              </w:rPr>
            </w:pPr>
          </w:p>
          <w:p w14:paraId="48823814" w14:textId="76B7BAF4" w:rsidR="00F6785F" w:rsidRDefault="00F6785F" w:rsidP="00F6785F">
            <w:pPr>
              <w:rPr>
                <w:rFonts w:ascii="Verdana" w:hAnsi="Verdana" w:cs="Arial"/>
              </w:rPr>
            </w:pPr>
            <w:r>
              <w:rPr>
                <w:rFonts w:ascii="Verdana" w:hAnsi="Verdana" w:cs="Arial"/>
              </w:rPr>
              <w:t>Oversight of the above risks is a key Corporation responsibility.  The arrangements whereby risk is overseen by the Audit Committee (including where detailed consideration of their mitigation is conducted by other committees) were noted.  It was agreed that the Oversight of Risk Management is an appropriate topic for a future Saturday Development Session for members of the Corporation.</w:t>
            </w:r>
          </w:p>
          <w:p w14:paraId="018C24F2" w14:textId="78720697" w:rsidR="002725AF" w:rsidRDefault="002725AF" w:rsidP="00F6785F">
            <w:pPr>
              <w:rPr>
                <w:rFonts w:ascii="Verdana" w:hAnsi="Verdana" w:cs="Arial"/>
              </w:rPr>
            </w:pPr>
          </w:p>
          <w:p w14:paraId="4973D547" w14:textId="2CB5BA90" w:rsidR="002725AF" w:rsidRPr="00675C0F" w:rsidRDefault="002725AF" w:rsidP="00F6785F">
            <w:pPr>
              <w:rPr>
                <w:rFonts w:ascii="Verdana" w:hAnsi="Verdana" w:cs="Arial"/>
              </w:rPr>
            </w:pPr>
            <w:r>
              <w:rPr>
                <w:rFonts w:ascii="Verdana" w:hAnsi="Verdana" w:cs="Arial"/>
              </w:rPr>
              <w:t>In the meantime, the risks set out in the paper will be referred for consideration by the Audit Committee.</w:t>
            </w:r>
          </w:p>
          <w:p w14:paraId="5F07000C" w14:textId="32E6C415" w:rsidR="006E612A" w:rsidRPr="00250922" w:rsidRDefault="006E612A" w:rsidP="00F04281">
            <w:pPr>
              <w:pStyle w:val="NoSpacing"/>
              <w:rPr>
                <w:bCs/>
              </w:rPr>
            </w:pPr>
          </w:p>
        </w:tc>
      </w:tr>
      <w:tr w:rsidR="00794D8B" w14:paraId="0F73CC6A" w14:textId="77777777" w:rsidTr="00B263E0">
        <w:tc>
          <w:tcPr>
            <w:tcW w:w="675" w:type="dxa"/>
            <w:shd w:val="clear" w:color="auto" w:fill="auto"/>
            <w:tcMar>
              <w:top w:w="0" w:type="dxa"/>
              <w:left w:w="108" w:type="dxa"/>
              <w:bottom w:w="0" w:type="dxa"/>
              <w:right w:w="108" w:type="dxa"/>
            </w:tcMar>
          </w:tcPr>
          <w:p w14:paraId="0B87D821" w14:textId="3C706E1F" w:rsidR="00794D8B" w:rsidRDefault="007161FF" w:rsidP="00F04281">
            <w:pPr>
              <w:rPr>
                <w:rFonts w:ascii="Verdana" w:hAnsi="Verdana"/>
                <w:b/>
              </w:rPr>
            </w:pPr>
            <w:r>
              <w:rPr>
                <w:rFonts w:ascii="Verdana" w:hAnsi="Verdana"/>
                <w:b/>
              </w:rPr>
              <w:lastRenderedPageBreak/>
              <w:t>12</w:t>
            </w:r>
          </w:p>
        </w:tc>
        <w:tc>
          <w:tcPr>
            <w:tcW w:w="8789" w:type="dxa"/>
            <w:shd w:val="clear" w:color="auto" w:fill="auto"/>
            <w:tcMar>
              <w:top w:w="0" w:type="dxa"/>
              <w:left w:w="108" w:type="dxa"/>
              <w:bottom w:w="0" w:type="dxa"/>
              <w:right w:w="108" w:type="dxa"/>
            </w:tcMar>
          </w:tcPr>
          <w:p w14:paraId="26B5B894" w14:textId="77777777" w:rsidR="007161FF" w:rsidRDefault="007161FF" w:rsidP="007161FF">
            <w:pPr>
              <w:pStyle w:val="NoSpacing"/>
              <w:rPr>
                <w:b/>
              </w:rPr>
            </w:pPr>
            <w:r>
              <w:rPr>
                <w:b/>
              </w:rPr>
              <w:t>Dates and Times of Corporation Meetings 2021-22</w:t>
            </w:r>
          </w:p>
          <w:p w14:paraId="2476CC46" w14:textId="77777777" w:rsidR="007161FF" w:rsidRDefault="007161FF" w:rsidP="007161FF">
            <w:pPr>
              <w:pStyle w:val="NoSpacing"/>
              <w:rPr>
                <w:b/>
              </w:rPr>
            </w:pPr>
          </w:p>
          <w:p w14:paraId="7C877058" w14:textId="22F088DD" w:rsidR="007161FF" w:rsidRPr="001D5F95" w:rsidRDefault="007161FF" w:rsidP="007161FF">
            <w:pPr>
              <w:pStyle w:val="NoSpacing"/>
              <w:rPr>
                <w:bCs/>
              </w:rPr>
            </w:pPr>
            <w:r>
              <w:rPr>
                <w:bCs/>
              </w:rPr>
              <w:t>The</w:t>
            </w:r>
            <w:r w:rsidRPr="001D5F95">
              <w:rPr>
                <w:bCs/>
              </w:rPr>
              <w:t xml:space="preserve"> following</w:t>
            </w:r>
            <w:r>
              <w:rPr>
                <w:bCs/>
              </w:rPr>
              <w:t xml:space="preserve"> approved</w:t>
            </w:r>
            <w:r w:rsidRPr="001D5F95">
              <w:rPr>
                <w:bCs/>
              </w:rPr>
              <w:t xml:space="preserve"> dates and times</w:t>
            </w:r>
            <w:r>
              <w:rPr>
                <w:bCs/>
              </w:rPr>
              <w:t xml:space="preserve"> were noted</w:t>
            </w:r>
            <w:r w:rsidRPr="001D5F95">
              <w:rPr>
                <w:bCs/>
              </w:rPr>
              <w:t>:</w:t>
            </w:r>
          </w:p>
          <w:p w14:paraId="72EDD4C7" w14:textId="77777777" w:rsidR="007161FF" w:rsidRDefault="007161FF" w:rsidP="007161FF">
            <w:pPr>
              <w:pStyle w:val="NoSpacing"/>
              <w:rPr>
                <w:b/>
              </w:rPr>
            </w:pPr>
          </w:p>
          <w:p w14:paraId="2908DD64" w14:textId="77777777" w:rsidR="007161FF" w:rsidRDefault="007161FF" w:rsidP="007161FF">
            <w:pPr>
              <w:rPr>
                <w:rFonts w:ascii="Verdana" w:hAnsi="Verdana"/>
                <w:b/>
                <w:i/>
              </w:rPr>
            </w:pPr>
            <w:r>
              <w:rPr>
                <w:rFonts w:ascii="Verdana" w:hAnsi="Verdana"/>
                <w:b/>
                <w:i/>
              </w:rPr>
              <w:t>Tuesday 12 October 2021 (6.30pm)</w:t>
            </w:r>
          </w:p>
          <w:p w14:paraId="54220BFC" w14:textId="77777777" w:rsidR="007161FF" w:rsidRDefault="007161FF" w:rsidP="007161FF">
            <w:pPr>
              <w:rPr>
                <w:rFonts w:ascii="Verdana" w:hAnsi="Verdana"/>
                <w:b/>
                <w:i/>
              </w:rPr>
            </w:pPr>
            <w:r>
              <w:rPr>
                <w:rFonts w:ascii="Verdana" w:hAnsi="Verdana"/>
                <w:b/>
                <w:i/>
              </w:rPr>
              <w:t>Tuesday 14 December 2021 (6.30pm)</w:t>
            </w:r>
          </w:p>
          <w:p w14:paraId="3932A767" w14:textId="77777777" w:rsidR="007161FF" w:rsidRPr="005E449E" w:rsidRDefault="007161FF" w:rsidP="007161FF">
            <w:pPr>
              <w:rPr>
                <w:rFonts w:ascii="Verdana" w:hAnsi="Verdana"/>
                <w:b/>
                <w:i/>
              </w:rPr>
            </w:pPr>
            <w:r>
              <w:rPr>
                <w:rFonts w:ascii="Verdana" w:hAnsi="Verdana"/>
                <w:b/>
                <w:i/>
              </w:rPr>
              <w:t>Tuesday 18 January 2022 (6.30pm)</w:t>
            </w:r>
          </w:p>
          <w:p w14:paraId="674CE0A0" w14:textId="77777777" w:rsidR="007161FF" w:rsidRDefault="007161FF" w:rsidP="007161FF">
            <w:pPr>
              <w:rPr>
                <w:rFonts w:ascii="Verdana" w:hAnsi="Verdana"/>
                <w:b/>
                <w:i/>
              </w:rPr>
            </w:pPr>
            <w:r>
              <w:rPr>
                <w:rFonts w:ascii="Verdana" w:hAnsi="Verdana"/>
                <w:b/>
                <w:i/>
              </w:rPr>
              <w:t>Tuesday 5 April 2022 (6.30pm)</w:t>
            </w:r>
          </w:p>
          <w:p w14:paraId="0B523B89" w14:textId="77777777" w:rsidR="007161FF" w:rsidRDefault="007161FF" w:rsidP="007161FF">
            <w:pPr>
              <w:rPr>
                <w:rFonts w:ascii="Verdana" w:hAnsi="Verdana"/>
                <w:b/>
                <w:i/>
              </w:rPr>
            </w:pPr>
            <w:r>
              <w:rPr>
                <w:rFonts w:ascii="Verdana" w:hAnsi="Verdana"/>
                <w:b/>
                <w:i/>
              </w:rPr>
              <w:t>Tuesday 10 May 2022 (6.30pm)</w:t>
            </w:r>
          </w:p>
          <w:p w14:paraId="6CC2AF57" w14:textId="77777777" w:rsidR="007161FF" w:rsidRPr="008E3F22" w:rsidRDefault="007161FF" w:rsidP="007161FF">
            <w:pPr>
              <w:rPr>
                <w:rFonts w:ascii="Verdana" w:hAnsi="Verdana"/>
                <w:b/>
                <w:i/>
              </w:rPr>
            </w:pPr>
            <w:r>
              <w:rPr>
                <w:rFonts w:ascii="Verdana" w:hAnsi="Verdana"/>
                <w:b/>
                <w:i/>
              </w:rPr>
              <w:t>Tuesday 5 July 2022 (6.30pm)</w:t>
            </w:r>
          </w:p>
          <w:p w14:paraId="03CD7BC5" w14:textId="77777777" w:rsidR="007161FF" w:rsidRDefault="007161FF" w:rsidP="007161FF">
            <w:pPr>
              <w:pStyle w:val="NoSpacing"/>
              <w:rPr>
                <w:b/>
              </w:rPr>
            </w:pPr>
          </w:p>
          <w:p w14:paraId="7D11DC0D" w14:textId="54621D63" w:rsidR="007161FF" w:rsidRPr="001616AC" w:rsidRDefault="007161FF" w:rsidP="007161FF">
            <w:pPr>
              <w:rPr>
                <w:rFonts w:ascii="Verdana" w:hAnsi="Verdana"/>
              </w:rPr>
            </w:pPr>
            <w:r>
              <w:rPr>
                <w:rFonts w:ascii="Verdana" w:hAnsi="Verdana"/>
              </w:rPr>
              <w:t>In accordance with the decision of the Corporation at the meeting held on 11 May 2021</w:t>
            </w:r>
            <w:r w:rsidRPr="001616AC">
              <w:rPr>
                <w:rFonts w:ascii="Verdana" w:hAnsi="Verdana"/>
              </w:rPr>
              <w:t xml:space="preserve">, </w:t>
            </w:r>
            <w:r w:rsidR="000C225A">
              <w:rPr>
                <w:rFonts w:ascii="Verdana" w:hAnsi="Verdana"/>
              </w:rPr>
              <w:t>Corporation</w:t>
            </w:r>
            <w:r>
              <w:rPr>
                <w:rFonts w:ascii="Verdana" w:hAnsi="Verdana"/>
              </w:rPr>
              <w:t xml:space="preserve"> meetings will be held</w:t>
            </w:r>
            <w:r w:rsidRPr="001616AC">
              <w:rPr>
                <w:rFonts w:ascii="Verdana" w:hAnsi="Verdana"/>
              </w:rPr>
              <w:t xml:space="preserve"> virtual</w:t>
            </w:r>
            <w:r>
              <w:rPr>
                <w:rFonts w:ascii="Verdana" w:hAnsi="Verdana"/>
              </w:rPr>
              <w:t>ly, subject to the outcome of a review at the 10 May 2022 meeting</w:t>
            </w:r>
            <w:r w:rsidRPr="001616AC">
              <w:rPr>
                <w:rFonts w:ascii="Verdana" w:hAnsi="Verdana"/>
              </w:rPr>
              <w:t>.</w:t>
            </w:r>
          </w:p>
          <w:p w14:paraId="4AF742F4" w14:textId="77777777" w:rsidR="00794D8B" w:rsidRDefault="00794D8B" w:rsidP="00F04281">
            <w:pPr>
              <w:pStyle w:val="NoSpacing"/>
              <w:rPr>
                <w:bCs/>
              </w:rPr>
            </w:pPr>
          </w:p>
          <w:p w14:paraId="79830A9B" w14:textId="77777777" w:rsidR="002725AF" w:rsidRDefault="002725AF" w:rsidP="00F04281">
            <w:pPr>
              <w:pStyle w:val="NoSpacing"/>
              <w:rPr>
                <w:bCs/>
              </w:rPr>
            </w:pPr>
          </w:p>
          <w:p w14:paraId="7518F4AD" w14:textId="77777777" w:rsidR="002725AF" w:rsidRDefault="002725AF" w:rsidP="00F04281">
            <w:pPr>
              <w:pStyle w:val="NoSpacing"/>
              <w:rPr>
                <w:bCs/>
              </w:rPr>
            </w:pPr>
          </w:p>
          <w:p w14:paraId="24DDB6EC" w14:textId="77777777" w:rsidR="002725AF" w:rsidRDefault="002725AF" w:rsidP="00F04281">
            <w:pPr>
              <w:pStyle w:val="NoSpacing"/>
              <w:rPr>
                <w:bCs/>
              </w:rPr>
            </w:pPr>
          </w:p>
          <w:p w14:paraId="0BCA820A" w14:textId="77777777" w:rsidR="002725AF" w:rsidRDefault="002725AF" w:rsidP="00F04281">
            <w:pPr>
              <w:pStyle w:val="NoSpacing"/>
              <w:rPr>
                <w:bCs/>
              </w:rPr>
            </w:pPr>
          </w:p>
          <w:p w14:paraId="4DD0F0D1" w14:textId="77777777" w:rsidR="002725AF" w:rsidRDefault="002725AF" w:rsidP="00F04281">
            <w:pPr>
              <w:pStyle w:val="NoSpacing"/>
              <w:rPr>
                <w:bCs/>
              </w:rPr>
            </w:pPr>
          </w:p>
          <w:p w14:paraId="72D43FDF" w14:textId="77777777" w:rsidR="002725AF" w:rsidRDefault="002725AF" w:rsidP="00F04281">
            <w:pPr>
              <w:pStyle w:val="NoSpacing"/>
              <w:rPr>
                <w:bCs/>
              </w:rPr>
            </w:pPr>
          </w:p>
          <w:p w14:paraId="3AEB2681" w14:textId="77777777" w:rsidR="002725AF" w:rsidRDefault="002725AF" w:rsidP="00F04281">
            <w:pPr>
              <w:pStyle w:val="NoSpacing"/>
              <w:rPr>
                <w:bCs/>
              </w:rPr>
            </w:pPr>
          </w:p>
          <w:p w14:paraId="734A4358" w14:textId="77777777" w:rsidR="002725AF" w:rsidRDefault="002725AF" w:rsidP="00F04281">
            <w:pPr>
              <w:pStyle w:val="NoSpacing"/>
              <w:rPr>
                <w:bCs/>
              </w:rPr>
            </w:pPr>
          </w:p>
          <w:p w14:paraId="3C4EDBEB" w14:textId="77777777" w:rsidR="002725AF" w:rsidRDefault="002725AF" w:rsidP="00F04281">
            <w:pPr>
              <w:pStyle w:val="NoSpacing"/>
              <w:rPr>
                <w:bCs/>
              </w:rPr>
            </w:pPr>
          </w:p>
          <w:p w14:paraId="7EBC6317" w14:textId="77777777" w:rsidR="000C225A" w:rsidRDefault="000C225A" w:rsidP="00F04281">
            <w:pPr>
              <w:pStyle w:val="NoSpacing"/>
              <w:rPr>
                <w:bCs/>
              </w:rPr>
            </w:pPr>
          </w:p>
          <w:p w14:paraId="757B1F7C" w14:textId="7FBC880D" w:rsidR="00B263E0" w:rsidRDefault="00B263E0" w:rsidP="00F04281">
            <w:pPr>
              <w:pStyle w:val="NoSpacing"/>
              <w:rPr>
                <w:bCs/>
              </w:rPr>
            </w:pPr>
          </w:p>
        </w:tc>
      </w:tr>
      <w:tr w:rsidR="00794D8B" w14:paraId="516DB468" w14:textId="77777777" w:rsidTr="00B263E0">
        <w:tc>
          <w:tcPr>
            <w:tcW w:w="675" w:type="dxa"/>
            <w:shd w:val="clear" w:color="auto" w:fill="auto"/>
            <w:tcMar>
              <w:top w:w="0" w:type="dxa"/>
              <w:left w:w="108" w:type="dxa"/>
              <w:bottom w:w="0" w:type="dxa"/>
              <w:right w:w="108" w:type="dxa"/>
            </w:tcMar>
          </w:tcPr>
          <w:p w14:paraId="464F5EB4" w14:textId="3BBBA584" w:rsidR="00794D8B" w:rsidRDefault="007161FF" w:rsidP="00F04281">
            <w:pPr>
              <w:rPr>
                <w:rFonts w:ascii="Verdana" w:hAnsi="Verdana"/>
                <w:b/>
              </w:rPr>
            </w:pPr>
            <w:r>
              <w:rPr>
                <w:rFonts w:ascii="Verdana" w:hAnsi="Verdana"/>
                <w:b/>
              </w:rPr>
              <w:lastRenderedPageBreak/>
              <w:t>13</w:t>
            </w:r>
          </w:p>
        </w:tc>
        <w:tc>
          <w:tcPr>
            <w:tcW w:w="8789" w:type="dxa"/>
            <w:shd w:val="clear" w:color="auto" w:fill="auto"/>
            <w:tcMar>
              <w:top w:w="0" w:type="dxa"/>
              <w:left w:w="108" w:type="dxa"/>
              <w:bottom w:w="0" w:type="dxa"/>
              <w:right w:w="108" w:type="dxa"/>
            </w:tcMar>
          </w:tcPr>
          <w:p w14:paraId="1BD64D5F" w14:textId="77777777" w:rsidR="007161FF" w:rsidRDefault="007161FF" w:rsidP="007161FF">
            <w:pPr>
              <w:pStyle w:val="NoSpacing"/>
              <w:rPr>
                <w:b/>
              </w:rPr>
            </w:pPr>
            <w:r>
              <w:rPr>
                <w:b/>
              </w:rPr>
              <w:t>Dates and Times of Committee Meetings 2021-22</w:t>
            </w:r>
          </w:p>
          <w:p w14:paraId="0762FB33" w14:textId="77777777" w:rsidR="007161FF" w:rsidRDefault="007161FF" w:rsidP="007161FF">
            <w:pPr>
              <w:pStyle w:val="NoSpacing"/>
              <w:rPr>
                <w:b/>
              </w:rPr>
            </w:pPr>
          </w:p>
          <w:p w14:paraId="7B4B8427" w14:textId="77771CE7" w:rsidR="007161FF" w:rsidRDefault="007161FF" w:rsidP="007161FF">
            <w:pPr>
              <w:pStyle w:val="NoSpacing"/>
              <w:rPr>
                <w:bCs/>
              </w:rPr>
            </w:pPr>
            <w:r>
              <w:rPr>
                <w:bCs/>
              </w:rPr>
              <w:t>The following approved dates and times were noted:</w:t>
            </w:r>
          </w:p>
          <w:p w14:paraId="1B19C7F4" w14:textId="77777777" w:rsidR="007161FF" w:rsidRDefault="007161FF" w:rsidP="007161FF">
            <w:pPr>
              <w:pStyle w:val="NoSpacing"/>
              <w:rPr>
                <w:bCs/>
              </w:rPr>
            </w:pPr>
          </w:p>
          <w:p w14:paraId="471891D0" w14:textId="77777777" w:rsidR="007161FF" w:rsidRPr="00FF6C91" w:rsidRDefault="007161FF" w:rsidP="007161FF">
            <w:pPr>
              <w:pStyle w:val="NoSpacing"/>
              <w:rPr>
                <w:bCs/>
                <w:i/>
                <w:iCs/>
              </w:rPr>
            </w:pPr>
            <w:r w:rsidRPr="00FF6C91">
              <w:rPr>
                <w:bCs/>
                <w:i/>
                <w:iCs/>
              </w:rPr>
              <w:t>Audit Committee</w:t>
            </w:r>
          </w:p>
          <w:p w14:paraId="149EBEEB" w14:textId="77777777" w:rsidR="007161FF" w:rsidRDefault="007161FF" w:rsidP="007161FF">
            <w:pPr>
              <w:pStyle w:val="NoSpacing"/>
              <w:rPr>
                <w:bCs/>
              </w:rPr>
            </w:pPr>
          </w:p>
          <w:p w14:paraId="290EF57E" w14:textId="77777777" w:rsidR="007161FF" w:rsidRDefault="007161FF" w:rsidP="007161FF">
            <w:pPr>
              <w:pStyle w:val="NoSpacing"/>
              <w:rPr>
                <w:b/>
                <w:i/>
              </w:rPr>
            </w:pPr>
            <w:r w:rsidRPr="00FA6E1F">
              <w:rPr>
                <w:b/>
                <w:i/>
              </w:rPr>
              <w:t xml:space="preserve">Tuesday </w:t>
            </w:r>
            <w:r>
              <w:rPr>
                <w:b/>
                <w:i/>
              </w:rPr>
              <w:t>23 November</w:t>
            </w:r>
            <w:r w:rsidRPr="00FA6E1F">
              <w:rPr>
                <w:b/>
                <w:i/>
              </w:rPr>
              <w:t xml:space="preserve"> 20</w:t>
            </w:r>
            <w:r>
              <w:rPr>
                <w:b/>
                <w:i/>
              </w:rPr>
              <w:t>21</w:t>
            </w:r>
            <w:r w:rsidRPr="00FA6E1F">
              <w:rPr>
                <w:b/>
                <w:i/>
              </w:rPr>
              <w:t xml:space="preserve"> (</w:t>
            </w:r>
            <w:r>
              <w:rPr>
                <w:b/>
                <w:i/>
              </w:rPr>
              <w:t>17.30</w:t>
            </w:r>
            <w:r w:rsidRPr="00FA6E1F">
              <w:rPr>
                <w:b/>
                <w:i/>
              </w:rPr>
              <w:t>)</w:t>
            </w:r>
          </w:p>
          <w:p w14:paraId="3DECBE7C" w14:textId="77777777" w:rsidR="007161FF" w:rsidRDefault="007161FF" w:rsidP="007161FF">
            <w:pPr>
              <w:pStyle w:val="NoSpacing"/>
              <w:rPr>
                <w:b/>
                <w:i/>
              </w:rPr>
            </w:pPr>
            <w:r>
              <w:rPr>
                <w:b/>
                <w:i/>
              </w:rPr>
              <w:t>Tuesday 8 March 2022 (17.30)</w:t>
            </w:r>
          </w:p>
          <w:p w14:paraId="3E548179" w14:textId="77777777" w:rsidR="007161FF" w:rsidRPr="00FA6E1F" w:rsidRDefault="007161FF" w:rsidP="007161FF">
            <w:pPr>
              <w:pStyle w:val="NoSpacing"/>
              <w:rPr>
                <w:b/>
                <w:i/>
              </w:rPr>
            </w:pPr>
            <w:r>
              <w:rPr>
                <w:b/>
                <w:i/>
              </w:rPr>
              <w:t>Tuesday 14 June 2022 (17.30)</w:t>
            </w:r>
          </w:p>
          <w:p w14:paraId="4AF7E469" w14:textId="77777777" w:rsidR="007161FF" w:rsidRDefault="007161FF" w:rsidP="007161FF">
            <w:pPr>
              <w:pStyle w:val="NoSpacing"/>
              <w:rPr>
                <w:bCs/>
              </w:rPr>
            </w:pPr>
          </w:p>
          <w:p w14:paraId="230267BD" w14:textId="77777777" w:rsidR="007161FF" w:rsidRPr="00FF6C91" w:rsidRDefault="007161FF" w:rsidP="007161FF">
            <w:pPr>
              <w:pStyle w:val="NoSpacing"/>
              <w:rPr>
                <w:bCs/>
                <w:i/>
                <w:iCs/>
              </w:rPr>
            </w:pPr>
            <w:r w:rsidRPr="00FF6C91">
              <w:rPr>
                <w:bCs/>
                <w:i/>
                <w:iCs/>
              </w:rPr>
              <w:t>External Relations Committee</w:t>
            </w:r>
          </w:p>
          <w:p w14:paraId="2E527E1A" w14:textId="77777777" w:rsidR="007161FF" w:rsidRDefault="007161FF" w:rsidP="007161FF">
            <w:pPr>
              <w:pStyle w:val="NoSpacing"/>
              <w:rPr>
                <w:bCs/>
              </w:rPr>
            </w:pPr>
          </w:p>
          <w:p w14:paraId="2DBC6704" w14:textId="77777777" w:rsidR="007161FF" w:rsidRPr="00FF6C91" w:rsidRDefault="007161FF" w:rsidP="007161FF">
            <w:pPr>
              <w:pStyle w:val="NoSpacing"/>
              <w:rPr>
                <w:b/>
                <w:bCs/>
                <w:i/>
                <w:iCs/>
              </w:rPr>
            </w:pPr>
            <w:r w:rsidRPr="00FF6C91">
              <w:rPr>
                <w:b/>
                <w:bCs/>
                <w:i/>
                <w:iCs/>
              </w:rPr>
              <w:t>Tuesday 9 November 2021 (5.30pm)</w:t>
            </w:r>
          </w:p>
          <w:p w14:paraId="2FC8C771" w14:textId="77777777" w:rsidR="007161FF" w:rsidRPr="00FF6C91" w:rsidRDefault="007161FF" w:rsidP="007161FF">
            <w:pPr>
              <w:pStyle w:val="NoSpacing"/>
              <w:rPr>
                <w:b/>
                <w:bCs/>
                <w:i/>
                <w:iCs/>
              </w:rPr>
            </w:pPr>
            <w:r w:rsidRPr="00FF6C91">
              <w:rPr>
                <w:b/>
                <w:bCs/>
                <w:i/>
                <w:iCs/>
              </w:rPr>
              <w:t>Tuesday 15 February 2022 (5.30pm)</w:t>
            </w:r>
          </w:p>
          <w:p w14:paraId="4497FC5D" w14:textId="77777777" w:rsidR="007161FF" w:rsidRPr="00FF6C91" w:rsidRDefault="007161FF" w:rsidP="007161FF">
            <w:pPr>
              <w:pStyle w:val="NoSpacing"/>
              <w:rPr>
                <w:b/>
                <w:bCs/>
                <w:i/>
                <w:iCs/>
              </w:rPr>
            </w:pPr>
            <w:r w:rsidRPr="00FF6C91">
              <w:rPr>
                <w:b/>
                <w:bCs/>
                <w:i/>
                <w:iCs/>
              </w:rPr>
              <w:t xml:space="preserve">Monday 6 June 2022 (5.30pm) </w:t>
            </w:r>
          </w:p>
          <w:p w14:paraId="15B94C1C" w14:textId="77777777" w:rsidR="007161FF" w:rsidRDefault="007161FF" w:rsidP="007161FF">
            <w:pPr>
              <w:pStyle w:val="NoSpacing"/>
              <w:rPr>
                <w:bCs/>
              </w:rPr>
            </w:pPr>
          </w:p>
          <w:p w14:paraId="00A99D3A" w14:textId="77777777" w:rsidR="007161FF" w:rsidRPr="00FF6C91" w:rsidRDefault="007161FF" w:rsidP="007161FF">
            <w:pPr>
              <w:pStyle w:val="NoSpacing"/>
              <w:rPr>
                <w:bCs/>
                <w:i/>
                <w:iCs/>
              </w:rPr>
            </w:pPr>
            <w:r w:rsidRPr="00FF6C91">
              <w:rPr>
                <w:bCs/>
                <w:i/>
                <w:iCs/>
              </w:rPr>
              <w:t xml:space="preserve">Governance </w:t>
            </w:r>
            <w:r>
              <w:rPr>
                <w:bCs/>
                <w:i/>
                <w:iCs/>
              </w:rPr>
              <w:t>and</w:t>
            </w:r>
            <w:r w:rsidRPr="00FF6C91">
              <w:rPr>
                <w:bCs/>
                <w:i/>
                <w:iCs/>
              </w:rPr>
              <w:t xml:space="preserve"> Nominations Committee</w:t>
            </w:r>
          </w:p>
          <w:p w14:paraId="06015F63" w14:textId="77777777" w:rsidR="007161FF" w:rsidRDefault="007161FF" w:rsidP="007161FF">
            <w:pPr>
              <w:pStyle w:val="NoSpacing"/>
              <w:rPr>
                <w:bCs/>
              </w:rPr>
            </w:pPr>
          </w:p>
          <w:p w14:paraId="7DB51DF9" w14:textId="77777777" w:rsidR="007161FF" w:rsidRDefault="007161FF" w:rsidP="007161FF">
            <w:pPr>
              <w:pStyle w:val="NoSpacing"/>
              <w:rPr>
                <w:bCs/>
              </w:rPr>
            </w:pPr>
            <w:r>
              <w:rPr>
                <w:bCs/>
              </w:rPr>
              <w:t>to be arranged.</w:t>
            </w:r>
          </w:p>
          <w:p w14:paraId="284BC9F5" w14:textId="77777777" w:rsidR="007161FF" w:rsidRDefault="007161FF" w:rsidP="007161FF">
            <w:pPr>
              <w:pStyle w:val="NoSpacing"/>
              <w:rPr>
                <w:bCs/>
              </w:rPr>
            </w:pPr>
          </w:p>
          <w:p w14:paraId="7E8F9730" w14:textId="77777777" w:rsidR="007161FF" w:rsidRPr="00FF6C91" w:rsidRDefault="007161FF" w:rsidP="007161FF">
            <w:pPr>
              <w:pStyle w:val="NoSpacing"/>
              <w:rPr>
                <w:bCs/>
                <w:i/>
                <w:iCs/>
              </w:rPr>
            </w:pPr>
            <w:r w:rsidRPr="00FF6C91">
              <w:rPr>
                <w:bCs/>
                <w:i/>
                <w:iCs/>
              </w:rPr>
              <w:t>Quality and Performance Committee</w:t>
            </w:r>
          </w:p>
          <w:p w14:paraId="65A80ED0" w14:textId="77777777" w:rsidR="007161FF" w:rsidRDefault="007161FF" w:rsidP="007161FF">
            <w:pPr>
              <w:pStyle w:val="NoSpacing"/>
              <w:rPr>
                <w:bCs/>
              </w:rPr>
            </w:pPr>
          </w:p>
          <w:p w14:paraId="7B4D1D7F" w14:textId="77777777" w:rsidR="007161FF" w:rsidRPr="001616AC" w:rsidRDefault="007161FF" w:rsidP="007161FF">
            <w:pPr>
              <w:pStyle w:val="NoSpacing"/>
              <w:rPr>
                <w:b/>
                <w:bCs/>
                <w:i/>
                <w:iCs/>
              </w:rPr>
            </w:pPr>
            <w:r w:rsidRPr="001616AC">
              <w:rPr>
                <w:b/>
                <w:bCs/>
                <w:i/>
                <w:iCs/>
              </w:rPr>
              <w:t>Tuesday 21 September 2021 (6.30pm)</w:t>
            </w:r>
          </w:p>
          <w:p w14:paraId="58718C78" w14:textId="77777777" w:rsidR="007161FF" w:rsidRPr="001616AC" w:rsidRDefault="007161FF" w:rsidP="007161FF">
            <w:pPr>
              <w:pStyle w:val="NoSpacing"/>
              <w:rPr>
                <w:b/>
                <w:bCs/>
                <w:i/>
                <w:iCs/>
              </w:rPr>
            </w:pPr>
            <w:r w:rsidRPr="001616AC">
              <w:rPr>
                <w:b/>
                <w:bCs/>
                <w:i/>
                <w:iCs/>
              </w:rPr>
              <w:t>Tuesday 30 November 2021 (6.30pm)</w:t>
            </w:r>
          </w:p>
          <w:p w14:paraId="1726B0D6" w14:textId="77777777" w:rsidR="007161FF" w:rsidRPr="001616AC" w:rsidRDefault="007161FF" w:rsidP="007161FF">
            <w:pPr>
              <w:pStyle w:val="NoSpacing"/>
              <w:rPr>
                <w:b/>
                <w:bCs/>
                <w:i/>
                <w:iCs/>
              </w:rPr>
            </w:pPr>
            <w:r w:rsidRPr="001616AC">
              <w:rPr>
                <w:b/>
                <w:bCs/>
                <w:i/>
                <w:iCs/>
              </w:rPr>
              <w:t>Tuesday 8 February 2022 (6.30pm)</w:t>
            </w:r>
          </w:p>
          <w:p w14:paraId="425AC208" w14:textId="77777777" w:rsidR="007161FF" w:rsidRPr="001616AC" w:rsidRDefault="007161FF" w:rsidP="007161FF">
            <w:pPr>
              <w:pStyle w:val="NoSpacing"/>
              <w:rPr>
                <w:b/>
                <w:bCs/>
                <w:i/>
                <w:iCs/>
              </w:rPr>
            </w:pPr>
            <w:r w:rsidRPr="001616AC">
              <w:rPr>
                <w:b/>
                <w:bCs/>
                <w:i/>
                <w:iCs/>
              </w:rPr>
              <w:t>Tuesday 7 June 2022 (6.30pm)</w:t>
            </w:r>
          </w:p>
          <w:p w14:paraId="2ED280E7" w14:textId="77777777" w:rsidR="007161FF" w:rsidRDefault="007161FF" w:rsidP="007161FF">
            <w:pPr>
              <w:pStyle w:val="NoSpacing"/>
              <w:rPr>
                <w:bCs/>
              </w:rPr>
            </w:pPr>
          </w:p>
          <w:p w14:paraId="1422E6B1" w14:textId="77777777" w:rsidR="00794D8B" w:rsidRDefault="007161FF" w:rsidP="00F04281">
            <w:pPr>
              <w:pStyle w:val="NoSpacing"/>
              <w:rPr>
                <w:bCs/>
                <w:i/>
                <w:iCs/>
              </w:rPr>
            </w:pPr>
            <w:r w:rsidRPr="00FF6C91">
              <w:rPr>
                <w:bCs/>
                <w:i/>
                <w:iCs/>
              </w:rPr>
              <w:t>Resources Committee</w:t>
            </w:r>
          </w:p>
          <w:p w14:paraId="77D891AD" w14:textId="77777777" w:rsidR="007161FF" w:rsidRDefault="007161FF" w:rsidP="00F04281">
            <w:pPr>
              <w:pStyle w:val="NoSpacing"/>
              <w:rPr>
                <w:bCs/>
                <w:i/>
                <w:iCs/>
              </w:rPr>
            </w:pPr>
          </w:p>
          <w:p w14:paraId="046C83C4" w14:textId="77777777" w:rsidR="007161FF" w:rsidRDefault="007161FF" w:rsidP="00F04281">
            <w:pPr>
              <w:pStyle w:val="NoSpacing"/>
              <w:rPr>
                <w:bCs/>
              </w:rPr>
            </w:pPr>
            <w:r>
              <w:rPr>
                <w:bCs/>
              </w:rPr>
              <w:t>to be arranged.</w:t>
            </w:r>
          </w:p>
          <w:p w14:paraId="2D990801" w14:textId="77777777" w:rsidR="007161FF" w:rsidRDefault="007161FF" w:rsidP="00F04281">
            <w:pPr>
              <w:pStyle w:val="NoSpacing"/>
              <w:rPr>
                <w:bCs/>
              </w:rPr>
            </w:pPr>
          </w:p>
          <w:p w14:paraId="5D1F6C70" w14:textId="6BD49866" w:rsidR="002725AF" w:rsidRPr="001616AC" w:rsidRDefault="002725AF" w:rsidP="002725AF">
            <w:pPr>
              <w:rPr>
                <w:rFonts w:ascii="Verdana" w:hAnsi="Verdana"/>
              </w:rPr>
            </w:pPr>
            <w:r>
              <w:rPr>
                <w:rFonts w:ascii="Verdana" w:hAnsi="Verdana"/>
              </w:rPr>
              <w:t>In accordance with the decision of the Corporation at the meeting held on 11 May 2021</w:t>
            </w:r>
            <w:r w:rsidRPr="001616AC">
              <w:rPr>
                <w:rFonts w:ascii="Verdana" w:hAnsi="Verdana"/>
              </w:rPr>
              <w:t xml:space="preserve">, the format and location of </w:t>
            </w:r>
            <w:r w:rsidR="000C225A">
              <w:rPr>
                <w:rFonts w:ascii="Verdana" w:hAnsi="Verdana"/>
              </w:rPr>
              <w:t xml:space="preserve">committee </w:t>
            </w:r>
            <w:r w:rsidRPr="001616AC">
              <w:rPr>
                <w:rFonts w:ascii="Verdana" w:hAnsi="Verdana"/>
              </w:rPr>
              <w:t>meetings will be determined by each Committee Chair in consultation with members of the Committee, but such meetings will be either face-to-face at a location to be agreed (with the right of any member, including staff in attendance, to attend virtually without restriction), or will be entirely virtual.</w:t>
            </w:r>
          </w:p>
          <w:p w14:paraId="6DF0FED9" w14:textId="62D4DD57" w:rsidR="002725AF" w:rsidRPr="007161FF" w:rsidRDefault="002725AF" w:rsidP="00F04281">
            <w:pPr>
              <w:pStyle w:val="NoSpacing"/>
              <w:rPr>
                <w:bCs/>
              </w:rPr>
            </w:pPr>
          </w:p>
        </w:tc>
      </w:tr>
      <w:tr w:rsidR="00794D8B" w14:paraId="483771F6" w14:textId="77777777" w:rsidTr="00B263E0">
        <w:tc>
          <w:tcPr>
            <w:tcW w:w="675" w:type="dxa"/>
            <w:shd w:val="clear" w:color="auto" w:fill="auto"/>
            <w:tcMar>
              <w:top w:w="0" w:type="dxa"/>
              <w:left w:w="108" w:type="dxa"/>
              <w:bottom w:w="0" w:type="dxa"/>
              <w:right w:w="108" w:type="dxa"/>
            </w:tcMar>
          </w:tcPr>
          <w:p w14:paraId="029C076F" w14:textId="0C89586D" w:rsidR="00794D8B" w:rsidRDefault="007161FF" w:rsidP="00F04281">
            <w:pPr>
              <w:rPr>
                <w:rFonts w:ascii="Verdana" w:hAnsi="Verdana"/>
                <w:b/>
              </w:rPr>
            </w:pPr>
            <w:r>
              <w:rPr>
                <w:rFonts w:ascii="Verdana" w:hAnsi="Verdana"/>
                <w:b/>
              </w:rPr>
              <w:t>14</w:t>
            </w:r>
          </w:p>
        </w:tc>
        <w:tc>
          <w:tcPr>
            <w:tcW w:w="8789" w:type="dxa"/>
            <w:shd w:val="clear" w:color="auto" w:fill="auto"/>
            <w:tcMar>
              <w:top w:w="0" w:type="dxa"/>
              <w:left w:w="108" w:type="dxa"/>
              <w:bottom w:w="0" w:type="dxa"/>
              <w:right w:w="108" w:type="dxa"/>
            </w:tcMar>
          </w:tcPr>
          <w:p w14:paraId="0FF90C28" w14:textId="77777777" w:rsidR="00794D8B" w:rsidRPr="007161FF" w:rsidRDefault="007161FF" w:rsidP="00F04281">
            <w:pPr>
              <w:pStyle w:val="NoSpacing"/>
              <w:rPr>
                <w:b/>
              </w:rPr>
            </w:pPr>
            <w:r w:rsidRPr="007161FF">
              <w:rPr>
                <w:b/>
              </w:rPr>
              <w:t>Any Other Competent Business</w:t>
            </w:r>
          </w:p>
          <w:p w14:paraId="13A474A9" w14:textId="77777777" w:rsidR="007161FF" w:rsidRDefault="007161FF" w:rsidP="00F04281">
            <w:pPr>
              <w:pStyle w:val="NoSpacing"/>
              <w:rPr>
                <w:bCs/>
              </w:rPr>
            </w:pPr>
          </w:p>
          <w:p w14:paraId="36D5EED0" w14:textId="7462484D" w:rsidR="00623B3B" w:rsidRDefault="00E31D90" w:rsidP="00F04281">
            <w:pPr>
              <w:pStyle w:val="NoSpacing"/>
              <w:rPr>
                <w:bCs/>
              </w:rPr>
            </w:pPr>
            <w:r>
              <w:rPr>
                <w:bCs/>
              </w:rPr>
              <w:t>Members noted th</w:t>
            </w:r>
            <w:r w:rsidR="000245AB">
              <w:rPr>
                <w:bCs/>
              </w:rPr>
              <w:t xml:space="preserve">at </w:t>
            </w:r>
            <w:r>
              <w:rPr>
                <w:bCs/>
              </w:rPr>
              <w:t xml:space="preserve">Jay </w:t>
            </w:r>
            <w:proofErr w:type="spellStart"/>
            <w:r>
              <w:rPr>
                <w:bCs/>
              </w:rPr>
              <w:t>Wint</w:t>
            </w:r>
            <w:proofErr w:type="spellEnd"/>
            <w:r w:rsidR="000245AB">
              <w:rPr>
                <w:bCs/>
              </w:rPr>
              <w:t xml:space="preserve"> will complete her</w:t>
            </w:r>
            <w:r>
              <w:rPr>
                <w:bCs/>
              </w:rPr>
              <w:t xml:space="preserve"> term of appointment</w:t>
            </w:r>
            <w:r w:rsidR="000245AB">
              <w:rPr>
                <w:bCs/>
              </w:rPr>
              <w:t xml:space="preserve"> as parent member of the Corporation</w:t>
            </w:r>
            <w:r>
              <w:rPr>
                <w:bCs/>
              </w:rPr>
              <w:t xml:space="preserve"> on 31 July 2021.  She was</w:t>
            </w:r>
            <w:r w:rsidR="000245AB">
              <w:rPr>
                <w:bCs/>
              </w:rPr>
              <w:t xml:space="preserve"> warmly</w:t>
            </w:r>
            <w:r>
              <w:rPr>
                <w:bCs/>
              </w:rPr>
              <w:t xml:space="preserve"> thanked for her service during the 2020-21 year.  </w:t>
            </w:r>
          </w:p>
        </w:tc>
      </w:tr>
    </w:tbl>
    <w:p w14:paraId="466F2F38" w14:textId="327354EE" w:rsidR="00513EE2" w:rsidRDefault="00513EE2" w:rsidP="00701D99">
      <w:pPr>
        <w:rPr>
          <w:rFonts w:ascii="Verdana" w:hAnsi="Verdana"/>
        </w:rPr>
      </w:pPr>
    </w:p>
    <w:p w14:paraId="0D8E0348" w14:textId="1C20AC50" w:rsidR="00513EE2" w:rsidRDefault="00513EE2" w:rsidP="00701D99">
      <w:pPr>
        <w:rPr>
          <w:rFonts w:ascii="Verdana" w:hAnsi="Verdana"/>
        </w:rPr>
      </w:pPr>
    </w:p>
    <w:p w14:paraId="3565CD72" w14:textId="6BE7BE4B" w:rsidR="0091383D" w:rsidRPr="00C86937" w:rsidRDefault="00D15481" w:rsidP="00D1116E">
      <w:pPr>
        <w:rPr>
          <w:rFonts w:ascii="Verdana" w:hAnsi="Verdana"/>
          <w:b/>
          <w:bCs/>
          <w:i/>
          <w:iCs/>
        </w:rPr>
      </w:pPr>
      <w:r w:rsidRPr="00C86937">
        <w:rPr>
          <w:rFonts w:ascii="Verdana" w:hAnsi="Verdana"/>
          <w:b/>
          <w:bCs/>
          <w:i/>
          <w:iCs/>
        </w:rPr>
        <w:t>List of Actions shown on next page</w:t>
      </w:r>
    </w:p>
    <w:p w14:paraId="6EB1978B" w14:textId="77777777" w:rsidR="0091383D" w:rsidRPr="00C86937" w:rsidRDefault="0091383D" w:rsidP="00D1116E">
      <w:pPr>
        <w:rPr>
          <w:rFonts w:ascii="Verdana" w:hAnsi="Verdana"/>
          <w:b/>
          <w:bCs/>
          <w:i/>
          <w:iCs/>
        </w:rPr>
      </w:pPr>
    </w:p>
    <w:p w14:paraId="179171C8" w14:textId="58B877FB" w:rsidR="00B1510B" w:rsidRDefault="00B1510B" w:rsidP="00D1116E">
      <w:pPr>
        <w:rPr>
          <w:rFonts w:ascii="Verdana" w:hAnsi="Verdana"/>
        </w:rPr>
      </w:pPr>
    </w:p>
    <w:p w14:paraId="37DFBB9D" w14:textId="1D2D514D" w:rsidR="007161FF" w:rsidRDefault="007161FF" w:rsidP="00D1116E">
      <w:pPr>
        <w:rPr>
          <w:rFonts w:ascii="Verdana" w:hAnsi="Verdana"/>
        </w:rPr>
      </w:pPr>
    </w:p>
    <w:p w14:paraId="6E94B396" w14:textId="59BA7FAC" w:rsidR="007161FF" w:rsidRDefault="007161FF" w:rsidP="00D1116E">
      <w:pPr>
        <w:rPr>
          <w:rFonts w:ascii="Verdana" w:hAnsi="Verdana"/>
        </w:rPr>
      </w:pPr>
    </w:p>
    <w:p w14:paraId="5605C19A" w14:textId="12B4BEF6" w:rsidR="00437976" w:rsidRDefault="00437976" w:rsidP="00D1116E">
      <w:pPr>
        <w:rPr>
          <w:rFonts w:ascii="Verdana" w:hAnsi="Verdana"/>
        </w:rPr>
      </w:pPr>
    </w:p>
    <w:p w14:paraId="06ABCC93" w14:textId="77777777" w:rsidR="00B263E0" w:rsidRDefault="00B263E0" w:rsidP="00D1116E">
      <w:pPr>
        <w:rPr>
          <w:rFonts w:ascii="Verdana" w:hAnsi="Verdana"/>
        </w:rPr>
      </w:pPr>
      <w:bookmarkStart w:id="0" w:name="_GoBack"/>
      <w:bookmarkEnd w:id="0"/>
    </w:p>
    <w:p w14:paraId="41C6D48E" w14:textId="31B1BF7E" w:rsidR="00B1510B" w:rsidRPr="005D292C" w:rsidRDefault="005D292C" w:rsidP="00D1116E">
      <w:pPr>
        <w:rPr>
          <w:rFonts w:ascii="Verdana" w:hAnsi="Verdana"/>
          <w:b/>
          <w:bCs/>
        </w:rPr>
      </w:pPr>
      <w:r w:rsidRPr="005D292C">
        <w:rPr>
          <w:rFonts w:ascii="Verdana" w:hAnsi="Verdana"/>
          <w:b/>
          <w:bCs/>
        </w:rPr>
        <w:lastRenderedPageBreak/>
        <w:t>List of Actions Arising from the Meeting</w:t>
      </w:r>
    </w:p>
    <w:p w14:paraId="135024DE" w14:textId="77777777" w:rsidR="00E41859" w:rsidRDefault="00E41859" w:rsidP="00D1116E">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017"/>
        <w:gridCol w:w="5387"/>
      </w:tblGrid>
      <w:tr w:rsidR="005D292C" w:rsidRPr="00413682" w14:paraId="4CE63BEA" w14:textId="77777777" w:rsidTr="00B263E0">
        <w:tc>
          <w:tcPr>
            <w:tcW w:w="1060" w:type="dxa"/>
          </w:tcPr>
          <w:p w14:paraId="3C55D291" w14:textId="77777777" w:rsidR="005D292C" w:rsidRPr="00593049" w:rsidRDefault="005D292C" w:rsidP="00F04281">
            <w:pPr>
              <w:rPr>
                <w:rFonts w:ascii="Verdana" w:hAnsi="Verdana"/>
                <w:b/>
                <w:i/>
              </w:rPr>
            </w:pPr>
            <w:r w:rsidRPr="00413682">
              <w:rPr>
                <w:rFonts w:ascii="Verdana" w:hAnsi="Verdana"/>
                <w:b/>
                <w:i/>
              </w:rPr>
              <w:t>Minute</w:t>
            </w:r>
          </w:p>
        </w:tc>
        <w:tc>
          <w:tcPr>
            <w:tcW w:w="3017" w:type="dxa"/>
          </w:tcPr>
          <w:p w14:paraId="437BE243" w14:textId="36466ABD" w:rsidR="005D292C" w:rsidRDefault="005D292C" w:rsidP="00F04281">
            <w:pPr>
              <w:rPr>
                <w:rFonts w:ascii="Verdana" w:hAnsi="Verdana"/>
                <w:b/>
                <w:i/>
              </w:rPr>
            </w:pPr>
            <w:r w:rsidRPr="00413682">
              <w:rPr>
                <w:rFonts w:ascii="Verdana" w:hAnsi="Verdana"/>
                <w:b/>
                <w:i/>
              </w:rPr>
              <w:t>Person</w:t>
            </w:r>
            <w:r w:rsidR="007161FF">
              <w:rPr>
                <w:rFonts w:ascii="Verdana" w:hAnsi="Verdana"/>
                <w:b/>
                <w:i/>
              </w:rPr>
              <w:t>(s)</w:t>
            </w:r>
            <w:r w:rsidRPr="00413682">
              <w:rPr>
                <w:rFonts w:ascii="Verdana" w:hAnsi="Verdana"/>
                <w:b/>
                <w:i/>
              </w:rPr>
              <w:t xml:space="preserve"> Responsible</w:t>
            </w:r>
          </w:p>
          <w:p w14:paraId="679A650C" w14:textId="77777777" w:rsidR="005D292C" w:rsidRPr="00593049" w:rsidRDefault="005D292C" w:rsidP="00F04281">
            <w:pPr>
              <w:rPr>
                <w:rFonts w:ascii="Verdana" w:hAnsi="Verdana"/>
                <w:bCs/>
                <w:iCs/>
              </w:rPr>
            </w:pPr>
          </w:p>
        </w:tc>
        <w:tc>
          <w:tcPr>
            <w:tcW w:w="5387" w:type="dxa"/>
          </w:tcPr>
          <w:p w14:paraId="29235E52" w14:textId="77777777" w:rsidR="005D292C" w:rsidRPr="00413682" w:rsidRDefault="005D292C" w:rsidP="00F04281">
            <w:pPr>
              <w:rPr>
                <w:rFonts w:ascii="Verdana" w:hAnsi="Verdana"/>
                <w:b/>
                <w:i/>
              </w:rPr>
            </w:pPr>
            <w:r w:rsidRPr="00413682">
              <w:rPr>
                <w:rFonts w:ascii="Verdana" w:hAnsi="Verdana"/>
                <w:b/>
                <w:i/>
              </w:rPr>
              <w:t>Action</w:t>
            </w:r>
          </w:p>
        </w:tc>
      </w:tr>
      <w:tr w:rsidR="005D292C" w:rsidRPr="0076515C" w14:paraId="57F7670C" w14:textId="77777777" w:rsidTr="00B263E0">
        <w:tc>
          <w:tcPr>
            <w:tcW w:w="1060" w:type="dxa"/>
          </w:tcPr>
          <w:p w14:paraId="37956ED4" w14:textId="35D2CC63" w:rsidR="005D292C" w:rsidRPr="0076515C" w:rsidRDefault="00333DE9" w:rsidP="00F04281">
            <w:pPr>
              <w:rPr>
                <w:rFonts w:ascii="Verdana" w:hAnsi="Verdana"/>
                <w:b/>
                <w:iCs/>
              </w:rPr>
            </w:pPr>
            <w:r>
              <w:rPr>
                <w:rFonts w:ascii="Verdana" w:hAnsi="Verdana"/>
                <w:b/>
                <w:iCs/>
              </w:rPr>
              <w:t>6</w:t>
            </w:r>
          </w:p>
        </w:tc>
        <w:tc>
          <w:tcPr>
            <w:tcW w:w="3017" w:type="dxa"/>
          </w:tcPr>
          <w:p w14:paraId="2E5B02F2" w14:textId="748CBEF3" w:rsidR="005D292C" w:rsidRDefault="00333DE9" w:rsidP="00F04281">
            <w:pPr>
              <w:rPr>
                <w:rFonts w:ascii="Verdana" w:hAnsi="Verdana"/>
                <w:bCs/>
                <w:iCs/>
              </w:rPr>
            </w:pPr>
            <w:r>
              <w:rPr>
                <w:rFonts w:ascii="Verdana" w:hAnsi="Verdana"/>
                <w:bCs/>
                <w:iCs/>
              </w:rPr>
              <w:t>Chair of the Governance &amp; Nominations Committee, and Clerk to the Corporation</w:t>
            </w:r>
          </w:p>
          <w:p w14:paraId="7AC9874A" w14:textId="56A5B69A" w:rsidR="00333DE9" w:rsidRPr="0076515C" w:rsidRDefault="00333DE9" w:rsidP="00F04281">
            <w:pPr>
              <w:rPr>
                <w:rFonts w:ascii="Verdana" w:hAnsi="Verdana"/>
                <w:bCs/>
                <w:iCs/>
              </w:rPr>
            </w:pPr>
          </w:p>
        </w:tc>
        <w:tc>
          <w:tcPr>
            <w:tcW w:w="5387" w:type="dxa"/>
          </w:tcPr>
          <w:p w14:paraId="6F9C3DAF" w14:textId="4C989FBE" w:rsidR="0091383D" w:rsidRPr="0076515C" w:rsidRDefault="00333DE9" w:rsidP="00F04281">
            <w:pPr>
              <w:contextualSpacing/>
              <w:rPr>
                <w:rFonts w:ascii="Verdana" w:hAnsi="Verdana"/>
                <w:bCs/>
                <w:iCs/>
              </w:rPr>
            </w:pPr>
            <w:r>
              <w:rPr>
                <w:rFonts w:ascii="Verdana" w:hAnsi="Verdana"/>
                <w:bCs/>
                <w:iCs/>
              </w:rPr>
              <w:t>Convene a meeting of the Governance &amp; Nominations Committee early in the Autumn Term 2021-22.</w:t>
            </w:r>
          </w:p>
        </w:tc>
      </w:tr>
      <w:tr w:rsidR="005D292C" w:rsidRPr="0076515C" w14:paraId="42F370E7" w14:textId="77777777" w:rsidTr="00B263E0">
        <w:tc>
          <w:tcPr>
            <w:tcW w:w="1060" w:type="dxa"/>
          </w:tcPr>
          <w:p w14:paraId="49391698" w14:textId="0B39CD67" w:rsidR="005D292C" w:rsidRPr="0076515C" w:rsidRDefault="000C225A" w:rsidP="00F04281">
            <w:pPr>
              <w:rPr>
                <w:rFonts w:ascii="Verdana" w:hAnsi="Verdana"/>
                <w:b/>
                <w:iCs/>
              </w:rPr>
            </w:pPr>
            <w:r>
              <w:rPr>
                <w:rFonts w:ascii="Verdana" w:hAnsi="Verdana"/>
                <w:b/>
                <w:iCs/>
              </w:rPr>
              <w:t>11</w:t>
            </w:r>
          </w:p>
        </w:tc>
        <w:tc>
          <w:tcPr>
            <w:tcW w:w="3017" w:type="dxa"/>
          </w:tcPr>
          <w:p w14:paraId="64A1660A" w14:textId="7AFDD442" w:rsidR="0095694F" w:rsidRDefault="000C225A" w:rsidP="00F04281">
            <w:pPr>
              <w:rPr>
                <w:rFonts w:ascii="Verdana" w:hAnsi="Verdana"/>
                <w:bCs/>
                <w:iCs/>
              </w:rPr>
            </w:pPr>
            <w:r>
              <w:rPr>
                <w:rFonts w:ascii="Verdana" w:hAnsi="Verdana"/>
                <w:bCs/>
                <w:iCs/>
              </w:rPr>
              <w:t>Chair of the Corporation, and Clerk to the Corporation</w:t>
            </w:r>
          </w:p>
          <w:p w14:paraId="2E2499E4" w14:textId="66F1C863" w:rsidR="000C225A" w:rsidRPr="0076515C" w:rsidRDefault="000C225A" w:rsidP="00F04281">
            <w:pPr>
              <w:rPr>
                <w:rFonts w:ascii="Verdana" w:hAnsi="Verdana"/>
                <w:bCs/>
                <w:iCs/>
              </w:rPr>
            </w:pPr>
          </w:p>
        </w:tc>
        <w:tc>
          <w:tcPr>
            <w:tcW w:w="5387" w:type="dxa"/>
          </w:tcPr>
          <w:p w14:paraId="5839F832" w14:textId="630F8F1A" w:rsidR="00906858" w:rsidRPr="0076515C" w:rsidRDefault="000C225A" w:rsidP="00F04281">
            <w:pPr>
              <w:contextualSpacing/>
              <w:rPr>
                <w:rFonts w:ascii="Verdana" w:hAnsi="Verdana"/>
                <w:bCs/>
                <w:iCs/>
              </w:rPr>
            </w:pPr>
            <w:r>
              <w:rPr>
                <w:rFonts w:ascii="Verdana" w:hAnsi="Verdana"/>
                <w:bCs/>
                <w:iCs/>
              </w:rPr>
              <w:t xml:space="preserve">Arrange for Saturday Development Session on Oversight of Risk Management. </w:t>
            </w:r>
          </w:p>
        </w:tc>
      </w:tr>
      <w:tr w:rsidR="005D292C" w:rsidRPr="0076515C" w14:paraId="234D3EF2" w14:textId="77777777" w:rsidTr="00B263E0">
        <w:tc>
          <w:tcPr>
            <w:tcW w:w="1060" w:type="dxa"/>
          </w:tcPr>
          <w:p w14:paraId="103F267D" w14:textId="574A2AD7" w:rsidR="005D292C" w:rsidRPr="0076515C" w:rsidRDefault="000C225A" w:rsidP="00F04281">
            <w:pPr>
              <w:rPr>
                <w:rFonts w:ascii="Verdana" w:hAnsi="Verdana"/>
                <w:b/>
                <w:iCs/>
              </w:rPr>
            </w:pPr>
            <w:r>
              <w:rPr>
                <w:rFonts w:ascii="Verdana" w:hAnsi="Verdana"/>
                <w:b/>
                <w:iCs/>
              </w:rPr>
              <w:t>11</w:t>
            </w:r>
          </w:p>
        </w:tc>
        <w:tc>
          <w:tcPr>
            <w:tcW w:w="3017" w:type="dxa"/>
          </w:tcPr>
          <w:p w14:paraId="61B43158" w14:textId="2FAAF788" w:rsidR="005D292C" w:rsidRPr="0076515C" w:rsidRDefault="000C225A" w:rsidP="00F04281">
            <w:pPr>
              <w:rPr>
                <w:rFonts w:ascii="Verdana" w:hAnsi="Verdana"/>
                <w:bCs/>
                <w:iCs/>
              </w:rPr>
            </w:pPr>
            <w:r>
              <w:rPr>
                <w:rFonts w:ascii="Verdana" w:hAnsi="Verdana"/>
                <w:bCs/>
                <w:iCs/>
              </w:rPr>
              <w:t>Chair of the Audit Committee, and Clerk to the Corporation</w:t>
            </w:r>
          </w:p>
        </w:tc>
        <w:tc>
          <w:tcPr>
            <w:tcW w:w="5387" w:type="dxa"/>
          </w:tcPr>
          <w:p w14:paraId="58D5F60D" w14:textId="77FB84BB" w:rsidR="000C225A" w:rsidRPr="0076515C" w:rsidRDefault="000C225A" w:rsidP="00F04281">
            <w:pPr>
              <w:contextualSpacing/>
              <w:rPr>
                <w:rFonts w:ascii="Verdana" w:hAnsi="Verdana"/>
                <w:bCs/>
                <w:iCs/>
              </w:rPr>
            </w:pPr>
            <w:r>
              <w:rPr>
                <w:rFonts w:ascii="Verdana" w:hAnsi="Verdana"/>
                <w:bCs/>
                <w:iCs/>
              </w:rPr>
              <w:t>Arrange for the oversight of risks set out in the cover paper attending the estimates to be considered by the Audit Committee.</w:t>
            </w:r>
          </w:p>
        </w:tc>
      </w:tr>
    </w:tbl>
    <w:p w14:paraId="135024DF" w14:textId="77777777" w:rsidR="00E7039A" w:rsidRPr="0095694F" w:rsidRDefault="00E7039A" w:rsidP="00D1116E">
      <w:pPr>
        <w:rPr>
          <w:rFonts w:ascii="Verdana" w:hAnsi="Verdana"/>
        </w:rPr>
      </w:pPr>
    </w:p>
    <w:p w14:paraId="135024E0" w14:textId="77777777" w:rsidR="00E7039A" w:rsidRDefault="00E7039A" w:rsidP="00D1116E">
      <w:pPr>
        <w:rPr>
          <w:rFonts w:ascii="Verdana" w:hAnsi="Verdana"/>
        </w:rPr>
      </w:pPr>
    </w:p>
    <w:p w14:paraId="135024E1" w14:textId="77777777" w:rsidR="00E7039A" w:rsidRDefault="00E7039A" w:rsidP="00D1116E">
      <w:pPr>
        <w:rPr>
          <w:rFonts w:ascii="Verdana" w:hAnsi="Verdana"/>
        </w:rPr>
      </w:pPr>
    </w:p>
    <w:p w14:paraId="135024E2" w14:textId="77777777" w:rsidR="00E7039A" w:rsidRDefault="00E7039A" w:rsidP="00D1116E">
      <w:pPr>
        <w:rPr>
          <w:rFonts w:ascii="Verdana" w:hAnsi="Verdana"/>
        </w:rPr>
      </w:pPr>
    </w:p>
    <w:p w14:paraId="135024E3" w14:textId="77777777" w:rsidR="00E7039A" w:rsidRDefault="00E7039A" w:rsidP="00D1116E">
      <w:pPr>
        <w:rPr>
          <w:rFonts w:ascii="Verdana" w:hAnsi="Verdana"/>
        </w:rPr>
      </w:pPr>
    </w:p>
    <w:p w14:paraId="135024E4" w14:textId="77777777" w:rsidR="00E7039A" w:rsidRDefault="00E7039A" w:rsidP="00D1116E">
      <w:pPr>
        <w:rPr>
          <w:rFonts w:ascii="Verdana" w:hAnsi="Verdana"/>
        </w:rPr>
      </w:pPr>
    </w:p>
    <w:p w14:paraId="135024E5" w14:textId="77777777" w:rsidR="00E7039A" w:rsidRDefault="00E7039A" w:rsidP="00D1116E">
      <w:pPr>
        <w:rPr>
          <w:rFonts w:ascii="Verdana" w:hAnsi="Verdana"/>
        </w:rPr>
      </w:pPr>
    </w:p>
    <w:p w14:paraId="135024E6" w14:textId="77777777" w:rsidR="00E7039A" w:rsidRDefault="00E7039A" w:rsidP="00D1116E">
      <w:pPr>
        <w:rPr>
          <w:rFonts w:ascii="Verdana" w:hAnsi="Verdana"/>
        </w:rPr>
      </w:pPr>
    </w:p>
    <w:p w14:paraId="135024E7" w14:textId="77777777" w:rsidR="00E7039A" w:rsidRDefault="00E7039A" w:rsidP="00D1116E">
      <w:pPr>
        <w:rPr>
          <w:rFonts w:ascii="Verdana" w:hAnsi="Verdana"/>
        </w:rPr>
      </w:pPr>
    </w:p>
    <w:p w14:paraId="135024E8" w14:textId="77777777" w:rsidR="00E7039A" w:rsidRDefault="00E7039A" w:rsidP="00D1116E">
      <w:pPr>
        <w:rPr>
          <w:rFonts w:ascii="Verdana" w:hAnsi="Verdana"/>
        </w:rPr>
      </w:pPr>
    </w:p>
    <w:p w14:paraId="135024FA" w14:textId="77777777" w:rsidR="00E41859" w:rsidRDefault="00E41859" w:rsidP="00D1116E">
      <w:pPr>
        <w:rPr>
          <w:rFonts w:ascii="Verdana" w:hAnsi="Verdana"/>
        </w:rPr>
      </w:pPr>
    </w:p>
    <w:p w14:paraId="135024FB" w14:textId="77777777" w:rsidR="00E41859" w:rsidRDefault="00E41859" w:rsidP="00D1116E">
      <w:pPr>
        <w:rPr>
          <w:rFonts w:ascii="Verdana" w:hAnsi="Verdana"/>
        </w:rPr>
      </w:pPr>
    </w:p>
    <w:p w14:paraId="135024FC" w14:textId="77777777" w:rsidR="00E41859" w:rsidRDefault="00E41859" w:rsidP="00D1116E">
      <w:pPr>
        <w:rPr>
          <w:rFonts w:ascii="Verdana" w:hAnsi="Verdana"/>
        </w:rPr>
      </w:pPr>
    </w:p>
    <w:p w14:paraId="135024FD" w14:textId="77777777" w:rsidR="00E41859" w:rsidRDefault="00E41859" w:rsidP="00D1116E">
      <w:pPr>
        <w:rPr>
          <w:rFonts w:ascii="Verdana" w:hAnsi="Verdana"/>
        </w:rPr>
      </w:pPr>
    </w:p>
    <w:p w14:paraId="135024FE" w14:textId="77777777" w:rsidR="00E41859" w:rsidRDefault="00E41859" w:rsidP="00D1116E">
      <w:pPr>
        <w:rPr>
          <w:rFonts w:ascii="Verdana" w:hAnsi="Verdana"/>
        </w:rPr>
      </w:pPr>
    </w:p>
    <w:p w14:paraId="135024FF" w14:textId="77777777" w:rsidR="00E41859" w:rsidRDefault="00E41859" w:rsidP="00D1116E">
      <w:pPr>
        <w:rPr>
          <w:rFonts w:ascii="Verdana" w:hAnsi="Verdana"/>
        </w:rPr>
      </w:pPr>
    </w:p>
    <w:p w14:paraId="13502500" w14:textId="77777777" w:rsidR="00E41859" w:rsidRDefault="00E41859" w:rsidP="00D1116E">
      <w:pPr>
        <w:rPr>
          <w:rFonts w:ascii="Verdana" w:hAnsi="Verdana"/>
        </w:rPr>
      </w:pPr>
    </w:p>
    <w:p w14:paraId="13502501" w14:textId="77777777" w:rsidR="00E41859" w:rsidRDefault="00E41859" w:rsidP="00D1116E">
      <w:pPr>
        <w:rPr>
          <w:rFonts w:ascii="Verdana" w:hAnsi="Verdana"/>
        </w:rPr>
      </w:pPr>
    </w:p>
    <w:p w14:paraId="13502502" w14:textId="77777777" w:rsidR="00E41859" w:rsidRDefault="00E41859" w:rsidP="00D1116E">
      <w:pPr>
        <w:rPr>
          <w:rFonts w:ascii="Verdana" w:hAnsi="Verdana"/>
        </w:rPr>
      </w:pPr>
    </w:p>
    <w:p w14:paraId="13502503" w14:textId="77777777" w:rsidR="00E41859" w:rsidRDefault="00E41859" w:rsidP="00D1116E">
      <w:pPr>
        <w:rPr>
          <w:rFonts w:ascii="Verdana" w:hAnsi="Verdana"/>
        </w:rPr>
      </w:pPr>
    </w:p>
    <w:p w14:paraId="13502504" w14:textId="77777777" w:rsidR="00E41859" w:rsidRDefault="00E41859" w:rsidP="00D1116E">
      <w:pPr>
        <w:rPr>
          <w:rFonts w:ascii="Verdana" w:hAnsi="Verdana"/>
        </w:rPr>
      </w:pPr>
    </w:p>
    <w:p w14:paraId="13502505" w14:textId="77777777" w:rsidR="00D1116E" w:rsidRDefault="00D1116E" w:rsidP="00D1116E">
      <w:pPr>
        <w:rPr>
          <w:rFonts w:ascii="Verdana" w:hAnsi="Verdana"/>
        </w:rPr>
      </w:pPr>
    </w:p>
    <w:p w14:paraId="13502506" w14:textId="77777777" w:rsidR="00C869A6" w:rsidRDefault="00C869A6" w:rsidP="00D1116E">
      <w:pPr>
        <w:rPr>
          <w:rFonts w:ascii="Verdana" w:hAnsi="Verdana"/>
        </w:rPr>
      </w:pPr>
    </w:p>
    <w:sectPr w:rsidR="00C86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E606D"/>
    <w:multiLevelType w:val="hybridMultilevel"/>
    <w:tmpl w:val="E472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380EF0"/>
    <w:multiLevelType w:val="hybridMultilevel"/>
    <w:tmpl w:val="5B0C75AA"/>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16E"/>
    <w:rsid w:val="00000A30"/>
    <w:rsid w:val="00002FD4"/>
    <w:rsid w:val="00005FCE"/>
    <w:rsid w:val="0001171F"/>
    <w:rsid w:val="000141DF"/>
    <w:rsid w:val="00016225"/>
    <w:rsid w:val="000209B5"/>
    <w:rsid w:val="00022CEF"/>
    <w:rsid w:val="000231C5"/>
    <w:rsid w:val="000245AB"/>
    <w:rsid w:val="00030BF7"/>
    <w:rsid w:val="00030F14"/>
    <w:rsid w:val="00035F21"/>
    <w:rsid w:val="00036F36"/>
    <w:rsid w:val="00037531"/>
    <w:rsid w:val="000400D7"/>
    <w:rsid w:val="00040406"/>
    <w:rsid w:val="00041DDE"/>
    <w:rsid w:val="0004209D"/>
    <w:rsid w:val="00044EF9"/>
    <w:rsid w:val="000503AE"/>
    <w:rsid w:val="000506D6"/>
    <w:rsid w:val="00051831"/>
    <w:rsid w:val="00052347"/>
    <w:rsid w:val="00055820"/>
    <w:rsid w:val="000567D8"/>
    <w:rsid w:val="00060935"/>
    <w:rsid w:val="00060FE1"/>
    <w:rsid w:val="00063983"/>
    <w:rsid w:val="00063D0E"/>
    <w:rsid w:val="00065DCF"/>
    <w:rsid w:val="00070AF7"/>
    <w:rsid w:val="00077084"/>
    <w:rsid w:val="00093FD6"/>
    <w:rsid w:val="00094CAE"/>
    <w:rsid w:val="00096D55"/>
    <w:rsid w:val="000A052A"/>
    <w:rsid w:val="000A06F4"/>
    <w:rsid w:val="000A2A67"/>
    <w:rsid w:val="000A449E"/>
    <w:rsid w:val="000B183A"/>
    <w:rsid w:val="000B1DCD"/>
    <w:rsid w:val="000C1B41"/>
    <w:rsid w:val="000C1B57"/>
    <w:rsid w:val="000C225A"/>
    <w:rsid w:val="000C2886"/>
    <w:rsid w:val="000C707E"/>
    <w:rsid w:val="000C77F3"/>
    <w:rsid w:val="000D08CA"/>
    <w:rsid w:val="000D5163"/>
    <w:rsid w:val="000D5213"/>
    <w:rsid w:val="000D7BEE"/>
    <w:rsid w:val="000E0433"/>
    <w:rsid w:val="000E1083"/>
    <w:rsid w:val="000E16AF"/>
    <w:rsid w:val="000E2114"/>
    <w:rsid w:val="000E27D7"/>
    <w:rsid w:val="000E402B"/>
    <w:rsid w:val="000E5077"/>
    <w:rsid w:val="000E66C5"/>
    <w:rsid w:val="000F1147"/>
    <w:rsid w:val="000F14E4"/>
    <w:rsid w:val="000F375D"/>
    <w:rsid w:val="000F4F00"/>
    <w:rsid w:val="000F583A"/>
    <w:rsid w:val="000F598B"/>
    <w:rsid w:val="000F5FCC"/>
    <w:rsid w:val="000F6C29"/>
    <w:rsid w:val="0010223B"/>
    <w:rsid w:val="001042DA"/>
    <w:rsid w:val="001045FE"/>
    <w:rsid w:val="00111645"/>
    <w:rsid w:val="00112721"/>
    <w:rsid w:val="00112C84"/>
    <w:rsid w:val="001136BF"/>
    <w:rsid w:val="00113F98"/>
    <w:rsid w:val="00115F95"/>
    <w:rsid w:val="00116BB6"/>
    <w:rsid w:val="001224DA"/>
    <w:rsid w:val="00124603"/>
    <w:rsid w:val="00124E9E"/>
    <w:rsid w:val="00125818"/>
    <w:rsid w:val="00126AF3"/>
    <w:rsid w:val="00133915"/>
    <w:rsid w:val="00134094"/>
    <w:rsid w:val="001401AA"/>
    <w:rsid w:val="00140492"/>
    <w:rsid w:val="00142A12"/>
    <w:rsid w:val="00142CE9"/>
    <w:rsid w:val="0014508E"/>
    <w:rsid w:val="0014567F"/>
    <w:rsid w:val="001522DD"/>
    <w:rsid w:val="0015250F"/>
    <w:rsid w:val="001530F9"/>
    <w:rsid w:val="00153EF6"/>
    <w:rsid w:val="00155FC4"/>
    <w:rsid w:val="0015759B"/>
    <w:rsid w:val="001622EA"/>
    <w:rsid w:val="00162B90"/>
    <w:rsid w:val="00167331"/>
    <w:rsid w:val="0017068D"/>
    <w:rsid w:val="00170CFE"/>
    <w:rsid w:val="00171D41"/>
    <w:rsid w:val="001758CA"/>
    <w:rsid w:val="00184F07"/>
    <w:rsid w:val="00185F2A"/>
    <w:rsid w:val="00194DD9"/>
    <w:rsid w:val="001958AD"/>
    <w:rsid w:val="001960F7"/>
    <w:rsid w:val="00196161"/>
    <w:rsid w:val="00196EFD"/>
    <w:rsid w:val="00196F49"/>
    <w:rsid w:val="00197B0D"/>
    <w:rsid w:val="001A27FE"/>
    <w:rsid w:val="001A58AA"/>
    <w:rsid w:val="001A6819"/>
    <w:rsid w:val="001A6C0E"/>
    <w:rsid w:val="001A75C6"/>
    <w:rsid w:val="001B3591"/>
    <w:rsid w:val="001B73F0"/>
    <w:rsid w:val="001B7CA4"/>
    <w:rsid w:val="001C031B"/>
    <w:rsid w:val="001C19E8"/>
    <w:rsid w:val="001C5DB2"/>
    <w:rsid w:val="001C746E"/>
    <w:rsid w:val="001D3CCD"/>
    <w:rsid w:val="001D5C91"/>
    <w:rsid w:val="001D62A1"/>
    <w:rsid w:val="001D790A"/>
    <w:rsid w:val="001D7C63"/>
    <w:rsid w:val="001E0EF6"/>
    <w:rsid w:val="001E23A1"/>
    <w:rsid w:val="001E2923"/>
    <w:rsid w:val="001E2BF2"/>
    <w:rsid w:val="001E32FA"/>
    <w:rsid w:val="001E5634"/>
    <w:rsid w:val="001F04C4"/>
    <w:rsid w:val="001F1A79"/>
    <w:rsid w:val="001F424C"/>
    <w:rsid w:val="001F432C"/>
    <w:rsid w:val="001F565A"/>
    <w:rsid w:val="001F6D93"/>
    <w:rsid w:val="001F70F0"/>
    <w:rsid w:val="00200ED4"/>
    <w:rsid w:val="0020302D"/>
    <w:rsid w:val="00203781"/>
    <w:rsid w:val="0020410F"/>
    <w:rsid w:val="00204274"/>
    <w:rsid w:val="00204C78"/>
    <w:rsid w:val="00206868"/>
    <w:rsid w:val="00207911"/>
    <w:rsid w:val="00211FD4"/>
    <w:rsid w:val="0021570E"/>
    <w:rsid w:val="00217FDE"/>
    <w:rsid w:val="0022515C"/>
    <w:rsid w:val="002254C0"/>
    <w:rsid w:val="0022669C"/>
    <w:rsid w:val="00226DDD"/>
    <w:rsid w:val="0022772F"/>
    <w:rsid w:val="00234A01"/>
    <w:rsid w:val="00234AB6"/>
    <w:rsid w:val="00234AE0"/>
    <w:rsid w:val="002355E9"/>
    <w:rsid w:val="00236159"/>
    <w:rsid w:val="00240C3E"/>
    <w:rsid w:val="002435DF"/>
    <w:rsid w:val="00245635"/>
    <w:rsid w:val="002458CF"/>
    <w:rsid w:val="00246A42"/>
    <w:rsid w:val="00250922"/>
    <w:rsid w:val="00250C3B"/>
    <w:rsid w:val="00251D34"/>
    <w:rsid w:val="00252D98"/>
    <w:rsid w:val="0025435F"/>
    <w:rsid w:val="00256030"/>
    <w:rsid w:val="0025633D"/>
    <w:rsid w:val="002619F9"/>
    <w:rsid w:val="00261FA3"/>
    <w:rsid w:val="002651D3"/>
    <w:rsid w:val="00267CDF"/>
    <w:rsid w:val="002725AF"/>
    <w:rsid w:val="002740C9"/>
    <w:rsid w:val="00276441"/>
    <w:rsid w:val="00276CDE"/>
    <w:rsid w:val="00280FCC"/>
    <w:rsid w:val="002829DA"/>
    <w:rsid w:val="0028331C"/>
    <w:rsid w:val="0029141C"/>
    <w:rsid w:val="00292BA2"/>
    <w:rsid w:val="00292C3F"/>
    <w:rsid w:val="0029348A"/>
    <w:rsid w:val="00293E03"/>
    <w:rsid w:val="00297C64"/>
    <w:rsid w:val="002A1F82"/>
    <w:rsid w:val="002A227F"/>
    <w:rsid w:val="002A4B9C"/>
    <w:rsid w:val="002A4C20"/>
    <w:rsid w:val="002A70D4"/>
    <w:rsid w:val="002A7437"/>
    <w:rsid w:val="002A75E9"/>
    <w:rsid w:val="002A7E77"/>
    <w:rsid w:val="002B0284"/>
    <w:rsid w:val="002B5392"/>
    <w:rsid w:val="002B664D"/>
    <w:rsid w:val="002B6DD9"/>
    <w:rsid w:val="002C2640"/>
    <w:rsid w:val="002C26E5"/>
    <w:rsid w:val="002C3EEE"/>
    <w:rsid w:val="002C6EDC"/>
    <w:rsid w:val="002C72DB"/>
    <w:rsid w:val="002C7BB9"/>
    <w:rsid w:val="002D3041"/>
    <w:rsid w:val="002D5AEE"/>
    <w:rsid w:val="002E22AB"/>
    <w:rsid w:val="002F133A"/>
    <w:rsid w:val="002F226A"/>
    <w:rsid w:val="002F2A33"/>
    <w:rsid w:val="002F787E"/>
    <w:rsid w:val="002F7DEC"/>
    <w:rsid w:val="0030100E"/>
    <w:rsid w:val="003026C1"/>
    <w:rsid w:val="0030279D"/>
    <w:rsid w:val="003043AD"/>
    <w:rsid w:val="00311CDB"/>
    <w:rsid w:val="003138A2"/>
    <w:rsid w:val="00315091"/>
    <w:rsid w:val="00320597"/>
    <w:rsid w:val="00320AE9"/>
    <w:rsid w:val="00320DA6"/>
    <w:rsid w:val="00322527"/>
    <w:rsid w:val="00322BCB"/>
    <w:rsid w:val="00323879"/>
    <w:rsid w:val="0032414C"/>
    <w:rsid w:val="00325300"/>
    <w:rsid w:val="00325676"/>
    <w:rsid w:val="003309A6"/>
    <w:rsid w:val="003324C9"/>
    <w:rsid w:val="0033337B"/>
    <w:rsid w:val="00333BD4"/>
    <w:rsid w:val="00333DE9"/>
    <w:rsid w:val="00335D0C"/>
    <w:rsid w:val="00340AF8"/>
    <w:rsid w:val="003416EC"/>
    <w:rsid w:val="00342531"/>
    <w:rsid w:val="0034332D"/>
    <w:rsid w:val="003512E7"/>
    <w:rsid w:val="003518F1"/>
    <w:rsid w:val="00353A51"/>
    <w:rsid w:val="00353F31"/>
    <w:rsid w:val="0035748E"/>
    <w:rsid w:val="003612A9"/>
    <w:rsid w:val="003625EB"/>
    <w:rsid w:val="003704F3"/>
    <w:rsid w:val="003814E3"/>
    <w:rsid w:val="003846ED"/>
    <w:rsid w:val="0038539A"/>
    <w:rsid w:val="00386489"/>
    <w:rsid w:val="00390DA2"/>
    <w:rsid w:val="00395EB5"/>
    <w:rsid w:val="003A086A"/>
    <w:rsid w:val="003A20AC"/>
    <w:rsid w:val="003A6B07"/>
    <w:rsid w:val="003A705F"/>
    <w:rsid w:val="003A7830"/>
    <w:rsid w:val="003A7FE5"/>
    <w:rsid w:val="003B115B"/>
    <w:rsid w:val="003B1633"/>
    <w:rsid w:val="003B2A0E"/>
    <w:rsid w:val="003B4971"/>
    <w:rsid w:val="003B49B8"/>
    <w:rsid w:val="003B5349"/>
    <w:rsid w:val="003B593D"/>
    <w:rsid w:val="003B7B22"/>
    <w:rsid w:val="003B7D36"/>
    <w:rsid w:val="003C1F1A"/>
    <w:rsid w:val="003C2F39"/>
    <w:rsid w:val="003C3E5A"/>
    <w:rsid w:val="003D1A70"/>
    <w:rsid w:val="003D1B56"/>
    <w:rsid w:val="003D649A"/>
    <w:rsid w:val="003E0769"/>
    <w:rsid w:val="003E2346"/>
    <w:rsid w:val="003E40F8"/>
    <w:rsid w:val="003E6210"/>
    <w:rsid w:val="003E7098"/>
    <w:rsid w:val="003F7776"/>
    <w:rsid w:val="00401801"/>
    <w:rsid w:val="004064E3"/>
    <w:rsid w:val="00406B72"/>
    <w:rsid w:val="0041039E"/>
    <w:rsid w:val="0041369E"/>
    <w:rsid w:val="0041559A"/>
    <w:rsid w:val="00420E9D"/>
    <w:rsid w:val="004216A3"/>
    <w:rsid w:val="00423675"/>
    <w:rsid w:val="00423817"/>
    <w:rsid w:val="004251FD"/>
    <w:rsid w:val="00431DA6"/>
    <w:rsid w:val="00434778"/>
    <w:rsid w:val="00435C72"/>
    <w:rsid w:val="00437976"/>
    <w:rsid w:val="00446680"/>
    <w:rsid w:val="00454151"/>
    <w:rsid w:val="00461323"/>
    <w:rsid w:val="004634A5"/>
    <w:rsid w:val="004639D3"/>
    <w:rsid w:val="00465403"/>
    <w:rsid w:val="00470AB4"/>
    <w:rsid w:val="00470CC5"/>
    <w:rsid w:val="00473A09"/>
    <w:rsid w:val="00483963"/>
    <w:rsid w:val="00486A56"/>
    <w:rsid w:val="00490007"/>
    <w:rsid w:val="004905EB"/>
    <w:rsid w:val="00491066"/>
    <w:rsid w:val="0049367C"/>
    <w:rsid w:val="004954E5"/>
    <w:rsid w:val="00497A5A"/>
    <w:rsid w:val="004A0A3E"/>
    <w:rsid w:val="004A1414"/>
    <w:rsid w:val="004A219C"/>
    <w:rsid w:val="004A24A8"/>
    <w:rsid w:val="004A24B9"/>
    <w:rsid w:val="004A283E"/>
    <w:rsid w:val="004A3A4E"/>
    <w:rsid w:val="004A6862"/>
    <w:rsid w:val="004A7CAF"/>
    <w:rsid w:val="004B6326"/>
    <w:rsid w:val="004B7CBF"/>
    <w:rsid w:val="004C0396"/>
    <w:rsid w:val="004C2D2B"/>
    <w:rsid w:val="004C2E63"/>
    <w:rsid w:val="004C701B"/>
    <w:rsid w:val="004C770E"/>
    <w:rsid w:val="004D371B"/>
    <w:rsid w:val="004D39DB"/>
    <w:rsid w:val="004D783A"/>
    <w:rsid w:val="004D7ED7"/>
    <w:rsid w:val="004E19DC"/>
    <w:rsid w:val="004E1D8B"/>
    <w:rsid w:val="004E2507"/>
    <w:rsid w:val="004E5001"/>
    <w:rsid w:val="004E505D"/>
    <w:rsid w:val="004E5095"/>
    <w:rsid w:val="004E64E5"/>
    <w:rsid w:val="004F0C14"/>
    <w:rsid w:val="004F30C3"/>
    <w:rsid w:val="004F4D02"/>
    <w:rsid w:val="004F5B53"/>
    <w:rsid w:val="004F65F6"/>
    <w:rsid w:val="0050502A"/>
    <w:rsid w:val="005058FC"/>
    <w:rsid w:val="00510468"/>
    <w:rsid w:val="0051204C"/>
    <w:rsid w:val="005138C7"/>
    <w:rsid w:val="00513EE2"/>
    <w:rsid w:val="0051446E"/>
    <w:rsid w:val="00514F7F"/>
    <w:rsid w:val="0051605D"/>
    <w:rsid w:val="005166BE"/>
    <w:rsid w:val="00520E93"/>
    <w:rsid w:val="00526684"/>
    <w:rsid w:val="00526FB6"/>
    <w:rsid w:val="00530C71"/>
    <w:rsid w:val="005324A8"/>
    <w:rsid w:val="00532956"/>
    <w:rsid w:val="00533A3E"/>
    <w:rsid w:val="00534970"/>
    <w:rsid w:val="005353E5"/>
    <w:rsid w:val="00537251"/>
    <w:rsid w:val="0053726C"/>
    <w:rsid w:val="005375AB"/>
    <w:rsid w:val="00541F68"/>
    <w:rsid w:val="00544994"/>
    <w:rsid w:val="005456B2"/>
    <w:rsid w:val="00545921"/>
    <w:rsid w:val="00553942"/>
    <w:rsid w:val="00553AEF"/>
    <w:rsid w:val="005557A1"/>
    <w:rsid w:val="00562BF3"/>
    <w:rsid w:val="005633AA"/>
    <w:rsid w:val="00563CED"/>
    <w:rsid w:val="005661C6"/>
    <w:rsid w:val="00566FFB"/>
    <w:rsid w:val="005721F0"/>
    <w:rsid w:val="00577A7B"/>
    <w:rsid w:val="00583375"/>
    <w:rsid w:val="00584EF6"/>
    <w:rsid w:val="00586E40"/>
    <w:rsid w:val="0059287F"/>
    <w:rsid w:val="005936E4"/>
    <w:rsid w:val="00595474"/>
    <w:rsid w:val="005A0EF0"/>
    <w:rsid w:val="005A4244"/>
    <w:rsid w:val="005A4704"/>
    <w:rsid w:val="005A472C"/>
    <w:rsid w:val="005A6159"/>
    <w:rsid w:val="005A6461"/>
    <w:rsid w:val="005B2D41"/>
    <w:rsid w:val="005B33AC"/>
    <w:rsid w:val="005B46F7"/>
    <w:rsid w:val="005B4B2B"/>
    <w:rsid w:val="005B50C7"/>
    <w:rsid w:val="005B54FF"/>
    <w:rsid w:val="005B5886"/>
    <w:rsid w:val="005B5C43"/>
    <w:rsid w:val="005B667A"/>
    <w:rsid w:val="005B75E2"/>
    <w:rsid w:val="005C078E"/>
    <w:rsid w:val="005C7418"/>
    <w:rsid w:val="005D008D"/>
    <w:rsid w:val="005D13E1"/>
    <w:rsid w:val="005D27EB"/>
    <w:rsid w:val="005D292C"/>
    <w:rsid w:val="005D2A7B"/>
    <w:rsid w:val="005D3535"/>
    <w:rsid w:val="005D46B5"/>
    <w:rsid w:val="005D4F3D"/>
    <w:rsid w:val="005D57D0"/>
    <w:rsid w:val="005D70A6"/>
    <w:rsid w:val="005D7345"/>
    <w:rsid w:val="005E054A"/>
    <w:rsid w:val="005E0A60"/>
    <w:rsid w:val="005E16BE"/>
    <w:rsid w:val="005E3D7B"/>
    <w:rsid w:val="005E7B20"/>
    <w:rsid w:val="005F0B56"/>
    <w:rsid w:val="005F1CB0"/>
    <w:rsid w:val="005F37AD"/>
    <w:rsid w:val="00600C11"/>
    <w:rsid w:val="00600DA4"/>
    <w:rsid w:val="00606543"/>
    <w:rsid w:val="00611445"/>
    <w:rsid w:val="006114E0"/>
    <w:rsid w:val="00614109"/>
    <w:rsid w:val="00614B43"/>
    <w:rsid w:val="0061780A"/>
    <w:rsid w:val="006207D7"/>
    <w:rsid w:val="00621528"/>
    <w:rsid w:val="006222F4"/>
    <w:rsid w:val="00623B3B"/>
    <w:rsid w:val="00630E28"/>
    <w:rsid w:val="00631A97"/>
    <w:rsid w:val="0063232E"/>
    <w:rsid w:val="00632D53"/>
    <w:rsid w:val="0063528E"/>
    <w:rsid w:val="00635334"/>
    <w:rsid w:val="00635DEB"/>
    <w:rsid w:val="00637149"/>
    <w:rsid w:val="00637AC4"/>
    <w:rsid w:val="00642E35"/>
    <w:rsid w:val="00644B6C"/>
    <w:rsid w:val="00647D88"/>
    <w:rsid w:val="0065063F"/>
    <w:rsid w:val="00653E4D"/>
    <w:rsid w:val="006639B2"/>
    <w:rsid w:val="006647E8"/>
    <w:rsid w:val="00665567"/>
    <w:rsid w:val="006747C4"/>
    <w:rsid w:val="00675C0F"/>
    <w:rsid w:val="00681838"/>
    <w:rsid w:val="006825FC"/>
    <w:rsid w:val="00684475"/>
    <w:rsid w:val="00684878"/>
    <w:rsid w:val="00691D23"/>
    <w:rsid w:val="00691F17"/>
    <w:rsid w:val="00692093"/>
    <w:rsid w:val="00692683"/>
    <w:rsid w:val="0069318D"/>
    <w:rsid w:val="006970D3"/>
    <w:rsid w:val="00697DA3"/>
    <w:rsid w:val="00697FF6"/>
    <w:rsid w:val="006A13C1"/>
    <w:rsid w:val="006A1923"/>
    <w:rsid w:val="006A2808"/>
    <w:rsid w:val="006A3A08"/>
    <w:rsid w:val="006A3E9F"/>
    <w:rsid w:val="006A5295"/>
    <w:rsid w:val="006B20E0"/>
    <w:rsid w:val="006B5ED8"/>
    <w:rsid w:val="006B6BD1"/>
    <w:rsid w:val="006B6F59"/>
    <w:rsid w:val="006C03D3"/>
    <w:rsid w:val="006C5398"/>
    <w:rsid w:val="006C6414"/>
    <w:rsid w:val="006C65B3"/>
    <w:rsid w:val="006D1C0D"/>
    <w:rsid w:val="006D26D8"/>
    <w:rsid w:val="006D35C6"/>
    <w:rsid w:val="006D3CDD"/>
    <w:rsid w:val="006D417F"/>
    <w:rsid w:val="006D771C"/>
    <w:rsid w:val="006D7ACD"/>
    <w:rsid w:val="006D7E88"/>
    <w:rsid w:val="006E01A4"/>
    <w:rsid w:val="006E0305"/>
    <w:rsid w:val="006E06F0"/>
    <w:rsid w:val="006E612A"/>
    <w:rsid w:val="006F22DE"/>
    <w:rsid w:val="006F3131"/>
    <w:rsid w:val="006F36DB"/>
    <w:rsid w:val="006F4FD3"/>
    <w:rsid w:val="006F5745"/>
    <w:rsid w:val="00701D99"/>
    <w:rsid w:val="007038CA"/>
    <w:rsid w:val="007053DD"/>
    <w:rsid w:val="00707843"/>
    <w:rsid w:val="007139E2"/>
    <w:rsid w:val="0071505C"/>
    <w:rsid w:val="007161FF"/>
    <w:rsid w:val="00720C19"/>
    <w:rsid w:val="007248A9"/>
    <w:rsid w:val="00725A73"/>
    <w:rsid w:val="007271C0"/>
    <w:rsid w:val="007305E9"/>
    <w:rsid w:val="00731EDA"/>
    <w:rsid w:val="00733C9E"/>
    <w:rsid w:val="00734005"/>
    <w:rsid w:val="00742F6E"/>
    <w:rsid w:val="007441D0"/>
    <w:rsid w:val="007441F7"/>
    <w:rsid w:val="00744846"/>
    <w:rsid w:val="00744F2C"/>
    <w:rsid w:val="007472AD"/>
    <w:rsid w:val="00747A3C"/>
    <w:rsid w:val="0075071D"/>
    <w:rsid w:val="00751B72"/>
    <w:rsid w:val="00753A71"/>
    <w:rsid w:val="00755007"/>
    <w:rsid w:val="0075617A"/>
    <w:rsid w:val="00756FDE"/>
    <w:rsid w:val="0076341C"/>
    <w:rsid w:val="007645C7"/>
    <w:rsid w:val="00765201"/>
    <w:rsid w:val="0076575B"/>
    <w:rsid w:val="0077129F"/>
    <w:rsid w:val="007729A3"/>
    <w:rsid w:val="00774B62"/>
    <w:rsid w:val="00774FE1"/>
    <w:rsid w:val="00776898"/>
    <w:rsid w:val="00777190"/>
    <w:rsid w:val="00777E98"/>
    <w:rsid w:val="00780B7F"/>
    <w:rsid w:val="007821BE"/>
    <w:rsid w:val="007823C0"/>
    <w:rsid w:val="00786B6A"/>
    <w:rsid w:val="00786D4B"/>
    <w:rsid w:val="00787DEF"/>
    <w:rsid w:val="00794D8B"/>
    <w:rsid w:val="00795987"/>
    <w:rsid w:val="007A0B3A"/>
    <w:rsid w:val="007A0C64"/>
    <w:rsid w:val="007A1AEA"/>
    <w:rsid w:val="007A1DD9"/>
    <w:rsid w:val="007A1EA1"/>
    <w:rsid w:val="007A1F5F"/>
    <w:rsid w:val="007A3612"/>
    <w:rsid w:val="007A56C5"/>
    <w:rsid w:val="007B067C"/>
    <w:rsid w:val="007B1322"/>
    <w:rsid w:val="007B7807"/>
    <w:rsid w:val="007C0516"/>
    <w:rsid w:val="007C5E7B"/>
    <w:rsid w:val="007C6036"/>
    <w:rsid w:val="007C7529"/>
    <w:rsid w:val="007C79F9"/>
    <w:rsid w:val="007D1009"/>
    <w:rsid w:val="007D483C"/>
    <w:rsid w:val="007D4B6C"/>
    <w:rsid w:val="007D591A"/>
    <w:rsid w:val="007D6FCE"/>
    <w:rsid w:val="007E0B70"/>
    <w:rsid w:val="007F1693"/>
    <w:rsid w:val="007F1AA9"/>
    <w:rsid w:val="007F27F5"/>
    <w:rsid w:val="007F2FD1"/>
    <w:rsid w:val="007F36D5"/>
    <w:rsid w:val="007F526B"/>
    <w:rsid w:val="007F5318"/>
    <w:rsid w:val="007F68CE"/>
    <w:rsid w:val="007F716A"/>
    <w:rsid w:val="007F77A4"/>
    <w:rsid w:val="00803785"/>
    <w:rsid w:val="008139FF"/>
    <w:rsid w:val="0081417E"/>
    <w:rsid w:val="0081462C"/>
    <w:rsid w:val="00815C1E"/>
    <w:rsid w:val="008175F1"/>
    <w:rsid w:val="0082097F"/>
    <w:rsid w:val="00821099"/>
    <w:rsid w:val="00821160"/>
    <w:rsid w:val="0082136D"/>
    <w:rsid w:val="0082242C"/>
    <w:rsid w:val="0082520B"/>
    <w:rsid w:val="008275D4"/>
    <w:rsid w:val="00830D45"/>
    <w:rsid w:val="00833DF9"/>
    <w:rsid w:val="00836455"/>
    <w:rsid w:val="00840788"/>
    <w:rsid w:val="00843765"/>
    <w:rsid w:val="00843E8A"/>
    <w:rsid w:val="008441E0"/>
    <w:rsid w:val="008453DF"/>
    <w:rsid w:val="008458EF"/>
    <w:rsid w:val="008460A2"/>
    <w:rsid w:val="008461BB"/>
    <w:rsid w:val="008475DE"/>
    <w:rsid w:val="00847669"/>
    <w:rsid w:val="00847BFE"/>
    <w:rsid w:val="00860051"/>
    <w:rsid w:val="008603FC"/>
    <w:rsid w:val="00863864"/>
    <w:rsid w:val="00864A0F"/>
    <w:rsid w:val="0087007F"/>
    <w:rsid w:val="00871849"/>
    <w:rsid w:val="00871A54"/>
    <w:rsid w:val="008733F5"/>
    <w:rsid w:val="008771E8"/>
    <w:rsid w:val="00880D50"/>
    <w:rsid w:val="008817E7"/>
    <w:rsid w:val="00881CDE"/>
    <w:rsid w:val="00882C2F"/>
    <w:rsid w:val="00887D9A"/>
    <w:rsid w:val="008902C2"/>
    <w:rsid w:val="00892609"/>
    <w:rsid w:val="0089265D"/>
    <w:rsid w:val="00892BF1"/>
    <w:rsid w:val="00895DBB"/>
    <w:rsid w:val="008A2321"/>
    <w:rsid w:val="008A2908"/>
    <w:rsid w:val="008A3546"/>
    <w:rsid w:val="008A3C38"/>
    <w:rsid w:val="008B1523"/>
    <w:rsid w:val="008B2159"/>
    <w:rsid w:val="008B287E"/>
    <w:rsid w:val="008B2B96"/>
    <w:rsid w:val="008B53E4"/>
    <w:rsid w:val="008B54D5"/>
    <w:rsid w:val="008B77BB"/>
    <w:rsid w:val="008B7EB2"/>
    <w:rsid w:val="008C0EBC"/>
    <w:rsid w:val="008C29F4"/>
    <w:rsid w:val="008C2E4B"/>
    <w:rsid w:val="008C6A1B"/>
    <w:rsid w:val="008D352F"/>
    <w:rsid w:val="008D6EE9"/>
    <w:rsid w:val="008D73D4"/>
    <w:rsid w:val="008E4934"/>
    <w:rsid w:val="008E5640"/>
    <w:rsid w:val="008F2623"/>
    <w:rsid w:val="008F3312"/>
    <w:rsid w:val="008F4EB9"/>
    <w:rsid w:val="008F6353"/>
    <w:rsid w:val="00902D3C"/>
    <w:rsid w:val="0090446C"/>
    <w:rsid w:val="0090541B"/>
    <w:rsid w:val="00906858"/>
    <w:rsid w:val="00907B9A"/>
    <w:rsid w:val="009100A8"/>
    <w:rsid w:val="00910AE8"/>
    <w:rsid w:val="00911F44"/>
    <w:rsid w:val="009124CA"/>
    <w:rsid w:val="0091274C"/>
    <w:rsid w:val="0091383D"/>
    <w:rsid w:val="0091694C"/>
    <w:rsid w:val="0092097C"/>
    <w:rsid w:val="0092107D"/>
    <w:rsid w:val="009215CB"/>
    <w:rsid w:val="00921F35"/>
    <w:rsid w:val="00922660"/>
    <w:rsid w:val="00924009"/>
    <w:rsid w:val="00924F2A"/>
    <w:rsid w:val="009253A0"/>
    <w:rsid w:val="00925C2A"/>
    <w:rsid w:val="009270C0"/>
    <w:rsid w:val="00930A5C"/>
    <w:rsid w:val="009316E3"/>
    <w:rsid w:val="00931FCE"/>
    <w:rsid w:val="00933D73"/>
    <w:rsid w:val="009349D2"/>
    <w:rsid w:val="009351F4"/>
    <w:rsid w:val="009361FC"/>
    <w:rsid w:val="00942312"/>
    <w:rsid w:val="009424DC"/>
    <w:rsid w:val="0094406B"/>
    <w:rsid w:val="00944C47"/>
    <w:rsid w:val="009453EF"/>
    <w:rsid w:val="009518E9"/>
    <w:rsid w:val="00952723"/>
    <w:rsid w:val="00952E86"/>
    <w:rsid w:val="009533E3"/>
    <w:rsid w:val="00954356"/>
    <w:rsid w:val="0095694F"/>
    <w:rsid w:val="00961462"/>
    <w:rsid w:val="00962C3C"/>
    <w:rsid w:val="00963F00"/>
    <w:rsid w:val="009646EF"/>
    <w:rsid w:val="009646F1"/>
    <w:rsid w:val="009654A2"/>
    <w:rsid w:val="009701EF"/>
    <w:rsid w:val="00970294"/>
    <w:rsid w:val="0097147A"/>
    <w:rsid w:val="009716E6"/>
    <w:rsid w:val="00973536"/>
    <w:rsid w:val="00973B27"/>
    <w:rsid w:val="00973FB0"/>
    <w:rsid w:val="009752D4"/>
    <w:rsid w:val="0097571F"/>
    <w:rsid w:val="00976BE9"/>
    <w:rsid w:val="009804AF"/>
    <w:rsid w:val="0098566B"/>
    <w:rsid w:val="009912B0"/>
    <w:rsid w:val="0099145F"/>
    <w:rsid w:val="00991739"/>
    <w:rsid w:val="009927F4"/>
    <w:rsid w:val="00993534"/>
    <w:rsid w:val="00996605"/>
    <w:rsid w:val="0099713C"/>
    <w:rsid w:val="009A1050"/>
    <w:rsid w:val="009A2F81"/>
    <w:rsid w:val="009A4273"/>
    <w:rsid w:val="009A5DEB"/>
    <w:rsid w:val="009B1B72"/>
    <w:rsid w:val="009B21DB"/>
    <w:rsid w:val="009B3DC4"/>
    <w:rsid w:val="009B3E5E"/>
    <w:rsid w:val="009B4F99"/>
    <w:rsid w:val="009C21D7"/>
    <w:rsid w:val="009C2679"/>
    <w:rsid w:val="009C42B3"/>
    <w:rsid w:val="009C7CD6"/>
    <w:rsid w:val="009D1DF9"/>
    <w:rsid w:val="009D335D"/>
    <w:rsid w:val="009D3EE7"/>
    <w:rsid w:val="009D46BF"/>
    <w:rsid w:val="009E177C"/>
    <w:rsid w:val="009E1B18"/>
    <w:rsid w:val="009E2F8F"/>
    <w:rsid w:val="009E7236"/>
    <w:rsid w:val="009E72FC"/>
    <w:rsid w:val="009F196D"/>
    <w:rsid w:val="009F2B73"/>
    <w:rsid w:val="009F3D39"/>
    <w:rsid w:val="00A04979"/>
    <w:rsid w:val="00A1133D"/>
    <w:rsid w:val="00A13033"/>
    <w:rsid w:val="00A144D0"/>
    <w:rsid w:val="00A144DD"/>
    <w:rsid w:val="00A2087F"/>
    <w:rsid w:val="00A21532"/>
    <w:rsid w:val="00A228B7"/>
    <w:rsid w:val="00A233AD"/>
    <w:rsid w:val="00A23853"/>
    <w:rsid w:val="00A25267"/>
    <w:rsid w:val="00A30799"/>
    <w:rsid w:val="00A36503"/>
    <w:rsid w:val="00A369DC"/>
    <w:rsid w:val="00A419B5"/>
    <w:rsid w:val="00A4569D"/>
    <w:rsid w:val="00A45915"/>
    <w:rsid w:val="00A579E4"/>
    <w:rsid w:val="00A57DBC"/>
    <w:rsid w:val="00A60B84"/>
    <w:rsid w:val="00A61C85"/>
    <w:rsid w:val="00A62166"/>
    <w:rsid w:val="00A643BA"/>
    <w:rsid w:val="00A64D0F"/>
    <w:rsid w:val="00A653E8"/>
    <w:rsid w:val="00A655EF"/>
    <w:rsid w:val="00A6787B"/>
    <w:rsid w:val="00A711DE"/>
    <w:rsid w:val="00A71CB2"/>
    <w:rsid w:val="00A727F0"/>
    <w:rsid w:val="00A73BDA"/>
    <w:rsid w:val="00A77A69"/>
    <w:rsid w:val="00A80046"/>
    <w:rsid w:val="00A8102C"/>
    <w:rsid w:val="00A8116C"/>
    <w:rsid w:val="00A820D4"/>
    <w:rsid w:val="00A85E3F"/>
    <w:rsid w:val="00A86247"/>
    <w:rsid w:val="00A865B6"/>
    <w:rsid w:val="00A87174"/>
    <w:rsid w:val="00A87DCC"/>
    <w:rsid w:val="00A90C8D"/>
    <w:rsid w:val="00A928F5"/>
    <w:rsid w:val="00A94517"/>
    <w:rsid w:val="00A9676D"/>
    <w:rsid w:val="00A97A6A"/>
    <w:rsid w:val="00AA2B56"/>
    <w:rsid w:val="00AA666E"/>
    <w:rsid w:val="00AB044C"/>
    <w:rsid w:val="00AB19E7"/>
    <w:rsid w:val="00AB324E"/>
    <w:rsid w:val="00AB384E"/>
    <w:rsid w:val="00AB4DA3"/>
    <w:rsid w:val="00AC1B01"/>
    <w:rsid w:val="00AC50E3"/>
    <w:rsid w:val="00AC52E4"/>
    <w:rsid w:val="00AC69F4"/>
    <w:rsid w:val="00AD077E"/>
    <w:rsid w:val="00AD090D"/>
    <w:rsid w:val="00AD0C91"/>
    <w:rsid w:val="00AD19CB"/>
    <w:rsid w:val="00AD41F3"/>
    <w:rsid w:val="00AD429D"/>
    <w:rsid w:val="00AE048D"/>
    <w:rsid w:val="00AE2DD2"/>
    <w:rsid w:val="00AE37F8"/>
    <w:rsid w:val="00AE4F8B"/>
    <w:rsid w:val="00AE7CDB"/>
    <w:rsid w:val="00AF1111"/>
    <w:rsid w:val="00AF1E04"/>
    <w:rsid w:val="00AF6BD0"/>
    <w:rsid w:val="00AF7FA0"/>
    <w:rsid w:val="00B02709"/>
    <w:rsid w:val="00B046C1"/>
    <w:rsid w:val="00B07D6B"/>
    <w:rsid w:val="00B1241F"/>
    <w:rsid w:val="00B13C47"/>
    <w:rsid w:val="00B14E35"/>
    <w:rsid w:val="00B1510B"/>
    <w:rsid w:val="00B16AC7"/>
    <w:rsid w:val="00B217BB"/>
    <w:rsid w:val="00B22BAC"/>
    <w:rsid w:val="00B263E0"/>
    <w:rsid w:val="00B27044"/>
    <w:rsid w:val="00B27B0D"/>
    <w:rsid w:val="00B35814"/>
    <w:rsid w:val="00B373AC"/>
    <w:rsid w:val="00B40EA8"/>
    <w:rsid w:val="00B43BEE"/>
    <w:rsid w:val="00B44327"/>
    <w:rsid w:val="00B459ED"/>
    <w:rsid w:val="00B46BD1"/>
    <w:rsid w:val="00B51AE1"/>
    <w:rsid w:val="00B5405F"/>
    <w:rsid w:val="00B54847"/>
    <w:rsid w:val="00B5570E"/>
    <w:rsid w:val="00B6258A"/>
    <w:rsid w:val="00B63B4E"/>
    <w:rsid w:val="00B646E7"/>
    <w:rsid w:val="00B65101"/>
    <w:rsid w:val="00B65C01"/>
    <w:rsid w:val="00B6763E"/>
    <w:rsid w:val="00B70976"/>
    <w:rsid w:val="00B72534"/>
    <w:rsid w:val="00B7723E"/>
    <w:rsid w:val="00B7746D"/>
    <w:rsid w:val="00B779AC"/>
    <w:rsid w:val="00B82F76"/>
    <w:rsid w:val="00B83BCF"/>
    <w:rsid w:val="00B85A8B"/>
    <w:rsid w:val="00B86404"/>
    <w:rsid w:val="00B8655B"/>
    <w:rsid w:val="00B86966"/>
    <w:rsid w:val="00B90D79"/>
    <w:rsid w:val="00B9722D"/>
    <w:rsid w:val="00B9762B"/>
    <w:rsid w:val="00B97761"/>
    <w:rsid w:val="00BA1BBF"/>
    <w:rsid w:val="00BA224E"/>
    <w:rsid w:val="00BA3AC4"/>
    <w:rsid w:val="00BA4221"/>
    <w:rsid w:val="00BA594F"/>
    <w:rsid w:val="00BB1A81"/>
    <w:rsid w:val="00BB3651"/>
    <w:rsid w:val="00BB4487"/>
    <w:rsid w:val="00BB5639"/>
    <w:rsid w:val="00BB7A8F"/>
    <w:rsid w:val="00BB7CBF"/>
    <w:rsid w:val="00BC372B"/>
    <w:rsid w:val="00BC601B"/>
    <w:rsid w:val="00BC625D"/>
    <w:rsid w:val="00BD0D28"/>
    <w:rsid w:val="00BD2541"/>
    <w:rsid w:val="00BD26F6"/>
    <w:rsid w:val="00BD30C3"/>
    <w:rsid w:val="00BD31C9"/>
    <w:rsid w:val="00BD40CF"/>
    <w:rsid w:val="00BD673A"/>
    <w:rsid w:val="00BD7A28"/>
    <w:rsid w:val="00BD7CDE"/>
    <w:rsid w:val="00BE1350"/>
    <w:rsid w:val="00BE1D6E"/>
    <w:rsid w:val="00BE2AFA"/>
    <w:rsid w:val="00BE3023"/>
    <w:rsid w:val="00BE33F9"/>
    <w:rsid w:val="00BE4F12"/>
    <w:rsid w:val="00BE56A2"/>
    <w:rsid w:val="00BE69B2"/>
    <w:rsid w:val="00BF30C2"/>
    <w:rsid w:val="00BF3724"/>
    <w:rsid w:val="00BF44E7"/>
    <w:rsid w:val="00BF4C37"/>
    <w:rsid w:val="00BF6E78"/>
    <w:rsid w:val="00BF7CE4"/>
    <w:rsid w:val="00C0326F"/>
    <w:rsid w:val="00C037C4"/>
    <w:rsid w:val="00C037CF"/>
    <w:rsid w:val="00C04C02"/>
    <w:rsid w:val="00C119B2"/>
    <w:rsid w:val="00C13C7F"/>
    <w:rsid w:val="00C146FD"/>
    <w:rsid w:val="00C16AFB"/>
    <w:rsid w:val="00C177F5"/>
    <w:rsid w:val="00C17DF8"/>
    <w:rsid w:val="00C21B85"/>
    <w:rsid w:val="00C21FDA"/>
    <w:rsid w:val="00C24E37"/>
    <w:rsid w:val="00C3060D"/>
    <w:rsid w:val="00C332E1"/>
    <w:rsid w:val="00C343F0"/>
    <w:rsid w:val="00C3569D"/>
    <w:rsid w:val="00C365CA"/>
    <w:rsid w:val="00C378E1"/>
    <w:rsid w:val="00C4152A"/>
    <w:rsid w:val="00C41A27"/>
    <w:rsid w:val="00C41E0A"/>
    <w:rsid w:val="00C444CA"/>
    <w:rsid w:val="00C459D2"/>
    <w:rsid w:val="00C477CF"/>
    <w:rsid w:val="00C527A3"/>
    <w:rsid w:val="00C5354D"/>
    <w:rsid w:val="00C56A39"/>
    <w:rsid w:val="00C573C9"/>
    <w:rsid w:val="00C615E4"/>
    <w:rsid w:val="00C61AF2"/>
    <w:rsid w:val="00C622F1"/>
    <w:rsid w:val="00C62B76"/>
    <w:rsid w:val="00C65C90"/>
    <w:rsid w:val="00C674B3"/>
    <w:rsid w:val="00C70207"/>
    <w:rsid w:val="00C71047"/>
    <w:rsid w:val="00C72C56"/>
    <w:rsid w:val="00C742A0"/>
    <w:rsid w:val="00C746A0"/>
    <w:rsid w:val="00C761BA"/>
    <w:rsid w:val="00C768B6"/>
    <w:rsid w:val="00C77F3F"/>
    <w:rsid w:val="00C82102"/>
    <w:rsid w:val="00C822F1"/>
    <w:rsid w:val="00C835D2"/>
    <w:rsid w:val="00C83B79"/>
    <w:rsid w:val="00C845FC"/>
    <w:rsid w:val="00C85559"/>
    <w:rsid w:val="00C86937"/>
    <w:rsid w:val="00C86982"/>
    <w:rsid w:val="00C869A6"/>
    <w:rsid w:val="00C86CAD"/>
    <w:rsid w:val="00C872FE"/>
    <w:rsid w:val="00C8762A"/>
    <w:rsid w:val="00C92640"/>
    <w:rsid w:val="00C95983"/>
    <w:rsid w:val="00C95A8E"/>
    <w:rsid w:val="00C96CB2"/>
    <w:rsid w:val="00CA1606"/>
    <w:rsid w:val="00CA44F9"/>
    <w:rsid w:val="00CA4C9D"/>
    <w:rsid w:val="00CB1411"/>
    <w:rsid w:val="00CB2F25"/>
    <w:rsid w:val="00CB5C16"/>
    <w:rsid w:val="00CC0AD4"/>
    <w:rsid w:val="00CC2922"/>
    <w:rsid w:val="00CC33E3"/>
    <w:rsid w:val="00CC3D40"/>
    <w:rsid w:val="00CC47D6"/>
    <w:rsid w:val="00CC4F56"/>
    <w:rsid w:val="00CC6B32"/>
    <w:rsid w:val="00CC745D"/>
    <w:rsid w:val="00CD015D"/>
    <w:rsid w:val="00CE216E"/>
    <w:rsid w:val="00CE49FA"/>
    <w:rsid w:val="00CF23C5"/>
    <w:rsid w:val="00CF2BF1"/>
    <w:rsid w:val="00CF468D"/>
    <w:rsid w:val="00CF632F"/>
    <w:rsid w:val="00CF7519"/>
    <w:rsid w:val="00CF77A9"/>
    <w:rsid w:val="00D00979"/>
    <w:rsid w:val="00D03066"/>
    <w:rsid w:val="00D032E8"/>
    <w:rsid w:val="00D1116E"/>
    <w:rsid w:val="00D113DF"/>
    <w:rsid w:val="00D1148A"/>
    <w:rsid w:val="00D12383"/>
    <w:rsid w:val="00D12785"/>
    <w:rsid w:val="00D13399"/>
    <w:rsid w:val="00D13DBD"/>
    <w:rsid w:val="00D15481"/>
    <w:rsid w:val="00D16730"/>
    <w:rsid w:val="00D20EAB"/>
    <w:rsid w:val="00D213D4"/>
    <w:rsid w:val="00D23E10"/>
    <w:rsid w:val="00D24508"/>
    <w:rsid w:val="00D25244"/>
    <w:rsid w:val="00D25FE9"/>
    <w:rsid w:val="00D30749"/>
    <w:rsid w:val="00D33D72"/>
    <w:rsid w:val="00D33F4B"/>
    <w:rsid w:val="00D355A6"/>
    <w:rsid w:val="00D40F73"/>
    <w:rsid w:val="00D425D9"/>
    <w:rsid w:val="00D4305F"/>
    <w:rsid w:val="00D46AAE"/>
    <w:rsid w:val="00D477D5"/>
    <w:rsid w:val="00D51344"/>
    <w:rsid w:val="00D5551F"/>
    <w:rsid w:val="00D6034E"/>
    <w:rsid w:val="00D60697"/>
    <w:rsid w:val="00D62E09"/>
    <w:rsid w:val="00D66848"/>
    <w:rsid w:val="00D72C5B"/>
    <w:rsid w:val="00D74228"/>
    <w:rsid w:val="00D74528"/>
    <w:rsid w:val="00D74F21"/>
    <w:rsid w:val="00D77276"/>
    <w:rsid w:val="00D773F5"/>
    <w:rsid w:val="00D77637"/>
    <w:rsid w:val="00D82478"/>
    <w:rsid w:val="00D83C87"/>
    <w:rsid w:val="00D84539"/>
    <w:rsid w:val="00D96113"/>
    <w:rsid w:val="00D97238"/>
    <w:rsid w:val="00DA0E8D"/>
    <w:rsid w:val="00DA21AC"/>
    <w:rsid w:val="00DA30A9"/>
    <w:rsid w:val="00DA5748"/>
    <w:rsid w:val="00DA578D"/>
    <w:rsid w:val="00DA5EBA"/>
    <w:rsid w:val="00DA6AA3"/>
    <w:rsid w:val="00DA7382"/>
    <w:rsid w:val="00DA7B50"/>
    <w:rsid w:val="00DB134D"/>
    <w:rsid w:val="00DB6E39"/>
    <w:rsid w:val="00DC707C"/>
    <w:rsid w:val="00DD04D5"/>
    <w:rsid w:val="00DD085D"/>
    <w:rsid w:val="00DD2A10"/>
    <w:rsid w:val="00DD3E5A"/>
    <w:rsid w:val="00DD45AB"/>
    <w:rsid w:val="00DD5126"/>
    <w:rsid w:val="00DD67CC"/>
    <w:rsid w:val="00DE24FB"/>
    <w:rsid w:val="00DE2639"/>
    <w:rsid w:val="00DE3240"/>
    <w:rsid w:val="00DE57E3"/>
    <w:rsid w:val="00DE74BE"/>
    <w:rsid w:val="00DF08D7"/>
    <w:rsid w:val="00DF1521"/>
    <w:rsid w:val="00DF17A2"/>
    <w:rsid w:val="00DF2451"/>
    <w:rsid w:val="00E02303"/>
    <w:rsid w:val="00E041AD"/>
    <w:rsid w:val="00E04AE1"/>
    <w:rsid w:val="00E05FEC"/>
    <w:rsid w:val="00E12AE3"/>
    <w:rsid w:val="00E13CF2"/>
    <w:rsid w:val="00E206DE"/>
    <w:rsid w:val="00E215C7"/>
    <w:rsid w:val="00E21B48"/>
    <w:rsid w:val="00E24550"/>
    <w:rsid w:val="00E24CBC"/>
    <w:rsid w:val="00E25128"/>
    <w:rsid w:val="00E2636E"/>
    <w:rsid w:val="00E317CA"/>
    <w:rsid w:val="00E31D90"/>
    <w:rsid w:val="00E34BF5"/>
    <w:rsid w:val="00E354B8"/>
    <w:rsid w:val="00E35E16"/>
    <w:rsid w:val="00E36165"/>
    <w:rsid w:val="00E366DB"/>
    <w:rsid w:val="00E41859"/>
    <w:rsid w:val="00E43C59"/>
    <w:rsid w:val="00E52196"/>
    <w:rsid w:val="00E54B88"/>
    <w:rsid w:val="00E56C6E"/>
    <w:rsid w:val="00E62134"/>
    <w:rsid w:val="00E64DB0"/>
    <w:rsid w:val="00E7039A"/>
    <w:rsid w:val="00E70EB0"/>
    <w:rsid w:val="00E71694"/>
    <w:rsid w:val="00E71EE0"/>
    <w:rsid w:val="00E72239"/>
    <w:rsid w:val="00E7739D"/>
    <w:rsid w:val="00E8138C"/>
    <w:rsid w:val="00E814F8"/>
    <w:rsid w:val="00E845FC"/>
    <w:rsid w:val="00E86286"/>
    <w:rsid w:val="00E90114"/>
    <w:rsid w:val="00E90E66"/>
    <w:rsid w:val="00E915DA"/>
    <w:rsid w:val="00E9479B"/>
    <w:rsid w:val="00E94942"/>
    <w:rsid w:val="00E94B4B"/>
    <w:rsid w:val="00E96B4D"/>
    <w:rsid w:val="00E96FB2"/>
    <w:rsid w:val="00EA033D"/>
    <w:rsid w:val="00EA0791"/>
    <w:rsid w:val="00EA0B69"/>
    <w:rsid w:val="00EA0EBA"/>
    <w:rsid w:val="00EA113C"/>
    <w:rsid w:val="00EA2564"/>
    <w:rsid w:val="00EA2F67"/>
    <w:rsid w:val="00EA398D"/>
    <w:rsid w:val="00EA3EB4"/>
    <w:rsid w:val="00EA4472"/>
    <w:rsid w:val="00EA7950"/>
    <w:rsid w:val="00EB2C87"/>
    <w:rsid w:val="00EB3598"/>
    <w:rsid w:val="00EB47BA"/>
    <w:rsid w:val="00EB519B"/>
    <w:rsid w:val="00EC244A"/>
    <w:rsid w:val="00EC5596"/>
    <w:rsid w:val="00EC70FD"/>
    <w:rsid w:val="00ED4221"/>
    <w:rsid w:val="00ED6730"/>
    <w:rsid w:val="00ED77F4"/>
    <w:rsid w:val="00EE052F"/>
    <w:rsid w:val="00EE2E73"/>
    <w:rsid w:val="00EE3769"/>
    <w:rsid w:val="00EE3DC7"/>
    <w:rsid w:val="00EE4C7A"/>
    <w:rsid w:val="00EE505B"/>
    <w:rsid w:val="00EE7A6E"/>
    <w:rsid w:val="00EF07FC"/>
    <w:rsid w:val="00EF175E"/>
    <w:rsid w:val="00EF2CC1"/>
    <w:rsid w:val="00EF79AC"/>
    <w:rsid w:val="00F00315"/>
    <w:rsid w:val="00F00C1F"/>
    <w:rsid w:val="00F02127"/>
    <w:rsid w:val="00F04281"/>
    <w:rsid w:val="00F10A1E"/>
    <w:rsid w:val="00F11968"/>
    <w:rsid w:val="00F135F2"/>
    <w:rsid w:val="00F139F0"/>
    <w:rsid w:val="00F158A6"/>
    <w:rsid w:val="00F178DB"/>
    <w:rsid w:val="00F2027E"/>
    <w:rsid w:val="00F202A7"/>
    <w:rsid w:val="00F21653"/>
    <w:rsid w:val="00F22C1D"/>
    <w:rsid w:val="00F233FC"/>
    <w:rsid w:val="00F24003"/>
    <w:rsid w:val="00F27A80"/>
    <w:rsid w:val="00F30B43"/>
    <w:rsid w:val="00F3229B"/>
    <w:rsid w:val="00F33A4D"/>
    <w:rsid w:val="00F33BE1"/>
    <w:rsid w:val="00F3647C"/>
    <w:rsid w:val="00F4116F"/>
    <w:rsid w:val="00F419B8"/>
    <w:rsid w:val="00F42285"/>
    <w:rsid w:val="00F43B28"/>
    <w:rsid w:val="00F441C4"/>
    <w:rsid w:val="00F45B8B"/>
    <w:rsid w:val="00F469E1"/>
    <w:rsid w:val="00F46FF2"/>
    <w:rsid w:val="00F50289"/>
    <w:rsid w:val="00F53240"/>
    <w:rsid w:val="00F53EE6"/>
    <w:rsid w:val="00F55275"/>
    <w:rsid w:val="00F57C58"/>
    <w:rsid w:val="00F61AC6"/>
    <w:rsid w:val="00F63532"/>
    <w:rsid w:val="00F644E9"/>
    <w:rsid w:val="00F64868"/>
    <w:rsid w:val="00F65DD9"/>
    <w:rsid w:val="00F6785F"/>
    <w:rsid w:val="00F70213"/>
    <w:rsid w:val="00F702AC"/>
    <w:rsid w:val="00F70579"/>
    <w:rsid w:val="00F73EA8"/>
    <w:rsid w:val="00F77F08"/>
    <w:rsid w:val="00F835B6"/>
    <w:rsid w:val="00F83637"/>
    <w:rsid w:val="00F83F8F"/>
    <w:rsid w:val="00F84292"/>
    <w:rsid w:val="00F848BD"/>
    <w:rsid w:val="00F85B93"/>
    <w:rsid w:val="00F86462"/>
    <w:rsid w:val="00F92C6E"/>
    <w:rsid w:val="00F947CA"/>
    <w:rsid w:val="00F94D10"/>
    <w:rsid w:val="00F9578C"/>
    <w:rsid w:val="00F97D38"/>
    <w:rsid w:val="00FA293A"/>
    <w:rsid w:val="00FA5A97"/>
    <w:rsid w:val="00FA6E5E"/>
    <w:rsid w:val="00FB0C13"/>
    <w:rsid w:val="00FB2E3B"/>
    <w:rsid w:val="00FB37F5"/>
    <w:rsid w:val="00FC0A75"/>
    <w:rsid w:val="00FC2A98"/>
    <w:rsid w:val="00FC423F"/>
    <w:rsid w:val="00FC4B16"/>
    <w:rsid w:val="00FC5A7B"/>
    <w:rsid w:val="00FC7956"/>
    <w:rsid w:val="00FC7D4B"/>
    <w:rsid w:val="00FD2327"/>
    <w:rsid w:val="00FD26B3"/>
    <w:rsid w:val="00FD61F4"/>
    <w:rsid w:val="00FD650C"/>
    <w:rsid w:val="00FD67C5"/>
    <w:rsid w:val="00FD77F7"/>
    <w:rsid w:val="00FE0E79"/>
    <w:rsid w:val="00FE10E7"/>
    <w:rsid w:val="00FE19AA"/>
    <w:rsid w:val="00FE5F48"/>
    <w:rsid w:val="00FE7291"/>
    <w:rsid w:val="00FE78B9"/>
    <w:rsid w:val="00FF23F4"/>
    <w:rsid w:val="00FF3217"/>
    <w:rsid w:val="00FF32EF"/>
    <w:rsid w:val="00FF3864"/>
    <w:rsid w:val="00FF44BB"/>
    <w:rsid w:val="00FF502E"/>
    <w:rsid w:val="00FF56AA"/>
    <w:rsid w:val="00FF6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2495"/>
  <w15:docId w15:val="{B71C2298-871E-47DB-B44E-C69B5129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116E"/>
    <w:pPr>
      <w:suppressAutoHyphens/>
      <w:autoSpaceDN w:val="0"/>
      <w:spacing w:after="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16E"/>
    <w:pPr>
      <w:suppressAutoHyphens/>
      <w:autoSpaceDN w:val="0"/>
      <w:spacing w:after="0" w:line="240" w:lineRule="auto"/>
      <w:textAlignment w:val="baseline"/>
    </w:pPr>
    <w:rPr>
      <w:rFonts w:ascii="Verdana" w:eastAsia="Calibri" w:hAnsi="Verdana" w:cs="Times New Roman"/>
    </w:rPr>
  </w:style>
  <w:style w:type="table" w:styleId="TableGrid">
    <w:name w:val="Table Grid"/>
    <w:basedOn w:val="TableNormal"/>
    <w:uiPriority w:val="39"/>
    <w:rsid w:val="00D1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D5213"/>
    <w:pPr>
      <w:suppressAutoHyphens w:val="0"/>
      <w:autoSpaceDN/>
      <w:textAlignment w:val="auto"/>
    </w:pPr>
    <w:rPr>
      <w:rFonts w:eastAsiaTheme="minorHAnsi" w:cs="Calibri"/>
    </w:rPr>
  </w:style>
  <w:style w:type="character" w:customStyle="1" w:styleId="PlainTextChar">
    <w:name w:val="Plain Text Char"/>
    <w:basedOn w:val="DefaultParagraphFont"/>
    <w:link w:val="PlainText"/>
    <w:uiPriority w:val="99"/>
    <w:rsid w:val="000D5213"/>
    <w:rPr>
      <w:rFonts w:ascii="Calibri" w:hAnsi="Calibri" w:cs="Calibri"/>
    </w:rPr>
  </w:style>
  <w:style w:type="paragraph" w:styleId="ListParagraph">
    <w:name w:val="List Paragraph"/>
    <w:basedOn w:val="Normal"/>
    <w:uiPriority w:val="34"/>
    <w:qFormat/>
    <w:rsid w:val="00692093"/>
    <w:pPr>
      <w:suppressAutoHyphens w:val="0"/>
      <w:autoSpaceDN/>
      <w:ind w:left="720"/>
      <w:contextualSpacing/>
      <w:textAlignment w:val="auto"/>
    </w:pPr>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361370">
      <w:bodyDiv w:val="1"/>
      <w:marLeft w:val="0"/>
      <w:marRight w:val="0"/>
      <w:marTop w:val="0"/>
      <w:marBottom w:val="0"/>
      <w:divBdr>
        <w:top w:val="none" w:sz="0" w:space="0" w:color="auto"/>
        <w:left w:val="none" w:sz="0" w:space="0" w:color="auto"/>
        <w:bottom w:val="none" w:sz="0" w:space="0" w:color="auto"/>
        <w:right w:val="none" w:sz="0" w:space="0" w:color="auto"/>
      </w:divBdr>
    </w:div>
    <w:div w:id="1595168654">
      <w:bodyDiv w:val="1"/>
      <w:marLeft w:val="0"/>
      <w:marRight w:val="0"/>
      <w:marTop w:val="0"/>
      <w:marBottom w:val="0"/>
      <w:divBdr>
        <w:top w:val="none" w:sz="0" w:space="0" w:color="auto"/>
        <w:left w:val="none" w:sz="0" w:space="0" w:color="auto"/>
        <w:bottom w:val="none" w:sz="0" w:space="0" w:color="auto"/>
        <w:right w:val="none" w:sz="0" w:space="0" w:color="auto"/>
      </w:divBdr>
      <w:divsChild>
        <w:div w:id="507407470">
          <w:marLeft w:val="0"/>
          <w:marRight w:val="0"/>
          <w:marTop w:val="0"/>
          <w:marBottom w:val="0"/>
          <w:divBdr>
            <w:top w:val="none" w:sz="0" w:space="0" w:color="auto"/>
            <w:left w:val="none" w:sz="0" w:space="0" w:color="auto"/>
            <w:bottom w:val="none" w:sz="0" w:space="0" w:color="auto"/>
            <w:right w:val="none" w:sz="0" w:space="0" w:color="auto"/>
          </w:divBdr>
          <w:divsChild>
            <w:div w:id="1714159917">
              <w:marLeft w:val="0"/>
              <w:marRight w:val="0"/>
              <w:marTop w:val="0"/>
              <w:marBottom w:val="0"/>
              <w:divBdr>
                <w:top w:val="none" w:sz="0" w:space="0" w:color="auto"/>
                <w:left w:val="none" w:sz="0" w:space="0" w:color="auto"/>
                <w:bottom w:val="none" w:sz="0" w:space="0" w:color="auto"/>
                <w:right w:val="none" w:sz="0" w:space="0" w:color="auto"/>
              </w:divBdr>
              <w:divsChild>
                <w:div w:id="480316958">
                  <w:marLeft w:val="0"/>
                  <w:marRight w:val="0"/>
                  <w:marTop w:val="0"/>
                  <w:marBottom w:val="0"/>
                  <w:divBdr>
                    <w:top w:val="none" w:sz="0" w:space="0" w:color="auto"/>
                    <w:left w:val="none" w:sz="0" w:space="0" w:color="auto"/>
                    <w:bottom w:val="none" w:sz="0" w:space="0" w:color="auto"/>
                    <w:right w:val="none" w:sz="0" w:space="0" w:color="auto"/>
                  </w:divBdr>
                </w:div>
                <w:div w:id="299531843">
                  <w:marLeft w:val="0"/>
                  <w:marRight w:val="0"/>
                  <w:marTop w:val="0"/>
                  <w:marBottom w:val="0"/>
                  <w:divBdr>
                    <w:top w:val="none" w:sz="0" w:space="0" w:color="auto"/>
                    <w:left w:val="none" w:sz="0" w:space="0" w:color="auto"/>
                    <w:bottom w:val="none" w:sz="0" w:space="0" w:color="auto"/>
                    <w:right w:val="none" w:sz="0" w:space="0" w:color="auto"/>
                  </w:divBdr>
                </w:div>
                <w:div w:id="160127223">
                  <w:marLeft w:val="0"/>
                  <w:marRight w:val="0"/>
                  <w:marTop w:val="0"/>
                  <w:marBottom w:val="0"/>
                  <w:divBdr>
                    <w:top w:val="none" w:sz="0" w:space="0" w:color="auto"/>
                    <w:left w:val="none" w:sz="0" w:space="0" w:color="auto"/>
                    <w:bottom w:val="none" w:sz="0" w:space="0" w:color="auto"/>
                    <w:right w:val="none" w:sz="0" w:space="0" w:color="auto"/>
                  </w:divBdr>
                </w:div>
                <w:div w:id="795443023">
                  <w:marLeft w:val="0"/>
                  <w:marRight w:val="0"/>
                  <w:marTop w:val="0"/>
                  <w:marBottom w:val="0"/>
                  <w:divBdr>
                    <w:top w:val="none" w:sz="0" w:space="0" w:color="auto"/>
                    <w:left w:val="none" w:sz="0" w:space="0" w:color="auto"/>
                    <w:bottom w:val="none" w:sz="0" w:space="0" w:color="auto"/>
                    <w:right w:val="none" w:sz="0" w:space="0" w:color="auto"/>
                  </w:divBdr>
                </w:div>
                <w:div w:id="597450842">
                  <w:marLeft w:val="0"/>
                  <w:marRight w:val="0"/>
                  <w:marTop w:val="0"/>
                  <w:marBottom w:val="0"/>
                  <w:divBdr>
                    <w:top w:val="none" w:sz="0" w:space="0" w:color="auto"/>
                    <w:left w:val="none" w:sz="0" w:space="0" w:color="auto"/>
                    <w:bottom w:val="none" w:sz="0" w:space="0" w:color="auto"/>
                    <w:right w:val="none" w:sz="0" w:space="0" w:color="auto"/>
                  </w:divBdr>
                </w:div>
                <w:div w:id="343366008">
                  <w:marLeft w:val="0"/>
                  <w:marRight w:val="0"/>
                  <w:marTop w:val="0"/>
                  <w:marBottom w:val="0"/>
                  <w:divBdr>
                    <w:top w:val="none" w:sz="0" w:space="0" w:color="auto"/>
                    <w:left w:val="none" w:sz="0" w:space="0" w:color="auto"/>
                    <w:bottom w:val="none" w:sz="0" w:space="0" w:color="auto"/>
                    <w:right w:val="none" w:sz="0" w:space="0" w:color="auto"/>
                  </w:divBdr>
                </w:div>
                <w:div w:id="1836266781">
                  <w:marLeft w:val="0"/>
                  <w:marRight w:val="0"/>
                  <w:marTop w:val="0"/>
                  <w:marBottom w:val="0"/>
                  <w:divBdr>
                    <w:top w:val="none" w:sz="0" w:space="0" w:color="auto"/>
                    <w:left w:val="none" w:sz="0" w:space="0" w:color="auto"/>
                    <w:bottom w:val="none" w:sz="0" w:space="0" w:color="auto"/>
                    <w:right w:val="none" w:sz="0" w:space="0" w:color="auto"/>
                  </w:divBdr>
                </w:div>
                <w:div w:id="535241936">
                  <w:marLeft w:val="0"/>
                  <w:marRight w:val="0"/>
                  <w:marTop w:val="0"/>
                  <w:marBottom w:val="0"/>
                  <w:divBdr>
                    <w:top w:val="none" w:sz="0" w:space="0" w:color="auto"/>
                    <w:left w:val="none" w:sz="0" w:space="0" w:color="auto"/>
                    <w:bottom w:val="none" w:sz="0" w:space="0" w:color="auto"/>
                    <w:right w:val="none" w:sz="0" w:space="0" w:color="auto"/>
                  </w:divBdr>
                </w:div>
                <w:div w:id="1469012092">
                  <w:marLeft w:val="0"/>
                  <w:marRight w:val="0"/>
                  <w:marTop w:val="0"/>
                  <w:marBottom w:val="0"/>
                  <w:divBdr>
                    <w:top w:val="none" w:sz="0" w:space="0" w:color="auto"/>
                    <w:left w:val="none" w:sz="0" w:space="0" w:color="auto"/>
                    <w:bottom w:val="none" w:sz="0" w:space="0" w:color="auto"/>
                    <w:right w:val="none" w:sz="0" w:space="0" w:color="auto"/>
                  </w:divBdr>
                </w:div>
                <w:div w:id="498890234">
                  <w:marLeft w:val="0"/>
                  <w:marRight w:val="0"/>
                  <w:marTop w:val="0"/>
                  <w:marBottom w:val="0"/>
                  <w:divBdr>
                    <w:top w:val="none" w:sz="0" w:space="0" w:color="auto"/>
                    <w:left w:val="none" w:sz="0" w:space="0" w:color="auto"/>
                    <w:bottom w:val="none" w:sz="0" w:space="0" w:color="auto"/>
                    <w:right w:val="none" w:sz="0" w:space="0" w:color="auto"/>
                  </w:divBdr>
                </w:div>
                <w:div w:id="629046445">
                  <w:marLeft w:val="0"/>
                  <w:marRight w:val="0"/>
                  <w:marTop w:val="0"/>
                  <w:marBottom w:val="0"/>
                  <w:divBdr>
                    <w:top w:val="none" w:sz="0" w:space="0" w:color="auto"/>
                    <w:left w:val="none" w:sz="0" w:space="0" w:color="auto"/>
                    <w:bottom w:val="none" w:sz="0" w:space="0" w:color="auto"/>
                    <w:right w:val="none" w:sz="0" w:space="0" w:color="auto"/>
                  </w:divBdr>
                </w:div>
                <w:div w:id="575358144">
                  <w:marLeft w:val="0"/>
                  <w:marRight w:val="0"/>
                  <w:marTop w:val="0"/>
                  <w:marBottom w:val="0"/>
                  <w:divBdr>
                    <w:top w:val="none" w:sz="0" w:space="0" w:color="auto"/>
                    <w:left w:val="none" w:sz="0" w:space="0" w:color="auto"/>
                    <w:bottom w:val="none" w:sz="0" w:space="0" w:color="auto"/>
                    <w:right w:val="none" w:sz="0" w:space="0" w:color="auto"/>
                  </w:divBdr>
                </w:div>
                <w:div w:id="262035455">
                  <w:marLeft w:val="0"/>
                  <w:marRight w:val="0"/>
                  <w:marTop w:val="0"/>
                  <w:marBottom w:val="0"/>
                  <w:divBdr>
                    <w:top w:val="none" w:sz="0" w:space="0" w:color="auto"/>
                    <w:left w:val="none" w:sz="0" w:space="0" w:color="auto"/>
                    <w:bottom w:val="none" w:sz="0" w:space="0" w:color="auto"/>
                    <w:right w:val="none" w:sz="0" w:space="0" w:color="auto"/>
                  </w:divBdr>
                </w:div>
                <w:div w:id="1726415462">
                  <w:marLeft w:val="0"/>
                  <w:marRight w:val="0"/>
                  <w:marTop w:val="0"/>
                  <w:marBottom w:val="0"/>
                  <w:divBdr>
                    <w:top w:val="none" w:sz="0" w:space="0" w:color="auto"/>
                    <w:left w:val="none" w:sz="0" w:space="0" w:color="auto"/>
                    <w:bottom w:val="none" w:sz="0" w:space="0" w:color="auto"/>
                    <w:right w:val="none" w:sz="0" w:space="0" w:color="auto"/>
                  </w:divBdr>
                </w:div>
                <w:div w:id="513568034">
                  <w:marLeft w:val="0"/>
                  <w:marRight w:val="0"/>
                  <w:marTop w:val="0"/>
                  <w:marBottom w:val="0"/>
                  <w:divBdr>
                    <w:top w:val="none" w:sz="0" w:space="0" w:color="auto"/>
                    <w:left w:val="none" w:sz="0" w:space="0" w:color="auto"/>
                    <w:bottom w:val="none" w:sz="0" w:space="0" w:color="auto"/>
                    <w:right w:val="none" w:sz="0" w:space="0" w:color="auto"/>
                  </w:divBdr>
                </w:div>
                <w:div w:id="1327585997">
                  <w:marLeft w:val="0"/>
                  <w:marRight w:val="0"/>
                  <w:marTop w:val="0"/>
                  <w:marBottom w:val="0"/>
                  <w:divBdr>
                    <w:top w:val="none" w:sz="0" w:space="0" w:color="auto"/>
                    <w:left w:val="none" w:sz="0" w:space="0" w:color="auto"/>
                    <w:bottom w:val="none" w:sz="0" w:space="0" w:color="auto"/>
                    <w:right w:val="none" w:sz="0" w:space="0" w:color="auto"/>
                  </w:divBdr>
                </w:div>
                <w:div w:id="520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C39E9-985C-4378-87BF-53865816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11</Pages>
  <Words>3042</Words>
  <Characters>17341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41</cp:revision>
  <cp:lastPrinted>2019-12-17T11:24:00Z</cp:lastPrinted>
  <dcterms:created xsi:type="dcterms:W3CDTF">2020-12-21T11:38:00Z</dcterms:created>
  <dcterms:modified xsi:type="dcterms:W3CDTF">2021-07-11T09:56:00Z</dcterms:modified>
</cp:coreProperties>
</file>